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4D" w:rsidRDefault="00C0034D" w:rsidP="00C0034D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44"/>
          <w:szCs w:val="44"/>
        </w:rPr>
      </w:pPr>
      <w:r>
        <w:rPr>
          <w:rFonts w:ascii="Helvetica-Bold" w:hAnsi="Helvetica-Bold" w:cs="Helvetica-Bold"/>
          <w:b/>
          <w:bCs/>
          <w:sz w:val="44"/>
          <w:szCs w:val="44"/>
        </w:rPr>
        <w:t>Controversies in the use of fresh frozen plasma in critically ill small animal patients</w:t>
      </w:r>
    </w:p>
    <w:p w:rsidR="00C0034D" w:rsidRDefault="00C0034D" w:rsidP="00C0034D">
      <w:pPr>
        <w:rPr>
          <w:rFonts w:ascii="Helvetica-Bold" w:hAnsi="Helvetica-Bold" w:cs="Helvetica-Bold"/>
          <w:b/>
          <w:bCs/>
          <w:sz w:val="44"/>
          <w:szCs w:val="44"/>
        </w:rPr>
      </w:pPr>
    </w:p>
    <w:p w:rsidR="00C0034D" w:rsidRDefault="00C0034D" w:rsidP="00C0034D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Key Points:</w:t>
      </w:r>
    </w:p>
    <w:p w:rsidR="00C0034D" w:rsidRDefault="00C0034D" w:rsidP="00C0034D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1) </w:t>
      </w:r>
      <w:r w:rsidRPr="00C0034D">
        <w:rPr>
          <w:rFonts w:cs="Helvetica-Bold"/>
          <w:bCs/>
          <w:sz w:val="24"/>
          <w:szCs w:val="24"/>
        </w:rPr>
        <w:t>Fresh frozen plasma is plasma that has been separated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from whole blood and frozen within 8 hours.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It contains coagulation factors, anticoagulation factors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 xml:space="preserve">such as </w:t>
      </w:r>
      <w:proofErr w:type="spellStart"/>
      <w:r w:rsidRPr="00C0034D">
        <w:rPr>
          <w:rFonts w:cs="Helvetica-Bold"/>
          <w:bCs/>
          <w:sz w:val="24"/>
          <w:szCs w:val="24"/>
        </w:rPr>
        <w:t>antithrombin</w:t>
      </w:r>
      <w:proofErr w:type="spellEnd"/>
      <w:r w:rsidRPr="00C0034D">
        <w:rPr>
          <w:rFonts w:cs="Helvetica-Bold"/>
          <w:bCs/>
          <w:sz w:val="24"/>
          <w:szCs w:val="24"/>
        </w:rPr>
        <w:t xml:space="preserve">, fibrinogen, albumin, and </w:t>
      </w:r>
      <w:proofErr w:type="spellStart"/>
      <w:r w:rsidRPr="00C0034D">
        <w:rPr>
          <w:rFonts w:cs="Helvetica-Bold"/>
          <w:bCs/>
          <w:sz w:val="24"/>
          <w:szCs w:val="24"/>
        </w:rPr>
        <w:t>alphamacroglobulins</w:t>
      </w:r>
      <w:proofErr w:type="spellEnd"/>
      <w:r w:rsidRPr="00C0034D">
        <w:rPr>
          <w:rFonts w:cs="Helvetica-Bold"/>
          <w:bCs/>
          <w:sz w:val="24"/>
          <w:szCs w:val="24"/>
        </w:rPr>
        <w:t>.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It can be stored for up to 1 year when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froze from −20 to −30 °C</w:t>
      </w:r>
      <w:r>
        <w:rPr>
          <w:rFonts w:cs="Helvetica-Bold"/>
          <w:bCs/>
          <w:sz w:val="24"/>
          <w:szCs w:val="24"/>
        </w:rPr>
        <w:t>.</w:t>
      </w:r>
    </w:p>
    <w:p w:rsidR="00C0034D" w:rsidRDefault="00C0034D" w:rsidP="00C0034D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2) Thawe</w:t>
      </w:r>
      <w:r w:rsidRPr="00C0034D">
        <w:rPr>
          <w:rFonts w:cs="Helvetica-Bold"/>
          <w:bCs/>
          <w:sz w:val="24"/>
          <w:szCs w:val="24"/>
        </w:rPr>
        <w:t>d FFP can be refrozen within 1 hour of thawing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(“freeze-thaw-cycled”) and retain its hemostatic protein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 xml:space="preserve">activity. </w:t>
      </w:r>
      <w:r>
        <w:rPr>
          <w:rFonts w:cs="Helvetica-Bold"/>
          <w:bCs/>
          <w:sz w:val="24"/>
          <w:szCs w:val="24"/>
        </w:rPr>
        <w:t>R</w:t>
      </w:r>
      <w:r w:rsidRPr="00C0034D">
        <w:rPr>
          <w:rFonts w:cs="Helvetica-Bold"/>
          <w:bCs/>
          <w:sz w:val="24"/>
          <w:szCs w:val="24"/>
        </w:rPr>
        <w:t>efrigerated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plasma may be feasible with only minor losses in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coagulation factor activity</w:t>
      </w:r>
      <w:r>
        <w:rPr>
          <w:rFonts w:cs="Helvetica-Bold"/>
          <w:bCs/>
          <w:sz w:val="24"/>
          <w:szCs w:val="24"/>
        </w:rPr>
        <w:t>.</w:t>
      </w:r>
    </w:p>
    <w:p w:rsidR="00C0034D" w:rsidRDefault="00C0034D" w:rsidP="00C0034D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3) Frozen plasma (FP) is </w:t>
      </w:r>
      <w:r w:rsidRPr="00C0034D">
        <w:rPr>
          <w:rFonts w:cs="Helvetica-Bold"/>
          <w:bCs/>
          <w:sz w:val="24"/>
          <w:szCs w:val="24"/>
        </w:rPr>
        <w:t>plasma that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is separated from whole blood but not frozen within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8 hours, or that has been frozen quickly but stored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between 1 and 4 years. Recent evidence supports the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processing of plasma within 24 hours of whole blood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collection rather than 8 hours, with suitable retention of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coagulation factors. FP contains the stable coagulation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factors II, VII, IX, and X as well as albumin</w:t>
      </w:r>
      <w:r>
        <w:rPr>
          <w:rFonts w:cs="Helvetica-Bold"/>
          <w:bCs/>
          <w:sz w:val="24"/>
          <w:szCs w:val="24"/>
        </w:rPr>
        <w:t>.</w:t>
      </w:r>
    </w:p>
    <w:p w:rsidR="00C0034D" w:rsidRDefault="00C0034D" w:rsidP="00C0034D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4) </w:t>
      </w:r>
      <w:r w:rsidRPr="00C0034D">
        <w:rPr>
          <w:rFonts w:cs="Helvetica-Bold"/>
          <w:bCs/>
          <w:sz w:val="24"/>
          <w:szCs w:val="24"/>
        </w:rPr>
        <w:t>One retrospective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veterinary study reported that the incidence of plasma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transfusion-associated reactions was low (affecting 1%</w:t>
      </w:r>
      <w:r>
        <w:rPr>
          <w:rFonts w:cs="Helvetica-Bold"/>
          <w:bCs/>
          <w:sz w:val="24"/>
          <w:szCs w:val="24"/>
        </w:rPr>
        <w:t xml:space="preserve"> </w:t>
      </w:r>
      <w:r w:rsidRPr="00C0034D">
        <w:rPr>
          <w:rFonts w:cs="Helvetica-Bold"/>
          <w:bCs/>
          <w:sz w:val="24"/>
          <w:szCs w:val="24"/>
        </w:rPr>
        <w:t>of patients) and reactions were characterized by fever,</w:t>
      </w:r>
      <w:r>
        <w:rPr>
          <w:rFonts w:cs="Helvetica-Bold"/>
          <w:bCs/>
          <w:sz w:val="24"/>
          <w:szCs w:val="24"/>
        </w:rPr>
        <w:t xml:space="preserve"> </w:t>
      </w:r>
      <w:proofErr w:type="spellStart"/>
      <w:r w:rsidRPr="00C0034D">
        <w:rPr>
          <w:rFonts w:cs="Helvetica-Bold"/>
          <w:bCs/>
          <w:sz w:val="24"/>
          <w:szCs w:val="24"/>
        </w:rPr>
        <w:t>pruritis</w:t>
      </w:r>
      <w:proofErr w:type="spellEnd"/>
      <w:r w:rsidRPr="00C0034D">
        <w:rPr>
          <w:rFonts w:cs="Helvetica-Bold"/>
          <w:bCs/>
          <w:sz w:val="24"/>
          <w:szCs w:val="24"/>
        </w:rPr>
        <w:t>, and anxiety.</w:t>
      </w:r>
    </w:p>
    <w:p w:rsidR="00C0034D" w:rsidRDefault="00C0034D" w:rsidP="00255115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5) </w:t>
      </w:r>
      <w:r w:rsidR="00255115">
        <w:rPr>
          <w:rFonts w:cs="Helvetica-Bold"/>
          <w:bCs/>
          <w:sz w:val="24"/>
          <w:szCs w:val="24"/>
        </w:rPr>
        <w:t>T</w:t>
      </w:r>
      <w:r w:rsidR="00255115" w:rsidRPr="00255115">
        <w:rPr>
          <w:rFonts w:cs="Helvetica-Bold"/>
          <w:bCs/>
          <w:sz w:val="24"/>
          <w:szCs w:val="24"/>
        </w:rPr>
        <w:t>he INR is</w:t>
      </w:r>
      <w:r w:rsidR="00255115">
        <w:rPr>
          <w:rFonts w:cs="Helvetica-Bold"/>
          <w:bCs/>
          <w:sz w:val="24"/>
          <w:szCs w:val="24"/>
        </w:rPr>
        <w:t xml:space="preserve"> </w:t>
      </w:r>
      <w:r w:rsidR="00255115" w:rsidRPr="00255115">
        <w:rPr>
          <w:rFonts w:cs="Helvetica-Bold"/>
          <w:bCs/>
          <w:sz w:val="24"/>
          <w:szCs w:val="24"/>
        </w:rPr>
        <w:t>a standardized measurement of coagulation based on</w:t>
      </w:r>
      <w:r w:rsidR="00255115">
        <w:rPr>
          <w:rFonts w:cs="Helvetica-Bold"/>
          <w:bCs/>
          <w:sz w:val="24"/>
          <w:szCs w:val="24"/>
        </w:rPr>
        <w:t xml:space="preserve"> </w:t>
      </w:r>
      <w:r w:rsidR="00255115" w:rsidRPr="00255115">
        <w:rPr>
          <w:rFonts w:cs="Helvetica-Bold"/>
          <w:bCs/>
          <w:sz w:val="24"/>
          <w:szCs w:val="24"/>
        </w:rPr>
        <w:t>the PT test developed to monitor warfarin therapy. It</w:t>
      </w:r>
      <w:r w:rsidR="00255115">
        <w:rPr>
          <w:rFonts w:cs="Helvetica-Bold"/>
          <w:bCs/>
          <w:sz w:val="24"/>
          <w:szCs w:val="24"/>
        </w:rPr>
        <w:t xml:space="preserve"> </w:t>
      </w:r>
      <w:r w:rsidR="00255115" w:rsidRPr="00255115">
        <w:rPr>
          <w:rFonts w:cs="Helvetica-Bold"/>
          <w:bCs/>
          <w:sz w:val="24"/>
          <w:szCs w:val="24"/>
        </w:rPr>
        <w:t>is calculated as INR = (observed PT ratio)</w:t>
      </w:r>
      <w:r w:rsidR="00255115">
        <w:rPr>
          <w:rFonts w:cs="Helvetica-Bold"/>
          <w:bCs/>
          <w:sz w:val="24"/>
          <w:szCs w:val="24"/>
        </w:rPr>
        <w:t xml:space="preserve"> </w:t>
      </w:r>
      <w:r w:rsidR="00255115" w:rsidRPr="00255115">
        <w:rPr>
          <w:rFonts w:cs="Helvetica-Bold"/>
          <w:bCs/>
          <w:sz w:val="24"/>
          <w:szCs w:val="24"/>
        </w:rPr>
        <w:t>where the</w:t>
      </w:r>
      <w:r w:rsidR="00255115">
        <w:rPr>
          <w:rFonts w:cs="Helvetica-Bold"/>
          <w:bCs/>
          <w:sz w:val="24"/>
          <w:szCs w:val="24"/>
        </w:rPr>
        <w:t xml:space="preserve"> </w:t>
      </w:r>
      <w:r w:rsidR="00255115" w:rsidRPr="00255115">
        <w:rPr>
          <w:rFonts w:cs="Helvetica-Bold"/>
          <w:bCs/>
          <w:sz w:val="24"/>
          <w:szCs w:val="24"/>
        </w:rPr>
        <w:t>observed PT ratio is the patient’s PT value divided by</w:t>
      </w:r>
      <w:r w:rsidR="00255115">
        <w:rPr>
          <w:rFonts w:cs="Helvetica-Bold"/>
          <w:bCs/>
          <w:sz w:val="24"/>
          <w:szCs w:val="24"/>
        </w:rPr>
        <w:t xml:space="preserve"> </w:t>
      </w:r>
      <w:r w:rsidR="00255115" w:rsidRPr="00255115">
        <w:rPr>
          <w:rFonts w:cs="Helvetica-Bold"/>
          <w:bCs/>
          <w:sz w:val="24"/>
          <w:szCs w:val="24"/>
        </w:rPr>
        <w:t>the</w:t>
      </w:r>
      <w:r w:rsidR="00255115">
        <w:rPr>
          <w:rFonts w:cs="Helvetica-Bold"/>
          <w:bCs/>
          <w:sz w:val="24"/>
          <w:szCs w:val="24"/>
        </w:rPr>
        <w:t xml:space="preserve"> mean normal PT. V</w:t>
      </w:r>
      <w:r w:rsidR="00255115" w:rsidRPr="00255115">
        <w:rPr>
          <w:rFonts w:cs="Helvetica-Bold"/>
          <w:bCs/>
          <w:sz w:val="24"/>
          <w:szCs w:val="24"/>
        </w:rPr>
        <w:t>alues</w:t>
      </w:r>
      <w:r w:rsidR="00255115">
        <w:rPr>
          <w:rFonts w:cs="Helvetica-Bold"/>
          <w:bCs/>
          <w:sz w:val="24"/>
          <w:szCs w:val="24"/>
        </w:rPr>
        <w:t xml:space="preserve"> </w:t>
      </w:r>
      <w:r w:rsidR="00255115" w:rsidRPr="00255115">
        <w:rPr>
          <w:rFonts w:cs="Helvetica-Bold"/>
          <w:bCs/>
          <w:sz w:val="24"/>
          <w:szCs w:val="24"/>
        </w:rPr>
        <w:t>greater than 1.5 times the control generally suggestive</w:t>
      </w:r>
      <w:r w:rsidR="00255115">
        <w:rPr>
          <w:rFonts w:cs="Helvetica-Bold"/>
          <w:bCs/>
          <w:sz w:val="24"/>
          <w:szCs w:val="24"/>
        </w:rPr>
        <w:t xml:space="preserve"> </w:t>
      </w:r>
      <w:r w:rsidR="00255115" w:rsidRPr="00255115">
        <w:rPr>
          <w:rFonts w:cs="Helvetica-Bold"/>
          <w:bCs/>
          <w:sz w:val="24"/>
          <w:szCs w:val="24"/>
        </w:rPr>
        <w:t xml:space="preserve">of </w:t>
      </w:r>
      <w:proofErr w:type="spellStart"/>
      <w:r w:rsidR="00255115" w:rsidRPr="00255115">
        <w:rPr>
          <w:rFonts w:cs="Helvetica-Bold"/>
          <w:bCs/>
          <w:sz w:val="24"/>
          <w:szCs w:val="24"/>
        </w:rPr>
        <w:t>hypocoagulability</w:t>
      </w:r>
      <w:proofErr w:type="spellEnd"/>
      <w:r w:rsidR="00255115">
        <w:rPr>
          <w:rFonts w:cs="Helvetica-Bold"/>
          <w:bCs/>
          <w:sz w:val="24"/>
          <w:szCs w:val="24"/>
        </w:rPr>
        <w:t>.</w:t>
      </w:r>
    </w:p>
    <w:p w:rsidR="00255115" w:rsidRDefault="00255115" w:rsidP="00255115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6) </w:t>
      </w:r>
      <w:r w:rsidRPr="00255115">
        <w:rPr>
          <w:rFonts w:cs="Helvetica-Bold"/>
          <w:bCs/>
          <w:sz w:val="24"/>
          <w:szCs w:val="24"/>
        </w:rPr>
        <w:t>In critically ill human patients, prolonged global clotting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 xml:space="preserve">tests (PT, </w:t>
      </w:r>
      <w:proofErr w:type="spellStart"/>
      <w:r w:rsidRPr="00255115">
        <w:rPr>
          <w:rFonts w:cs="Helvetica-Bold"/>
          <w:bCs/>
          <w:sz w:val="24"/>
          <w:szCs w:val="24"/>
        </w:rPr>
        <w:t>aPTT</w:t>
      </w:r>
      <w:proofErr w:type="spellEnd"/>
      <w:r w:rsidRPr="00255115">
        <w:rPr>
          <w:rFonts w:cs="Helvetica-Bold"/>
          <w:bCs/>
          <w:sz w:val="24"/>
          <w:szCs w:val="24"/>
        </w:rPr>
        <w:t>, INR) are common, affecting 14–28% of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 xml:space="preserve">ICU patients, and are a </w:t>
      </w:r>
      <w:r>
        <w:rPr>
          <w:rFonts w:cs="Helvetica-Bold"/>
          <w:bCs/>
          <w:sz w:val="24"/>
          <w:szCs w:val="24"/>
        </w:rPr>
        <w:t xml:space="preserve">strong predictor of mortality. </w:t>
      </w:r>
      <w:r w:rsidRPr="00255115">
        <w:rPr>
          <w:rFonts w:cs="Helvetica-Bold"/>
          <w:bCs/>
          <w:sz w:val="24"/>
          <w:szCs w:val="24"/>
        </w:rPr>
        <w:t>Thrombocytopenia (&lt;150 × 109/L) is also common,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affecting 35–44% of critically ill people, with severity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inversely related to survival</w:t>
      </w:r>
      <w:r>
        <w:rPr>
          <w:rFonts w:cs="Helvetica-Bold"/>
          <w:bCs/>
          <w:sz w:val="24"/>
          <w:szCs w:val="24"/>
        </w:rPr>
        <w:t>.</w:t>
      </w:r>
      <w:r w:rsidRPr="00255115">
        <w:t xml:space="preserve"> </w:t>
      </w:r>
      <w:r w:rsidRPr="00255115">
        <w:rPr>
          <w:rFonts w:cs="Helvetica-Bold"/>
          <w:bCs/>
          <w:sz w:val="24"/>
          <w:szCs w:val="24"/>
        </w:rPr>
        <w:t>In a study investigating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580 central vein cannulations in human patients with an</w:t>
      </w:r>
      <w:r>
        <w:rPr>
          <w:rFonts w:cs="Helvetica-Bold"/>
          <w:bCs/>
          <w:sz w:val="24"/>
          <w:szCs w:val="24"/>
        </w:rPr>
        <w:t xml:space="preserve"> INR &gt;</w:t>
      </w:r>
      <w:r w:rsidRPr="00255115">
        <w:rPr>
          <w:rFonts w:cs="Helvetica-Bold"/>
          <w:bCs/>
          <w:sz w:val="24"/>
          <w:szCs w:val="24"/>
        </w:rPr>
        <w:t xml:space="preserve"> 1.5, only one patient experienced major bleeding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due to inadvertent arterial puncture; the authors concluded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that bleeding complications are rare and experienced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physicians could safely perform this procedure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in patients with abnormal results of hemostasis tests</w:t>
      </w:r>
      <w:r>
        <w:rPr>
          <w:rFonts w:cs="Helvetica-Bold"/>
          <w:bCs/>
          <w:sz w:val="24"/>
          <w:szCs w:val="24"/>
        </w:rPr>
        <w:t>.</w:t>
      </w:r>
    </w:p>
    <w:p w:rsidR="00255115" w:rsidRDefault="00255115" w:rsidP="00255115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7) </w:t>
      </w:r>
      <w:r w:rsidRPr="00255115">
        <w:rPr>
          <w:rFonts w:cs="Helvetica-Bold"/>
          <w:bCs/>
          <w:sz w:val="24"/>
          <w:szCs w:val="24"/>
        </w:rPr>
        <w:t>The largest systematic review of this question in human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medicine examined 80 randomized controlled trials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looking at patients with a number of disease processes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including liver disease, cardiac surgery, warfarin reversal,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plasmapheresis, DIC, burns, shock, and head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injury. Meta-analysis of these trials revealed no significant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difference in 24-hour postoperative blood loss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 xml:space="preserve">between transfused and </w:t>
      </w:r>
      <w:proofErr w:type="spellStart"/>
      <w:r w:rsidRPr="00255115">
        <w:rPr>
          <w:rFonts w:cs="Helvetica-Bold"/>
          <w:bCs/>
          <w:sz w:val="24"/>
          <w:szCs w:val="24"/>
        </w:rPr>
        <w:t>nontransfused</w:t>
      </w:r>
      <w:proofErr w:type="spellEnd"/>
      <w:r w:rsidRPr="00255115">
        <w:rPr>
          <w:rFonts w:cs="Helvetica-Bold"/>
          <w:bCs/>
          <w:sz w:val="24"/>
          <w:szCs w:val="24"/>
        </w:rPr>
        <w:t xml:space="preserve"> patients, and no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significant benefit of FFP use across all of the clinical</w:t>
      </w:r>
      <w:r>
        <w:rPr>
          <w:rFonts w:cs="Helvetica-Bold"/>
          <w:bCs/>
          <w:sz w:val="24"/>
          <w:szCs w:val="24"/>
        </w:rPr>
        <w:t xml:space="preserve"> conditions.</w:t>
      </w:r>
    </w:p>
    <w:p w:rsidR="00255115" w:rsidRDefault="00255115" w:rsidP="00255115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8) </w:t>
      </w:r>
      <w:r w:rsidRPr="00255115">
        <w:rPr>
          <w:rFonts w:cs="Helvetica-Bold"/>
          <w:bCs/>
          <w:sz w:val="24"/>
          <w:szCs w:val="24"/>
        </w:rPr>
        <w:t>One additional study investigating the effectiveness of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 xml:space="preserve">FFP for pancreatitis (used to replenish </w:t>
      </w:r>
      <w:proofErr w:type="spellStart"/>
      <w:r w:rsidRPr="00255115">
        <w:rPr>
          <w:rFonts w:cs="Helvetica-Bold"/>
          <w:bCs/>
          <w:sz w:val="24"/>
          <w:szCs w:val="24"/>
        </w:rPr>
        <w:t>antiproteases</w:t>
      </w:r>
      <w:proofErr w:type="spellEnd"/>
      <w:r w:rsidRPr="00255115">
        <w:rPr>
          <w:rFonts w:cs="Helvetica-Bold"/>
          <w:bCs/>
          <w:sz w:val="24"/>
          <w:szCs w:val="24"/>
        </w:rPr>
        <w:t>) revealed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a higher mortality rate in dogs that received FFP</w:t>
      </w:r>
      <w:r>
        <w:rPr>
          <w:rFonts w:cs="Helvetica-Bold"/>
          <w:bCs/>
          <w:sz w:val="24"/>
          <w:szCs w:val="24"/>
        </w:rPr>
        <w:t>.  This finding is the same in humans and was performed in the 1980s, 1990s and 2000s with the same results.</w:t>
      </w:r>
    </w:p>
    <w:p w:rsidR="00255115" w:rsidRDefault="00255115" w:rsidP="00255115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9) </w:t>
      </w:r>
      <w:r w:rsidRPr="00255115">
        <w:rPr>
          <w:rFonts w:cs="Helvetica-Bold"/>
          <w:bCs/>
          <w:sz w:val="24"/>
          <w:szCs w:val="24"/>
        </w:rPr>
        <w:t>While guidelines for the use of FFP in human patients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suggest that it should be reserved for patients with</w:t>
      </w:r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 xml:space="preserve">active bleeding or prior to surgery in </w:t>
      </w:r>
      <w:proofErr w:type="spellStart"/>
      <w:r w:rsidRPr="00255115">
        <w:rPr>
          <w:rFonts w:cs="Helvetica-Bold"/>
          <w:bCs/>
          <w:sz w:val="24"/>
          <w:szCs w:val="24"/>
        </w:rPr>
        <w:t>coagulopathic</w:t>
      </w:r>
      <w:proofErr w:type="spellEnd"/>
      <w:r>
        <w:rPr>
          <w:rFonts w:cs="Helvetica-Bold"/>
          <w:bCs/>
          <w:sz w:val="24"/>
          <w:szCs w:val="24"/>
        </w:rPr>
        <w:t xml:space="preserve"> </w:t>
      </w:r>
      <w:r w:rsidRPr="00255115">
        <w:rPr>
          <w:rFonts w:cs="Helvetica-Bold"/>
          <w:bCs/>
          <w:sz w:val="24"/>
          <w:szCs w:val="24"/>
        </w:rPr>
        <w:t>patients, no such guidelines exist for veterinary use</w:t>
      </w:r>
      <w:r>
        <w:rPr>
          <w:rFonts w:cs="Helvetica-Bold"/>
          <w:bCs/>
          <w:sz w:val="24"/>
          <w:szCs w:val="24"/>
        </w:rPr>
        <w:t>.</w:t>
      </w:r>
    </w:p>
    <w:p w:rsidR="00255115" w:rsidRDefault="00255115" w:rsidP="00255115">
      <w:pPr>
        <w:rPr>
          <w:rFonts w:cs="Helvetica-Bold"/>
          <w:bCs/>
          <w:sz w:val="24"/>
          <w:szCs w:val="24"/>
        </w:rPr>
      </w:pPr>
    </w:p>
    <w:p w:rsidR="00255115" w:rsidRDefault="00255115" w:rsidP="00255115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lastRenderedPageBreak/>
        <w:t>Questions:</w:t>
      </w:r>
    </w:p>
    <w:p w:rsidR="00F923EF" w:rsidRDefault="00F923EF" w:rsidP="00255115">
      <w:pPr>
        <w:rPr>
          <w:rFonts w:cs="Helvetica-Bold"/>
          <w:bCs/>
          <w:sz w:val="24"/>
          <w:szCs w:val="24"/>
        </w:rPr>
      </w:pPr>
    </w:p>
    <w:p w:rsidR="00F923EF" w:rsidRDefault="00F923EF" w:rsidP="00255115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1) What is the definition of FFP?</w:t>
      </w:r>
    </w:p>
    <w:p w:rsidR="00F923EF" w:rsidRDefault="00F923EF" w:rsidP="00255115">
      <w:pPr>
        <w:rPr>
          <w:rFonts w:cs="Helvetica-Bold"/>
          <w:bCs/>
          <w:sz w:val="24"/>
          <w:szCs w:val="24"/>
        </w:rPr>
      </w:pPr>
    </w:p>
    <w:p w:rsidR="00F923EF" w:rsidRDefault="00F923EF" w:rsidP="00255115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2) What factors are lacking from FP?</w:t>
      </w:r>
    </w:p>
    <w:p w:rsidR="00F923EF" w:rsidRDefault="00F923EF" w:rsidP="00255115">
      <w:pPr>
        <w:rPr>
          <w:rFonts w:cs="Helvetica-Bold"/>
          <w:bCs/>
          <w:sz w:val="24"/>
          <w:szCs w:val="24"/>
        </w:rPr>
      </w:pPr>
    </w:p>
    <w:p w:rsidR="00F923EF" w:rsidRDefault="00F923EF" w:rsidP="00255115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3) What is the INR and how is it calculated?</w:t>
      </w: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255115">
      <w:pPr>
        <w:rPr>
          <w:sz w:val="24"/>
          <w:szCs w:val="24"/>
        </w:rPr>
      </w:pPr>
    </w:p>
    <w:p w:rsidR="00F923EF" w:rsidRDefault="00F923EF" w:rsidP="00F923EF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lastRenderedPageBreak/>
        <w:t>Questions</w:t>
      </w:r>
      <w:r>
        <w:rPr>
          <w:rFonts w:cs="Helvetica-Bold"/>
          <w:bCs/>
          <w:sz w:val="24"/>
          <w:szCs w:val="24"/>
        </w:rPr>
        <w:t xml:space="preserve"> with answers</w:t>
      </w:r>
      <w:r>
        <w:rPr>
          <w:rFonts w:cs="Helvetica-Bold"/>
          <w:bCs/>
          <w:sz w:val="24"/>
          <w:szCs w:val="24"/>
        </w:rPr>
        <w:t>:</w:t>
      </w:r>
    </w:p>
    <w:p w:rsidR="00F923EF" w:rsidRDefault="00F923EF" w:rsidP="00F923EF">
      <w:pPr>
        <w:rPr>
          <w:rFonts w:cs="Helvetica-Bold"/>
          <w:bCs/>
          <w:sz w:val="24"/>
          <w:szCs w:val="24"/>
        </w:rPr>
      </w:pPr>
    </w:p>
    <w:p w:rsidR="00F923EF" w:rsidRDefault="00F923EF" w:rsidP="00F923EF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1) What is the definition of FFP?</w:t>
      </w:r>
    </w:p>
    <w:p w:rsidR="00F923EF" w:rsidRPr="00F923EF" w:rsidRDefault="00F923EF" w:rsidP="00F923EF">
      <w:pPr>
        <w:rPr>
          <w:rFonts w:cs="Helvetica-Bold"/>
          <w:bCs/>
          <w:i/>
          <w:sz w:val="24"/>
          <w:szCs w:val="24"/>
        </w:rPr>
      </w:pPr>
      <w:r w:rsidRPr="00F923EF">
        <w:rPr>
          <w:rFonts w:cs="Helvetica-Bold"/>
          <w:bCs/>
          <w:i/>
          <w:sz w:val="24"/>
          <w:szCs w:val="24"/>
        </w:rPr>
        <w:t xml:space="preserve">Fresh frozen plasma is plasma that has been separated from whole blood and frozen within 8 hours. It contains coagulation factors, anticoagulation factors such as </w:t>
      </w:r>
      <w:proofErr w:type="spellStart"/>
      <w:r w:rsidRPr="00F923EF">
        <w:rPr>
          <w:rFonts w:cs="Helvetica-Bold"/>
          <w:bCs/>
          <w:i/>
          <w:sz w:val="24"/>
          <w:szCs w:val="24"/>
        </w:rPr>
        <w:t>antithrombin</w:t>
      </w:r>
      <w:proofErr w:type="spellEnd"/>
      <w:r w:rsidRPr="00F923EF">
        <w:rPr>
          <w:rFonts w:cs="Helvetica-Bold"/>
          <w:bCs/>
          <w:i/>
          <w:sz w:val="24"/>
          <w:szCs w:val="24"/>
        </w:rPr>
        <w:t xml:space="preserve">, fibrinogen, albumin, and </w:t>
      </w:r>
      <w:proofErr w:type="spellStart"/>
      <w:r w:rsidRPr="00F923EF">
        <w:rPr>
          <w:rFonts w:cs="Helvetica-Bold"/>
          <w:bCs/>
          <w:i/>
          <w:sz w:val="24"/>
          <w:szCs w:val="24"/>
        </w:rPr>
        <w:t>alphamacroglobulins</w:t>
      </w:r>
      <w:proofErr w:type="spellEnd"/>
      <w:r w:rsidRPr="00F923EF">
        <w:rPr>
          <w:rFonts w:cs="Helvetica-Bold"/>
          <w:bCs/>
          <w:i/>
          <w:sz w:val="24"/>
          <w:szCs w:val="24"/>
        </w:rPr>
        <w:t>. It can be stored for up to 1 year when froze from −20 to −30 °C.</w:t>
      </w:r>
    </w:p>
    <w:p w:rsidR="00F923EF" w:rsidRPr="00F923EF" w:rsidRDefault="00F923EF" w:rsidP="00F923EF">
      <w:pPr>
        <w:rPr>
          <w:rFonts w:cs="Helvetica-Bold"/>
          <w:bCs/>
          <w:i/>
          <w:sz w:val="24"/>
          <w:szCs w:val="24"/>
        </w:rPr>
      </w:pPr>
    </w:p>
    <w:p w:rsidR="00F923EF" w:rsidRPr="00F923EF" w:rsidRDefault="00F923EF" w:rsidP="00F923EF">
      <w:pPr>
        <w:rPr>
          <w:rFonts w:cs="Helvetica-Bold"/>
          <w:bCs/>
          <w:i/>
          <w:sz w:val="24"/>
          <w:szCs w:val="24"/>
        </w:rPr>
      </w:pPr>
      <w:r>
        <w:rPr>
          <w:rFonts w:cs="Helvetica-Bold"/>
          <w:bCs/>
          <w:sz w:val="24"/>
          <w:szCs w:val="24"/>
        </w:rPr>
        <w:t>2) What factors are lacking from FP?</w:t>
      </w:r>
    </w:p>
    <w:p w:rsidR="00F923EF" w:rsidRPr="00F923EF" w:rsidRDefault="00F923EF" w:rsidP="00F923EF">
      <w:pPr>
        <w:rPr>
          <w:rFonts w:cs="Helvetica-Bold"/>
          <w:bCs/>
          <w:i/>
          <w:sz w:val="24"/>
          <w:szCs w:val="24"/>
        </w:rPr>
      </w:pPr>
      <w:r w:rsidRPr="00F923EF">
        <w:rPr>
          <w:rFonts w:cs="Helvetica-Bold"/>
          <w:bCs/>
          <w:i/>
          <w:sz w:val="24"/>
          <w:szCs w:val="24"/>
        </w:rPr>
        <w:t>Factors V and VIII</w:t>
      </w:r>
    </w:p>
    <w:p w:rsidR="00F923EF" w:rsidRDefault="00F923EF" w:rsidP="00F923EF">
      <w:pPr>
        <w:rPr>
          <w:rFonts w:cs="Helvetica-Bold"/>
          <w:bCs/>
          <w:sz w:val="24"/>
          <w:szCs w:val="24"/>
        </w:rPr>
      </w:pPr>
    </w:p>
    <w:p w:rsidR="00F923EF" w:rsidRDefault="00F923EF" w:rsidP="00F923EF">
      <w:pPr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3) What is the INR and how is it calculated?</w:t>
      </w:r>
    </w:p>
    <w:p w:rsidR="00F923EF" w:rsidRPr="00877923" w:rsidRDefault="00F923EF" w:rsidP="00255115">
      <w:pPr>
        <w:rPr>
          <w:i/>
          <w:sz w:val="24"/>
          <w:szCs w:val="24"/>
        </w:rPr>
      </w:pPr>
      <w:r w:rsidRPr="00877923">
        <w:rPr>
          <w:i/>
          <w:sz w:val="24"/>
          <w:szCs w:val="24"/>
        </w:rPr>
        <w:t xml:space="preserve">INR is the International Normalization Ratio.  </w:t>
      </w:r>
      <w:r w:rsidR="00877923" w:rsidRPr="00877923">
        <w:rPr>
          <w:bCs/>
          <w:i/>
          <w:sz w:val="24"/>
          <w:szCs w:val="24"/>
        </w:rPr>
        <w:t>The INR is a standardized measurement of coagulation based on the PT test developed to monitor warfarin therapy. It is calculated as INR = (observe</w:t>
      </w:r>
      <w:bookmarkStart w:id="0" w:name="_GoBack"/>
      <w:bookmarkEnd w:id="0"/>
      <w:r w:rsidR="00877923" w:rsidRPr="00877923">
        <w:rPr>
          <w:bCs/>
          <w:i/>
          <w:sz w:val="24"/>
          <w:szCs w:val="24"/>
        </w:rPr>
        <w:t>d PT ratio) where the observed PT ratio is the patient’s PT value divided by the mean normal PT.</w:t>
      </w:r>
    </w:p>
    <w:sectPr w:rsidR="00F923EF" w:rsidRPr="00877923" w:rsidSect="00C003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4D"/>
    <w:rsid w:val="001F1C1B"/>
    <w:rsid w:val="00255115"/>
    <w:rsid w:val="00877923"/>
    <w:rsid w:val="009045F6"/>
    <w:rsid w:val="00C0034D"/>
    <w:rsid w:val="00F9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992048-320C-4E13-9E0B-EC1AB9CA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2015-11-16T22:42:00Z</dcterms:created>
  <dcterms:modified xsi:type="dcterms:W3CDTF">2015-11-16T23:18:00Z</dcterms:modified>
</cp:coreProperties>
</file>