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4F" w:rsidRDefault="00DB4536">
      <w:r>
        <w:t>Chapter 45</w:t>
      </w:r>
    </w:p>
    <w:p w:rsidR="00DB4536" w:rsidRDefault="00DB4536">
      <w:r>
        <w:t>Thoracic blocks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r>
        <w:t>Intercostal nerve blockade involves injection of a local anesthetic</w:t>
      </w:r>
      <w:r>
        <w:t xml:space="preserve"> </w:t>
      </w:r>
      <w:r>
        <w:t>solution adjacent to several contiguous intercostal nerves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proofErr w:type="spellStart"/>
      <w:r>
        <w:t>Interpleural</w:t>
      </w:r>
      <w:proofErr w:type="spellEnd"/>
      <w:r>
        <w:t xml:space="preserve"> analgesia involves deposition of a local anesthetic</w:t>
      </w:r>
      <w:r>
        <w:t xml:space="preserve"> </w:t>
      </w:r>
      <w:r>
        <w:t>solution into the pleural space that exists between the parietal and</w:t>
      </w:r>
      <w:r>
        <w:t xml:space="preserve"> </w:t>
      </w:r>
      <w:r>
        <w:t>visceral pleurae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r>
        <w:t>Multiple studies in dogs have shown</w:t>
      </w:r>
      <w:r>
        <w:t xml:space="preserve"> </w:t>
      </w:r>
      <w:r>
        <w:t xml:space="preserve">that </w:t>
      </w:r>
      <w:proofErr w:type="spellStart"/>
      <w:r>
        <w:t>interpleurally</w:t>
      </w:r>
      <w:proofErr w:type="spellEnd"/>
      <w:r>
        <w:t xml:space="preserve"> administered local anesthetics works by gravity</w:t>
      </w:r>
      <w:r>
        <w:t xml:space="preserve"> </w:t>
      </w:r>
      <w:r>
        <w:t>dependent,</w:t>
      </w:r>
      <w:r>
        <w:t xml:space="preserve"> </w:t>
      </w:r>
      <w:proofErr w:type="spellStart"/>
      <w:r>
        <w:t>multidermatomal</w:t>
      </w:r>
      <w:proofErr w:type="spellEnd"/>
      <w:r>
        <w:t xml:space="preserve"> blockade of intercostal nerves</w:t>
      </w:r>
    </w:p>
    <w:p w:rsidR="00DB4536" w:rsidRDefault="00DB4536" w:rsidP="00DB4536">
      <w:r w:rsidRPr="00DB4536">
        <w:t>Intercostal nerve blocks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r>
        <w:t>The thoracic and cranial lumbar (L1, L2) spinal nerves are responsible</w:t>
      </w:r>
      <w:r>
        <w:t xml:space="preserve"> </w:t>
      </w:r>
      <w:r>
        <w:t>for sensory innervation of the trunk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r>
        <w:t>The ventral</w:t>
      </w:r>
      <w:r>
        <w:t xml:space="preserve"> </w:t>
      </w:r>
      <w:r>
        <w:t>branches of the thoracic spinal nerves (T2–T13) contribute to the</w:t>
      </w:r>
      <w:r>
        <w:t xml:space="preserve"> </w:t>
      </w:r>
      <w:r>
        <w:t>peripheral nerves that are found within the intercostal spaces</w:t>
      </w:r>
      <w:r>
        <w:t xml:space="preserve"> </w:t>
      </w:r>
      <w:r>
        <w:t>between adjacent ribs</w:t>
      </w:r>
    </w:p>
    <w:p w:rsidR="00DB4536" w:rsidRDefault="00DB4536" w:rsidP="00DB4536">
      <w:pPr>
        <w:pStyle w:val="ListParagraph"/>
        <w:numPr>
          <w:ilvl w:val="0"/>
          <w:numId w:val="1"/>
        </w:numPr>
      </w:pPr>
      <w:r>
        <w:t>Intercostal nerves lie immediately caudal to</w:t>
      </w:r>
      <w:r>
        <w:t xml:space="preserve"> </w:t>
      </w:r>
      <w:r>
        <w:t>each rib and run in close proximity to the intercostal arteries and</w:t>
      </w:r>
      <w:r>
        <w:t xml:space="preserve"> </w:t>
      </w:r>
      <w:r>
        <w:t>veins that lie beneath the parietal pleura along the caudal aspect of</w:t>
      </w:r>
      <w:r>
        <w:t xml:space="preserve"> </w:t>
      </w:r>
      <w:r>
        <w:t>the associated ribs</w:t>
      </w:r>
    </w:p>
    <w:p w:rsidR="00DB4536" w:rsidRDefault="00DB4536" w:rsidP="00DB4536">
      <w:pPr>
        <w:ind w:left="360"/>
      </w:pPr>
      <w:r>
        <w:rPr>
          <w:noProof/>
        </w:rPr>
        <w:drawing>
          <wp:inline distT="0" distB="0" distL="0" distR="0">
            <wp:extent cx="5934075" cy="4257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36" w:rsidRDefault="00AB54F3" w:rsidP="00AB54F3">
      <w:pPr>
        <w:pStyle w:val="ListParagraph"/>
        <w:numPr>
          <w:ilvl w:val="0"/>
          <w:numId w:val="1"/>
        </w:numPr>
      </w:pPr>
      <w:r>
        <w:t>After calculating the maximum dose to be used for the</w:t>
      </w:r>
      <w:r>
        <w:t xml:space="preserve"> </w:t>
      </w:r>
      <w:r>
        <w:t>patient, an appropriate volume of local anesthetic (0.5–1.0 mL) is</w:t>
      </w:r>
      <w:r>
        <w:t xml:space="preserve"> </w:t>
      </w:r>
      <w:r>
        <w:t>then slowly injected through the needle at the site on the caudal</w:t>
      </w:r>
      <w:r>
        <w:t xml:space="preserve"> </w:t>
      </w:r>
      <w:r>
        <w:t>aspect of the rib to perform an individual intercostal nerve block</w:t>
      </w:r>
    </w:p>
    <w:p w:rsidR="00AB54F3" w:rsidRDefault="00AB54F3" w:rsidP="00AB54F3">
      <w:proofErr w:type="spellStart"/>
      <w:r w:rsidRPr="00AB54F3">
        <w:t>Interpleural</w:t>
      </w:r>
      <w:proofErr w:type="spellEnd"/>
      <w:r w:rsidRPr="00AB54F3">
        <w:t xml:space="preserve"> regional analgesia</w:t>
      </w:r>
    </w:p>
    <w:p w:rsidR="00AB54F3" w:rsidRDefault="00AB54F3" w:rsidP="00AB54F3">
      <w:pPr>
        <w:pStyle w:val="ListParagraph"/>
        <w:numPr>
          <w:ilvl w:val="0"/>
          <w:numId w:val="1"/>
        </w:numPr>
      </w:pPr>
      <w:r>
        <w:lastRenderedPageBreak/>
        <w:t>An over</w:t>
      </w:r>
      <w:r>
        <w:t xml:space="preserve"> </w:t>
      </w:r>
      <w:r>
        <w:t>the‐needle catheter is connected to a syringe filled with 2–3 mL of</w:t>
      </w:r>
      <w:r>
        <w:t xml:space="preserve"> </w:t>
      </w:r>
      <w:r>
        <w:t>saline via a three‐way stopcock, and is advanced onto the lateral</w:t>
      </w:r>
      <w:r>
        <w:t xml:space="preserve"> </w:t>
      </w:r>
      <w:r>
        <w:t>aspect of the seventh or eighth rib at its midpoint</w:t>
      </w:r>
    </w:p>
    <w:p w:rsidR="00AB54F3" w:rsidRDefault="00AB54F3" w:rsidP="00AB54F3">
      <w:pPr>
        <w:pStyle w:val="ListParagraph"/>
        <w:numPr>
          <w:ilvl w:val="0"/>
          <w:numId w:val="1"/>
        </w:numPr>
      </w:pPr>
      <w:r>
        <w:t>The large surface area of the pleura can potentially result in rapid</w:t>
      </w:r>
      <w:r>
        <w:t xml:space="preserve"> </w:t>
      </w:r>
      <w:r>
        <w:t>absorption of the administered local anesthetic solution and high</w:t>
      </w:r>
      <w:r>
        <w:t xml:space="preserve"> </w:t>
      </w:r>
      <w:r>
        <w:t>plasma levels of the local anesthetic can result, potentially leading</w:t>
      </w:r>
      <w:r>
        <w:t xml:space="preserve"> </w:t>
      </w:r>
      <w:r>
        <w:t>to local anesthetic systemic toxicity</w:t>
      </w:r>
    </w:p>
    <w:p w:rsidR="00AB54F3" w:rsidRDefault="00AB54F3" w:rsidP="00AB54F3">
      <w:pPr>
        <w:pStyle w:val="ListParagraph"/>
        <w:numPr>
          <w:ilvl w:val="0"/>
          <w:numId w:val="1"/>
        </w:numPr>
      </w:pPr>
      <w:r>
        <w:t>Investigators observed a loss of diaphragmatic function on the</w:t>
      </w:r>
      <w:r>
        <w:t xml:space="preserve"> </w:t>
      </w:r>
      <w:r>
        <w:t xml:space="preserve">injection side after administration of 1.5 mg/kg of </w:t>
      </w:r>
      <w:proofErr w:type="spellStart"/>
      <w:r>
        <w:t>interpleural</w:t>
      </w:r>
      <w:proofErr w:type="spellEnd"/>
      <w:r>
        <w:t xml:space="preserve"> </w:t>
      </w:r>
      <w:r>
        <w:t>bupivacaine</w:t>
      </w:r>
    </w:p>
    <w:p w:rsidR="00AB54F3" w:rsidRDefault="00AB54F3" w:rsidP="00AB54F3">
      <w:pPr>
        <w:pStyle w:val="ListParagraph"/>
      </w:pPr>
    </w:p>
    <w:p w:rsidR="00AB54F3" w:rsidRDefault="00AB54F3" w:rsidP="00AB54F3">
      <w:r w:rsidRPr="00AB54F3">
        <w:t>Transversus abdominis plane (TAP) block</w:t>
      </w:r>
    </w:p>
    <w:p w:rsidR="00AB54F3" w:rsidRDefault="00AB54F3" w:rsidP="00AB54F3">
      <w:pPr>
        <w:pStyle w:val="ListParagraph"/>
        <w:numPr>
          <w:ilvl w:val="0"/>
          <w:numId w:val="1"/>
        </w:numPr>
      </w:pPr>
      <w:r>
        <w:t>D</w:t>
      </w:r>
      <w:r>
        <w:t>eposition of</w:t>
      </w:r>
      <w:r>
        <w:t xml:space="preserve"> </w:t>
      </w:r>
      <w:r>
        <w:t>a local anesthetic solution into a neuro‐fascial plane, effectively blocking</w:t>
      </w:r>
      <w:r>
        <w:t xml:space="preserve"> </w:t>
      </w:r>
      <w:r>
        <w:t>the nerves that supply the anterior abdominal wall that exists within</w:t>
      </w:r>
      <w:r>
        <w:t xml:space="preserve"> </w:t>
      </w:r>
      <w:r>
        <w:t>the potential space between the transversus abdominis and internal</w:t>
      </w:r>
      <w:r>
        <w:t xml:space="preserve"> abdominal oblique muscles</w:t>
      </w:r>
    </w:p>
    <w:p w:rsidR="00AB54F3" w:rsidRDefault="00AB54F3" w:rsidP="00AB54F3">
      <w:pPr>
        <w:pStyle w:val="ListParagraph"/>
        <w:numPr>
          <w:ilvl w:val="0"/>
          <w:numId w:val="1"/>
        </w:numPr>
      </w:pPr>
      <w:r>
        <w:t>The abdominal wall consists of three muscle layers: the external</w:t>
      </w:r>
      <w:r>
        <w:t xml:space="preserve"> </w:t>
      </w:r>
      <w:r>
        <w:t>abdominal oblique, the internal abdominal oblique, and the transversus</w:t>
      </w:r>
      <w:r>
        <w:t xml:space="preserve"> </w:t>
      </w:r>
      <w:r>
        <w:t>abdominis, in addition to their associated fascial sheaths</w:t>
      </w:r>
    </w:p>
    <w:p w:rsidR="00AB54F3" w:rsidRDefault="00A67FA3" w:rsidP="00A67FA3">
      <w:pPr>
        <w:pStyle w:val="ListParagraph"/>
        <w:numPr>
          <w:ilvl w:val="0"/>
          <w:numId w:val="1"/>
        </w:numPr>
      </w:pPr>
      <w:r>
        <w:t>The segmental ventral branches of the caudal thoracic and cranial</w:t>
      </w:r>
      <w:r>
        <w:t xml:space="preserve"> </w:t>
      </w:r>
      <w:r>
        <w:t>lumbar nerves innervate the skin, muscles, and parietal peritoneum</w:t>
      </w:r>
      <w:r>
        <w:t xml:space="preserve"> </w:t>
      </w:r>
      <w:r>
        <w:t>of the ventral abdominal wall</w:t>
      </w:r>
    </w:p>
    <w:p w:rsidR="00A67FA3" w:rsidRDefault="00A67FA3" w:rsidP="00A67FA3">
      <w:pPr>
        <w:ind w:left="360"/>
      </w:pPr>
      <w:r>
        <w:rPr>
          <w:noProof/>
        </w:rPr>
        <w:drawing>
          <wp:inline distT="0" distB="0" distL="0" distR="0">
            <wp:extent cx="4886325" cy="2857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FA3" w:rsidRDefault="00A67FA3" w:rsidP="00A67FA3"/>
    <w:p w:rsidR="00A67FA3" w:rsidRDefault="00A67FA3" w:rsidP="00A67FA3">
      <w:r>
        <w:t>Pelvic limb</w:t>
      </w:r>
    </w:p>
    <w:p w:rsidR="00A67FA3" w:rsidRDefault="00A67FA3" w:rsidP="00A67FA3">
      <w:pPr>
        <w:pStyle w:val="ListParagraph"/>
        <w:numPr>
          <w:ilvl w:val="0"/>
          <w:numId w:val="1"/>
        </w:numPr>
      </w:pPr>
      <w:r>
        <w:t>The pelvic limb is supplied by two nerve plexuses (lumbar and</w:t>
      </w:r>
      <w:r>
        <w:t xml:space="preserve"> </w:t>
      </w:r>
      <w:r>
        <w:t>sacral) that need to be partly or entirely blocked to provide surgical</w:t>
      </w:r>
      <w:r>
        <w:t xml:space="preserve"> </w:t>
      </w:r>
      <w:r>
        <w:t>anesthesia and analgesia to the entire pelvic limb (including the</w:t>
      </w:r>
      <w:r>
        <w:t xml:space="preserve"> </w:t>
      </w:r>
      <w:proofErr w:type="spellStart"/>
      <w:r>
        <w:t>hemipelvis</w:t>
      </w:r>
      <w:proofErr w:type="spellEnd"/>
      <w:r>
        <w:t>)</w:t>
      </w:r>
    </w:p>
    <w:p w:rsidR="00A67FA3" w:rsidRDefault="00A67FA3" w:rsidP="00A67FA3">
      <w:pPr>
        <w:pStyle w:val="ListParagraph"/>
        <w:numPr>
          <w:ilvl w:val="0"/>
          <w:numId w:val="1"/>
        </w:numPr>
      </w:pPr>
      <w:r>
        <w:t>Blocking the femoral/saphenous nerve will provide</w:t>
      </w:r>
      <w:r>
        <w:t xml:space="preserve"> </w:t>
      </w:r>
      <w:r>
        <w:t xml:space="preserve">anesthesia of the femur (mid‐diaphysis to distal), </w:t>
      </w:r>
      <w:proofErr w:type="spellStart"/>
      <w:r>
        <w:t>femorotibial</w:t>
      </w:r>
      <w:proofErr w:type="spellEnd"/>
      <w:r>
        <w:t xml:space="preserve"> joint</w:t>
      </w:r>
      <w:r>
        <w:t xml:space="preserve"> </w:t>
      </w:r>
      <w:r>
        <w:t xml:space="preserve">(medial aspect of the </w:t>
      </w:r>
      <w:proofErr w:type="spellStart"/>
      <w:r>
        <w:t>femorotibial</w:t>
      </w:r>
      <w:proofErr w:type="spellEnd"/>
      <w:r>
        <w:t xml:space="preserve"> joint capsule), </w:t>
      </w:r>
      <w:proofErr w:type="spellStart"/>
      <w:r>
        <w:t>femorotibial</w:t>
      </w:r>
      <w:proofErr w:type="spellEnd"/>
      <w:r>
        <w:t xml:space="preserve"> intraarticular</w:t>
      </w:r>
      <w:r>
        <w:t xml:space="preserve"> </w:t>
      </w:r>
      <w:r>
        <w:t>structures, skin of the dorsomedial tarsus and first digit</w:t>
      </w:r>
    </w:p>
    <w:p w:rsidR="00A67FA3" w:rsidRDefault="00A67FA3" w:rsidP="00A67FA3">
      <w:pPr>
        <w:pStyle w:val="ListParagraph"/>
        <w:numPr>
          <w:ilvl w:val="0"/>
          <w:numId w:val="1"/>
        </w:numPr>
      </w:pPr>
      <w:r>
        <w:t>The sciatic nerve block (if used alone) is sufficient to perform surgery</w:t>
      </w:r>
      <w:r>
        <w:t xml:space="preserve"> </w:t>
      </w:r>
      <w:r>
        <w:t>of the foot and hock</w:t>
      </w:r>
    </w:p>
    <w:p w:rsidR="00A67FA3" w:rsidRDefault="00A67FA3" w:rsidP="00A67FA3">
      <w:pPr>
        <w:pStyle w:val="ListParagraph"/>
        <w:numPr>
          <w:ilvl w:val="0"/>
          <w:numId w:val="1"/>
        </w:numPr>
      </w:pPr>
      <w:r>
        <w:t>Both nerves (femoral and sciatic) must be</w:t>
      </w:r>
      <w:r>
        <w:t xml:space="preserve"> </w:t>
      </w:r>
      <w:r>
        <w:t xml:space="preserve">blocked </w:t>
      </w:r>
      <w:r>
        <w:t>for almost any stifle procedure</w:t>
      </w:r>
    </w:p>
    <w:p w:rsidR="00A67FA3" w:rsidRDefault="00A67FA3" w:rsidP="00A67FA3">
      <w:pPr>
        <w:pStyle w:val="ListParagraph"/>
        <w:numPr>
          <w:ilvl w:val="0"/>
          <w:numId w:val="1"/>
        </w:numPr>
      </w:pPr>
      <w:r>
        <w:t>At the caudal aspect of the iliopsoas muscle, the femoral nerve</w:t>
      </w:r>
      <w:r>
        <w:t xml:space="preserve"> </w:t>
      </w:r>
      <w:r>
        <w:t>exits the muscle and courses across the femoral triangle</w:t>
      </w:r>
    </w:p>
    <w:p w:rsidR="00A67FA3" w:rsidRDefault="000B0A6F" w:rsidP="000B0A6F">
      <w:pPr>
        <w:pStyle w:val="ListParagraph"/>
        <w:numPr>
          <w:ilvl w:val="0"/>
          <w:numId w:val="1"/>
        </w:numPr>
      </w:pPr>
      <w:r>
        <w:lastRenderedPageBreak/>
        <w:t>The femoral triangle is demarcated by the iliopsoas muscle proximally,</w:t>
      </w:r>
      <w:r>
        <w:t xml:space="preserve"> </w:t>
      </w:r>
      <w:r>
        <w:t xml:space="preserve">the pectineus muscle caudally, and the </w:t>
      </w:r>
      <w:proofErr w:type="spellStart"/>
      <w:r>
        <w:t>sartorius</w:t>
      </w:r>
      <w:proofErr w:type="spellEnd"/>
      <w:r>
        <w:t xml:space="preserve"> muscle cranially</w:t>
      </w:r>
    </w:p>
    <w:p w:rsidR="000B0A6F" w:rsidRDefault="000B0A6F" w:rsidP="000B0A6F">
      <w:r>
        <w:t>Sciatic nerve block</w:t>
      </w:r>
    </w:p>
    <w:p w:rsidR="000B0A6F" w:rsidRDefault="000B0A6F" w:rsidP="000B0A6F">
      <w:pPr>
        <w:pStyle w:val="ListParagraph"/>
        <w:numPr>
          <w:ilvl w:val="0"/>
          <w:numId w:val="1"/>
        </w:numPr>
      </w:pPr>
      <w:r>
        <w:t>The sciatic nerve courses down the pelvic limb between the greater</w:t>
      </w:r>
      <w:r>
        <w:t xml:space="preserve"> </w:t>
      </w:r>
      <w:r>
        <w:t xml:space="preserve">trochanter and the </w:t>
      </w:r>
      <w:proofErr w:type="spellStart"/>
      <w:r>
        <w:t>ischiatic</w:t>
      </w:r>
      <w:proofErr w:type="spellEnd"/>
      <w:r>
        <w:t xml:space="preserve"> tuberosity</w:t>
      </w:r>
    </w:p>
    <w:p w:rsidR="000B0A6F" w:rsidRDefault="000B0A6F" w:rsidP="000B0A6F">
      <w:pPr>
        <w:pStyle w:val="ListParagraph"/>
        <w:numPr>
          <w:ilvl w:val="0"/>
          <w:numId w:val="1"/>
        </w:numPr>
      </w:pPr>
      <w:r>
        <w:t>T</w:t>
      </w:r>
      <w:r>
        <w:t>he sciatic nerve gives rise to the muscular branches that supply the</w:t>
      </w:r>
      <w:r>
        <w:t xml:space="preserve"> </w:t>
      </w:r>
      <w:r>
        <w:t>hamstring muscles (semitendinosus and semimembranosus muscles)</w:t>
      </w:r>
    </w:p>
    <w:p w:rsidR="000B0A6F" w:rsidRDefault="000B0A6F" w:rsidP="000B0A6F">
      <w:r>
        <w:t>Intra-articular blocks</w:t>
      </w:r>
    </w:p>
    <w:p w:rsidR="00B07B98" w:rsidRDefault="00B07B98" w:rsidP="00B07B98">
      <w:pPr>
        <w:pStyle w:val="ListParagraph"/>
        <w:numPr>
          <w:ilvl w:val="0"/>
          <w:numId w:val="1"/>
        </w:numPr>
      </w:pPr>
      <w:r>
        <w:t>A commonly used strategy for pain management following joint</w:t>
      </w:r>
      <w:r>
        <w:t xml:space="preserve"> </w:t>
      </w:r>
      <w:r>
        <w:t>surgery is the intra‐articular administration of analgesics such as</w:t>
      </w:r>
      <w:r>
        <w:t xml:space="preserve"> </w:t>
      </w:r>
      <w:r>
        <w:t>local anesthetics or opioids</w:t>
      </w:r>
    </w:p>
    <w:p w:rsidR="000B0A6F" w:rsidRDefault="00B07B98" w:rsidP="00B07B98">
      <w:pPr>
        <w:pStyle w:val="ListParagraph"/>
        <w:numPr>
          <w:ilvl w:val="0"/>
          <w:numId w:val="1"/>
        </w:numPr>
      </w:pPr>
      <w:r>
        <w:t>The intra‐articular injection of</w:t>
      </w:r>
      <w:r>
        <w:t xml:space="preserve"> </w:t>
      </w:r>
      <w:r>
        <w:t>local anesthetics desensitizes intra‐articular structures only and</w:t>
      </w:r>
      <w:r>
        <w:t xml:space="preserve"> </w:t>
      </w:r>
      <w:r>
        <w:t>may reduce the dose and interval for administrating supplemental</w:t>
      </w:r>
      <w:r>
        <w:t xml:space="preserve"> </w:t>
      </w:r>
      <w:r>
        <w:t>analgesic therapy</w:t>
      </w:r>
    </w:p>
    <w:p w:rsidR="00B07B98" w:rsidRDefault="00B07B98" w:rsidP="00B07B98">
      <w:r>
        <w:t>Epidural anesthesia</w:t>
      </w:r>
    </w:p>
    <w:p w:rsidR="00B07B98" w:rsidRDefault="00B07B98" w:rsidP="00B07B98">
      <w:pPr>
        <w:pStyle w:val="ListParagraph"/>
        <w:numPr>
          <w:ilvl w:val="0"/>
          <w:numId w:val="1"/>
        </w:numPr>
      </w:pPr>
      <w:r>
        <w:t>The lumbosacral approach (L7–S1) to performing epidural</w:t>
      </w:r>
      <w:r>
        <w:t xml:space="preserve"> </w:t>
      </w:r>
      <w:r>
        <w:t>anesthesia in dogs and cats is technically easy to perform owing</w:t>
      </w:r>
      <w:r>
        <w:t xml:space="preserve"> </w:t>
      </w:r>
      <w:r>
        <w:t>to the relatively wide interv</w:t>
      </w:r>
      <w:r>
        <w:t>ertebral space at this location</w:t>
      </w:r>
      <w:r>
        <w:t>,</w:t>
      </w:r>
      <w:r>
        <w:t xml:space="preserve"> </w:t>
      </w:r>
      <w:r>
        <w:t>although more cranial approaches in dogs have also been</w:t>
      </w:r>
      <w:r>
        <w:t xml:space="preserve"> </w:t>
      </w:r>
      <w:r>
        <w:t>described</w:t>
      </w:r>
    </w:p>
    <w:p w:rsidR="00B07B98" w:rsidRDefault="00B07B98" w:rsidP="00B07B98">
      <w:pPr>
        <w:pStyle w:val="ListParagraph"/>
        <w:numPr>
          <w:ilvl w:val="0"/>
          <w:numId w:val="1"/>
        </w:numPr>
      </w:pPr>
      <w:r>
        <w:t xml:space="preserve">A </w:t>
      </w:r>
      <w:proofErr w:type="spellStart"/>
      <w:r>
        <w:t>sacrococcygeal</w:t>
      </w:r>
      <w:proofErr w:type="spellEnd"/>
      <w:r>
        <w:t xml:space="preserve"> approach to the epidural</w:t>
      </w:r>
      <w:r>
        <w:t xml:space="preserve"> </w:t>
      </w:r>
      <w:r>
        <w:t xml:space="preserve">space has been described in cats to minimize the risk of </w:t>
      </w:r>
      <w:proofErr w:type="spellStart"/>
      <w:r>
        <w:t>dural</w:t>
      </w:r>
      <w:proofErr w:type="spellEnd"/>
      <w:r>
        <w:t xml:space="preserve"> </w:t>
      </w:r>
      <w:r>
        <w:t>puncture and help facilitate urethral catheterization in blocked</w:t>
      </w:r>
      <w:r>
        <w:t xml:space="preserve"> </w:t>
      </w:r>
      <w:r>
        <w:t>cats</w:t>
      </w:r>
    </w:p>
    <w:p w:rsidR="00B07B98" w:rsidRDefault="00B07B98" w:rsidP="00B07B98">
      <w:pPr>
        <w:ind w:left="360"/>
        <w:jc w:val="center"/>
      </w:pPr>
      <w:r>
        <w:rPr>
          <w:noProof/>
        </w:rPr>
        <w:drawing>
          <wp:inline distT="0" distB="0" distL="0" distR="0">
            <wp:extent cx="3817089" cy="4644487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81" cy="46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98" w:rsidRDefault="003B7FD2" w:rsidP="003B7FD2">
      <w:pPr>
        <w:pStyle w:val="ListParagraph"/>
        <w:numPr>
          <w:ilvl w:val="0"/>
          <w:numId w:val="1"/>
        </w:numPr>
      </w:pPr>
      <w:r>
        <w:lastRenderedPageBreak/>
        <w:t>A</w:t>
      </w:r>
      <w:r>
        <w:t>nimal may be placed in</w:t>
      </w:r>
      <w:r>
        <w:t xml:space="preserve"> </w:t>
      </w:r>
      <w:r>
        <w:t>eithe</w:t>
      </w:r>
      <w:r>
        <w:t xml:space="preserve">r sternal or lateral </w:t>
      </w:r>
      <w:proofErr w:type="spellStart"/>
      <w:r>
        <w:t>recumbency</w:t>
      </w:r>
      <w:proofErr w:type="spellEnd"/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The standard lumbosacral puncture site is located between the</w:t>
      </w:r>
      <w:r>
        <w:t xml:space="preserve"> </w:t>
      </w:r>
      <w:r>
        <w:t>dorsal spinous processes of L7 and S1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The needle is advanced through the skin and into</w:t>
      </w:r>
      <w:r>
        <w:t xml:space="preserve"> </w:t>
      </w:r>
      <w:r>
        <w:t>the subcutaneous tissue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 xml:space="preserve">The needle is then advanced through the supraspinous and </w:t>
      </w:r>
      <w:proofErr w:type="spellStart"/>
      <w:r>
        <w:t>interspinous</w:t>
      </w:r>
      <w:proofErr w:type="spellEnd"/>
      <w:r>
        <w:t xml:space="preserve"> </w:t>
      </w:r>
      <w:r>
        <w:t>ligaments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Resistance will be noted as the</w:t>
      </w:r>
      <w:r>
        <w:t xml:space="preserve"> </w:t>
      </w:r>
      <w:r>
        <w:t>needle penetrates these ligaments</w:t>
      </w:r>
      <w:r>
        <w:t>, i</w:t>
      </w:r>
      <w:r>
        <w:t>f during any of these manipulations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T</w:t>
      </w:r>
      <w:r>
        <w:t>he needle comes into contact with bony structures, it</w:t>
      </w:r>
      <w:r>
        <w:t xml:space="preserve"> </w:t>
      </w:r>
      <w:r>
        <w:t>should be withdrawn slightly, and redirected cranial or caudal as</w:t>
      </w:r>
      <w:r>
        <w:t xml:space="preserve"> </w:t>
      </w:r>
      <w:r>
        <w:t>appropriate in a gentle and controlled manner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If a drop of saline or</w:t>
      </w:r>
      <w:r>
        <w:t xml:space="preserve"> </w:t>
      </w:r>
      <w:r>
        <w:t>local anesthetic solution is placed in the hub of a Tuohy needle, as</w:t>
      </w:r>
      <w:r>
        <w:t xml:space="preserve"> </w:t>
      </w:r>
      <w:r>
        <w:t>the needle penetrates into the epidural space it will usually be</w:t>
      </w:r>
      <w:r>
        <w:t xml:space="preserve"> </w:t>
      </w:r>
      <w:r>
        <w:t>aspirated into the space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>Resistance to injection of air or fluid is felt while the needle is</w:t>
      </w:r>
      <w:r>
        <w:t xml:space="preserve"> </w:t>
      </w:r>
      <w:r>
        <w:t>advanced through the intervertebral ligaments</w:t>
      </w:r>
    </w:p>
    <w:p w:rsidR="003B7FD2" w:rsidRDefault="003B7FD2" w:rsidP="003B7FD2">
      <w:pPr>
        <w:pStyle w:val="ListParagraph"/>
        <w:numPr>
          <w:ilvl w:val="0"/>
          <w:numId w:val="1"/>
        </w:numPr>
      </w:pPr>
      <w:r>
        <w:t xml:space="preserve">If </w:t>
      </w:r>
      <w:r>
        <w:t xml:space="preserve"> </w:t>
      </w:r>
      <w:r>
        <w:t>pressure is</w:t>
      </w:r>
      <w:r>
        <w:t xml:space="preserve"> </w:t>
      </w:r>
      <w:r>
        <w:t>being applied to the plunger of a ‘loss of resistance’ (LOR)</w:t>
      </w:r>
      <w:r>
        <w:t xml:space="preserve"> </w:t>
      </w:r>
      <w:r>
        <w:t>syringe, a sudden loss of resistance to injection will be appreciated</w:t>
      </w:r>
      <w:r>
        <w:t xml:space="preserve"> </w:t>
      </w:r>
      <w:r>
        <w:t xml:space="preserve">when the needle punctures the ligamentum </w:t>
      </w:r>
      <w:proofErr w:type="spellStart"/>
      <w:r>
        <w:t>flavum</w:t>
      </w:r>
      <w:proofErr w:type="spellEnd"/>
      <w:r>
        <w:t xml:space="preserve"> and</w:t>
      </w:r>
      <w:r>
        <w:t xml:space="preserve"> </w:t>
      </w:r>
      <w:r>
        <w:t>enters the epidural space</w:t>
      </w:r>
    </w:p>
    <w:p w:rsidR="003B7FD2" w:rsidRDefault="003B7FD2" w:rsidP="003B7FD2">
      <w:pPr>
        <w:jc w:val="center"/>
      </w:pPr>
      <w:r>
        <w:rPr>
          <w:noProof/>
        </w:rPr>
        <w:drawing>
          <wp:inline distT="0" distB="0" distL="0" distR="0">
            <wp:extent cx="4572000" cy="1866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D2" w:rsidRDefault="003B7FD2" w:rsidP="003B7FD2">
      <w:r w:rsidRPr="003B7FD2">
        <w:t>Intravenous regional anesthesia (IVRA)</w:t>
      </w:r>
    </w:p>
    <w:p w:rsidR="00E205FD" w:rsidRDefault="00E205FD" w:rsidP="00E205FD">
      <w:pPr>
        <w:pStyle w:val="ListParagraph"/>
        <w:numPr>
          <w:ilvl w:val="0"/>
          <w:numId w:val="1"/>
        </w:numPr>
      </w:pPr>
      <w:r>
        <w:t>IVRA is relatively straightforward</w:t>
      </w:r>
      <w:r>
        <w:t xml:space="preserve"> </w:t>
      </w:r>
      <w:r>
        <w:t>to perform: a tourniquet is applied to a limb proximal to</w:t>
      </w:r>
      <w:r>
        <w:t xml:space="preserve"> </w:t>
      </w:r>
      <w:r>
        <w:t>the planned surgical site and a local anesthetic is injected intravenously</w:t>
      </w:r>
      <w:r>
        <w:t xml:space="preserve"> </w:t>
      </w:r>
      <w:r>
        <w:t>distal to the tourniquet</w:t>
      </w:r>
    </w:p>
    <w:p w:rsidR="003B7FD2" w:rsidRDefault="00E205FD" w:rsidP="00E205FD">
      <w:pPr>
        <w:pStyle w:val="ListParagraph"/>
        <w:numPr>
          <w:ilvl w:val="0"/>
          <w:numId w:val="1"/>
        </w:numPr>
      </w:pPr>
      <w:r>
        <w:t>Since blood vessels and nerves are</w:t>
      </w:r>
      <w:r>
        <w:t xml:space="preserve"> </w:t>
      </w:r>
      <w:r>
        <w:t>typically found in close proximity in the extremities, following</w:t>
      </w:r>
      <w:r>
        <w:t xml:space="preserve"> </w:t>
      </w:r>
      <w:r>
        <w:t>intravenous injection the local anesthetic spreads from the vessels</w:t>
      </w:r>
      <w:r>
        <w:t xml:space="preserve"> </w:t>
      </w:r>
      <w:r>
        <w:t>into the nearby tissues to reach the nerve trunks</w:t>
      </w:r>
    </w:p>
    <w:p w:rsidR="00E205FD" w:rsidRDefault="00E205FD" w:rsidP="00E205FD">
      <w:pPr>
        <w:pStyle w:val="ListParagraph"/>
        <w:numPr>
          <w:ilvl w:val="0"/>
          <w:numId w:val="1"/>
        </w:numPr>
      </w:pPr>
      <w:r>
        <w:t>Lidocaine is the only local anesthetic that is recommended for</w:t>
      </w:r>
      <w:r>
        <w:t xml:space="preserve"> </w:t>
      </w:r>
      <w:r>
        <w:t>use with IVRA in the veterinary literature, and has been used at</w:t>
      </w:r>
      <w:r>
        <w:t xml:space="preserve"> </w:t>
      </w:r>
      <w:r>
        <w:t>doses of 2.5–5 mg/kg and at concentrations of 0.25–2%</w:t>
      </w:r>
    </w:p>
    <w:p w:rsidR="00E205FD" w:rsidRDefault="00E205FD" w:rsidP="00E205FD">
      <w:pPr>
        <w:pStyle w:val="ListParagraph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</w:p>
    <w:p w:rsidR="00A67FA3" w:rsidRDefault="00E205FD" w:rsidP="00A67FA3">
      <w:pPr>
        <w:ind w:left="360"/>
      </w:pPr>
      <w:r>
        <w:lastRenderedPageBreak/>
        <w:t>Questions:</w:t>
      </w:r>
    </w:p>
    <w:p w:rsidR="00E205FD" w:rsidRDefault="00E205FD" w:rsidP="000450BC">
      <w:pPr>
        <w:pStyle w:val="ListParagraph"/>
        <w:numPr>
          <w:ilvl w:val="0"/>
          <w:numId w:val="2"/>
        </w:numPr>
      </w:pPr>
      <w:r>
        <w:t>Label the following boxes</w:t>
      </w:r>
    </w:p>
    <w:p w:rsidR="00A67FA3" w:rsidRDefault="00A67FA3" w:rsidP="00A67FA3">
      <w:pPr>
        <w:ind w:left="360"/>
      </w:pPr>
    </w:p>
    <w:p w:rsidR="00A67FA3" w:rsidRDefault="00A67FA3" w:rsidP="00A67FA3">
      <w:pPr>
        <w:ind w:left="360"/>
      </w:pPr>
      <w:r>
        <w:rPr>
          <w:noProof/>
        </w:rPr>
        <w:drawing>
          <wp:inline distT="0" distB="0" distL="0" distR="0">
            <wp:extent cx="4695825" cy="2428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A6F" w:rsidRDefault="000B0A6F" w:rsidP="00A67FA3">
      <w:pPr>
        <w:ind w:left="360"/>
      </w:pPr>
    </w:p>
    <w:p w:rsidR="000450BC" w:rsidRDefault="000450BC" w:rsidP="000450BC">
      <w:pPr>
        <w:pStyle w:val="ListParagraph"/>
        <w:numPr>
          <w:ilvl w:val="0"/>
          <w:numId w:val="2"/>
        </w:numPr>
      </w:pPr>
      <w:r>
        <w:t>Explain how to perform a lumbosacral epidural (from start to finish)</w:t>
      </w:r>
    </w:p>
    <w:p w:rsidR="000450BC" w:rsidRDefault="000450BC" w:rsidP="000450BC"/>
    <w:p w:rsidR="000450BC" w:rsidRDefault="000450BC" w:rsidP="000450BC"/>
    <w:p w:rsidR="000450BC" w:rsidRDefault="000450BC" w:rsidP="000450BC"/>
    <w:p w:rsidR="000B0A6F" w:rsidRDefault="000B0A6F" w:rsidP="000450BC">
      <w:pPr>
        <w:pStyle w:val="ListParagraph"/>
        <w:numPr>
          <w:ilvl w:val="0"/>
          <w:numId w:val="2"/>
        </w:numPr>
      </w:pPr>
      <w:r>
        <w:t xml:space="preserve">The femoral triangle is demarcated by the </w:t>
      </w:r>
      <w:r w:rsidR="000450BC">
        <w:t>_______________</w:t>
      </w:r>
      <w:r>
        <w:t xml:space="preserve"> muscle proximally, the pectineus muscle </w:t>
      </w:r>
      <w:r w:rsidR="000450BC">
        <w:t>_____________</w:t>
      </w:r>
      <w:r>
        <w:t xml:space="preserve">, and the </w:t>
      </w:r>
      <w:r w:rsidR="000450BC">
        <w:t>______________</w:t>
      </w:r>
      <w:bookmarkStart w:id="0" w:name="_GoBack"/>
      <w:bookmarkEnd w:id="0"/>
      <w:r>
        <w:t>muscle cranially</w:t>
      </w:r>
    </w:p>
    <w:p w:rsidR="000B0A6F" w:rsidRDefault="000B0A6F" w:rsidP="00A67FA3">
      <w:pPr>
        <w:ind w:left="360"/>
      </w:pPr>
    </w:p>
    <w:sectPr w:rsidR="000B0A6F" w:rsidSect="00DB45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13C7"/>
    <w:multiLevelType w:val="hybridMultilevel"/>
    <w:tmpl w:val="47BE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E16E2"/>
    <w:multiLevelType w:val="hybridMultilevel"/>
    <w:tmpl w:val="B2DC4F5A"/>
    <w:lvl w:ilvl="0" w:tplc="E5E88F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36"/>
    <w:rsid w:val="000450BC"/>
    <w:rsid w:val="000B0A6F"/>
    <w:rsid w:val="003B7FD2"/>
    <w:rsid w:val="00A67FA3"/>
    <w:rsid w:val="00AB54F3"/>
    <w:rsid w:val="00B07B98"/>
    <w:rsid w:val="00DB4536"/>
    <w:rsid w:val="00E205FD"/>
    <w:rsid w:val="00E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4</cp:revision>
  <dcterms:created xsi:type="dcterms:W3CDTF">2016-06-27T18:57:00Z</dcterms:created>
  <dcterms:modified xsi:type="dcterms:W3CDTF">2016-06-27T19:46:00Z</dcterms:modified>
</cp:coreProperties>
</file>