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0D4" w:rsidRDefault="006560D4" w:rsidP="006560D4">
      <w:proofErr w:type="gramStart"/>
      <w:r w:rsidRPr="006560D4">
        <w:rPr>
          <w:b/>
        </w:rPr>
        <w:t xml:space="preserve">Association of </w:t>
      </w:r>
      <w:proofErr w:type="spellStart"/>
      <w:r w:rsidRPr="006560D4">
        <w:rPr>
          <w:b/>
        </w:rPr>
        <w:t>Hyperchloremia</w:t>
      </w:r>
      <w:proofErr w:type="spellEnd"/>
      <w:r w:rsidRPr="006560D4">
        <w:rPr>
          <w:b/>
        </w:rPr>
        <w:t xml:space="preserve"> With Hospital Mortality in Critically Ill Septic Patients</w:t>
      </w:r>
      <w:r>
        <w:t>.</w:t>
      </w:r>
      <w:proofErr w:type="gramEnd"/>
    </w:p>
    <w:p w:rsidR="006560D4" w:rsidRDefault="006560D4" w:rsidP="006560D4">
      <w:proofErr w:type="spellStart"/>
      <w:r>
        <w:t>Crit</w:t>
      </w:r>
      <w:proofErr w:type="spellEnd"/>
      <w:r>
        <w:t xml:space="preserve"> C</w:t>
      </w:r>
      <w:r>
        <w:t>are Med. 2015 Sep</w:t>
      </w:r>
      <w:proofErr w:type="gramStart"/>
      <w:r>
        <w:t>;43</w:t>
      </w:r>
      <w:proofErr w:type="gramEnd"/>
      <w:r>
        <w:t xml:space="preserve">(9):1938-44 </w:t>
      </w:r>
      <w:r>
        <w:t xml:space="preserve"> </w:t>
      </w:r>
    </w:p>
    <w:p w:rsidR="006560D4" w:rsidRDefault="006560D4" w:rsidP="006560D4">
      <w:proofErr w:type="spellStart"/>
      <w:r>
        <w:t>Neyra</w:t>
      </w:r>
      <w:proofErr w:type="spellEnd"/>
      <w:r>
        <w:t xml:space="preserve"> JA1, </w:t>
      </w:r>
      <w:proofErr w:type="spellStart"/>
      <w:r>
        <w:t>Canepa-Escaro</w:t>
      </w:r>
      <w:proofErr w:type="spellEnd"/>
      <w:r>
        <w:t xml:space="preserve"> F, Li X, </w:t>
      </w:r>
      <w:proofErr w:type="spellStart"/>
      <w:r>
        <w:t>Manllo</w:t>
      </w:r>
      <w:proofErr w:type="spellEnd"/>
      <w:r>
        <w:t xml:space="preserve"> J, Adams-</w:t>
      </w:r>
      <w:proofErr w:type="spellStart"/>
      <w:r>
        <w:t>Huet</w:t>
      </w:r>
      <w:proofErr w:type="spellEnd"/>
      <w:r>
        <w:t xml:space="preserve"> B, Yee J, </w:t>
      </w:r>
      <w:proofErr w:type="spellStart"/>
      <w:r>
        <w:t>Yessayan</w:t>
      </w:r>
      <w:proofErr w:type="spellEnd"/>
      <w:r>
        <w:t xml:space="preserve"> L; Acute Kidney Injury in Critical Illness Study Group.</w:t>
      </w:r>
    </w:p>
    <w:p w:rsidR="006560D4" w:rsidRDefault="006560D4" w:rsidP="006560D4"/>
    <w:p w:rsidR="006560D4" w:rsidRDefault="006560D4" w:rsidP="006560D4">
      <w:r w:rsidRPr="006560D4">
        <w:rPr>
          <w:b/>
        </w:rPr>
        <w:t>OBJECTIVES:</w:t>
      </w:r>
      <w:r>
        <w:t xml:space="preserve"> </w:t>
      </w:r>
      <w:proofErr w:type="spellStart"/>
      <w:r>
        <w:t>Hyperchloremia</w:t>
      </w:r>
      <w:proofErr w:type="spellEnd"/>
      <w:r>
        <w:t xml:space="preserve"> is frequently observed in critically ill patients in the ICU. Our study aimed to examine the association of serum chloride (Cl) levels with hospital mortality in septic ICU patients.</w:t>
      </w:r>
    </w:p>
    <w:p w:rsidR="006560D4" w:rsidRDefault="006560D4" w:rsidP="006560D4"/>
    <w:p w:rsidR="006560D4" w:rsidRDefault="006560D4" w:rsidP="006560D4">
      <w:r w:rsidRPr="006560D4">
        <w:rPr>
          <w:b/>
        </w:rPr>
        <w:t>DESIGN:</w:t>
      </w:r>
      <w:r w:rsidRPr="006560D4">
        <w:rPr>
          <w:b/>
        </w:rPr>
        <w:t xml:space="preserve"> </w:t>
      </w:r>
      <w:r>
        <w:t>Retrospective cohort study.</w:t>
      </w:r>
    </w:p>
    <w:p w:rsidR="006560D4" w:rsidRDefault="006560D4" w:rsidP="006560D4"/>
    <w:p w:rsidR="006560D4" w:rsidRDefault="006560D4" w:rsidP="006560D4">
      <w:r w:rsidRPr="006560D4">
        <w:rPr>
          <w:b/>
        </w:rPr>
        <w:t>SETTING:</w:t>
      </w:r>
      <w:r>
        <w:t xml:space="preserve"> </w:t>
      </w:r>
      <w:r>
        <w:t>Urban academic medical center ICU.</w:t>
      </w:r>
    </w:p>
    <w:p w:rsidR="006560D4" w:rsidRDefault="006560D4" w:rsidP="006560D4"/>
    <w:p w:rsidR="006560D4" w:rsidRDefault="006560D4" w:rsidP="006560D4">
      <w:r w:rsidRPr="006560D4">
        <w:rPr>
          <w:b/>
        </w:rPr>
        <w:t>PATIENTS:</w:t>
      </w:r>
      <w:r>
        <w:t xml:space="preserve"> </w:t>
      </w:r>
      <w:r>
        <w:t xml:space="preserve">ICU adult patients with severe sepsis or septic shock who had Cl measured on ICU admission were included. Those with baseline estimated glomerular filtration rate less than 15 mL/min/1.73 m or chronic </w:t>
      </w:r>
      <w:proofErr w:type="gramStart"/>
      <w:r>
        <w:t>dialysis were</w:t>
      </w:r>
      <w:proofErr w:type="gramEnd"/>
      <w:r>
        <w:t xml:space="preserve"> excluded.</w:t>
      </w:r>
    </w:p>
    <w:p w:rsidR="006560D4" w:rsidRDefault="006560D4" w:rsidP="006560D4">
      <w:pPr>
        <w:rPr>
          <w:b/>
        </w:rPr>
      </w:pPr>
    </w:p>
    <w:p w:rsidR="006560D4" w:rsidRDefault="006560D4" w:rsidP="006560D4">
      <w:r w:rsidRPr="006560D4">
        <w:rPr>
          <w:b/>
        </w:rPr>
        <w:t>INTERVENTIONS:</w:t>
      </w:r>
      <w:r w:rsidRPr="006560D4">
        <w:rPr>
          <w:b/>
        </w:rPr>
        <w:t xml:space="preserve"> </w:t>
      </w:r>
      <w:r>
        <w:t xml:space="preserve">None. </w:t>
      </w:r>
    </w:p>
    <w:p w:rsidR="006560D4" w:rsidRDefault="006560D4" w:rsidP="006560D4"/>
    <w:p w:rsidR="006560D4" w:rsidRDefault="006560D4" w:rsidP="006560D4">
      <w:r w:rsidRPr="006560D4">
        <w:rPr>
          <w:b/>
        </w:rPr>
        <w:t>MEASUREMENTS AND MAIN RESULTS:</w:t>
      </w:r>
      <w:r>
        <w:t xml:space="preserve"> </w:t>
      </w:r>
      <w:r>
        <w:t xml:space="preserve">Of 1,940 patients included in the study, 615 patients (31.7%) had </w:t>
      </w:r>
      <w:proofErr w:type="spellStart"/>
      <w:r>
        <w:t>hyperchloremia</w:t>
      </w:r>
      <w:proofErr w:type="spellEnd"/>
      <w:r>
        <w:t xml:space="preserve"> (Cl ≥ 110 </w:t>
      </w:r>
      <w:proofErr w:type="spellStart"/>
      <w:r>
        <w:t>mEq</w:t>
      </w:r>
      <w:proofErr w:type="spellEnd"/>
      <w:r>
        <w:t>/L) on ICU admission. All-cause hospital mortality was the dependent variable. Cl on ICU admission (Cl0), Cl at 72 hours (Cl72), and delta Cl (</w:t>
      </w:r>
      <w:proofErr w:type="spellStart"/>
      <w:r>
        <w:t>ΔCl</w:t>
      </w:r>
      <w:proofErr w:type="spellEnd"/>
      <w:r>
        <w:t xml:space="preserve"> = Cl72 - Cl0) were the independent variables. Those with Cl0 greater than or equal to 110 </w:t>
      </w:r>
      <w:proofErr w:type="spellStart"/>
      <w:r>
        <w:t>mEq</w:t>
      </w:r>
      <w:proofErr w:type="spellEnd"/>
      <w:r>
        <w:t xml:space="preserve">/L were older and had higher cumulative fluid balance, base deficit, and Sequential Organ Failure Assessment scores. Multivariate analysis showed that higher Cl72 but not Cl0 was independently associated with hospital mortality in the subgroup of patients with </w:t>
      </w:r>
      <w:proofErr w:type="spellStart"/>
      <w:r>
        <w:t>hyperchloremia</w:t>
      </w:r>
      <w:proofErr w:type="spellEnd"/>
      <w:r>
        <w:t xml:space="preserve"> on ICU admission (adjusted odds ratio for Cl72 per 5 </w:t>
      </w:r>
      <w:proofErr w:type="spellStart"/>
      <w:r>
        <w:t>mEq</w:t>
      </w:r>
      <w:proofErr w:type="spellEnd"/>
      <w:r>
        <w:t xml:space="preserve">/L increase = 1.27; 95% CI, 1.02-1.59; p = 0.03). For those who were </w:t>
      </w:r>
      <w:proofErr w:type="spellStart"/>
      <w:r>
        <w:t>hyperchloremic</w:t>
      </w:r>
      <w:proofErr w:type="spellEnd"/>
      <w:r>
        <w:t xml:space="preserve"> on ICU admission, every </w:t>
      </w:r>
      <w:proofErr w:type="gramStart"/>
      <w:r>
        <w:t>within-subject</w:t>
      </w:r>
      <w:proofErr w:type="gramEnd"/>
      <w:r>
        <w:t xml:space="preserve"> 5 </w:t>
      </w:r>
      <w:proofErr w:type="spellStart"/>
      <w:r>
        <w:t>mEq</w:t>
      </w:r>
      <w:proofErr w:type="spellEnd"/>
      <w:r>
        <w:t xml:space="preserve">/L increment in Cl72 was independently associated with hospital mortality (adjusted odds ratio for </w:t>
      </w:r>
      <w:proofErr w:type="spellStart"/>
      <w:r>
        <w:t>ΔCl</w:t>
      </w:r>
      <w:proofErr w:type="spellEnd"/>
      <w:r>
        <w:t xml:space="preserve"> 5 </w:t>
      </w:r>
      <w:proofErr w:type="spellStart"/>
      <w:r>
        <w:t>mEq</w:t>
      </w:r>
      <w:proofErr w:type="spellEnd"/>
      <w:r>
        <w:t>/L = 1.37; 95% CI, 1.11-1.69; p = 0.003).</w:t>
      </w:r>
    </w:p>
    <w:p w:rsidR="006560D4" w:rsidRDefault="006560D4" w:rsidP="006560D4"/>
    <w:p w:rsidR="006560D4" w:rsidRDefault="006560D4" w:rsidP="006560D4">
      <w:r w:rsidRPr="006560D4">
        <w:rPr>
          <w:b/>
        </w:rPr>
        <w:t>CONCLUSIONS:</w:t>
      </w:r>
      <w:r>
        <w:t xml:space="preserve"> </w:t>
      </w:r>
      <w:r>
        <w:t xml:space="preserve">In critically ill septic patients manifesting </w:t>
      </w:r>
      <w:proofErr w:type="spellStart"/>
      <w:r>
        <w:t>hyperchloremia</w:t>
      </w:r>
      <w:proofErr w:type="spellEnd"/>
      <w:r>
        <w:t xml:space="preserve"> (Cl ≥ 110 </w:t>
      </w:r>
      <w:proofErr w:type="spellStart"/>
      <w:r>
        <w:t>mEq</w:t>
      </w:r>
      <w:proofErr w:type="spellEnd"/>
      <w:r>
        <w:t xml:space="preserve">/L) on ICU admission, higher Cl levels and within-subject worsening </w:t>
      </w:r>
      <w:proofErr w:type="spellStart"/>
      <w:r>
        <w:t>hyperchloremia</w:t>
      </w:r>
      <w:proofErr w:type="spellEnd"/>
      <w:r>
        <w:t xml:space="preserve"> at 72 hours of ICU stay were associated with all-cause hospital mortality. These associations were independent of base deficit, cumulative fluid balance, acute kidney injury, and other critical illness parameters</w:t>
      </w:r>
      <w:r>
        <w:t>.</w:t>
      </w:r>
    </w:p>
    <w:p w:rsidR="006560D4" w:rsidRDefault="006560D4" w:rsidP="006560D4"/>
    <w:p w:rsidR="006560D4" w:rsidRDefault="006560D4" w:rsidP="006560D4">
      <w:pPr>
        <w:pStyle w:val="Paragraphedeliste"/>
        <w:numPr>
          <w:ilvl w:val="0"/>
          <w:numId w:val="2"/>
        </w:numPr>
      </w:pPr>
      <w:proofErr w:type="spellStart"/>
      <w:r>
        <w:t>Hyperchloremia</w:t>
      </w:r>
      <w:proofErr w:type="spellEnd"/>
      <w:r>
        <w:t xml:space="preserve"> on admission was not associated with increased mortality.</w:t>
      </w:r>
    </w:p>
    <w:p w:rsidR="006560D4" w:rsidRDefault="006560D4" w:rsidP="006560D4">
      <w:pPr>
        <w:pStyle w:val="Paragraphedeliste"/>
        <w:numPr>
          <w:ilvl w:val="0"/>
          <w:numId w:val="2"/>
        </w:numPr>
      </w:pPr>
      <w:proofErr w:type="spellStart"/>
      <w:r>
        <w:t>Hyperchloremia</w:t>
      </w:r>
      <w:proofErr w:type="spellEnd"/>
      <w:r>
        <w:t xml:space="preserve"> on admission and higher chloride at 72 hours was associated with increased mortality.</w:t>
      </w:r>
    </w:p>
    <w:p w:rsidR="006560D4" w:rsidRDefault="006560D4" w:rsidP="006560D4">
      <w:pPr>
        <w:pStyle w:val="Paragraphedeliste"/>
        <w:numPr>
          <w:ilvl w:val="0"/>
          <w:numId w:val="2"/>
        </w:numPr>
      </w:pPr>
      <w:r>
        <w:t xml:space="preserve">Every </w:t>
      </w:r>
      <w:proofErr w:type="gramStart"/>
      <w:r>
        <w:t xml:space="preserve">5 </w:t>
      </w:r>
      <w:proofErr w:type="spellStart"/>
      <w:r>
        <w:t>mEq</w:t>
      </w:r>
      <w:proofErr w:type="spellEnd"/>
      <w:r>
        <w:t>/</w:t>
      </w:r>
      <w:proofErr w:type="gramEnd"/>
      <w:r>
        <w:t xml:space="preserve">L increment in chloride concentration in </w:t>
      </w:r>
      <w:proofErr w:type="spellStart"/>
      <w:r>
        <w:t>hyperchloremic</w:t>
      </w:r>
      <w:proofErr w:type="spellEnd"/>
      <w:r>
        <w:t xml:space="preserve"> patients (on admission) was associated with increased mortality (adjusted OR of 1.37 for 5 </w:t>
      </w:r>
      <w:proofErr w:type="spellStart"/>
      <w:r>
        <w:t>mEq</w:t>
      </w:r>
      <w:proofErr w:type="spellEnd"/>
      <w:r>
        <w:t>/L increment).</w:t>
      </w:r>
      <w:bookmarkStart w:id="0" w:name="_GoBack"/>
      <w:bookmarkEnd w:id="0"/>
    </w:p>
    <w:sectPr w:rsidR="006560D4"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38CB"/>
    <w:multiLevelType w:val="hybridMultilevel"/>
    <w:tmpl w:val="27A06B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DCF33AA"/>
    <w:multiLevelType w:val="hybridMultilevel"/>
    <w:tmpl w:val="79E24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0D4"/>
    <w:rsid w:val="002C4D29"/>
    <w:rsid w:val="00437961"/>
    <w:rsid w:val="006560D4"/>
    <w:rsid w:val="009C41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0D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6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811976">
      <w:bodyDiv w:val="1"/>
      <w:marLeft w:val="0"/>
      <w:marRight w:val="0"/>
      <w:marTop w:val="0"/>
      <w:marBottom w:val="0"/>
      <w:divBdr>
        <w:top w:val="none" w:sz="0" w:space="0" w:color="auto"/>
        <w:left w:val="none" w:sz="0" w:space="0" w:color="auto"/>
        <w:bottom w:val="none" w:sz="0" w:space="0" w:color="auto"/>
        <w:right w:val="none" w:sz="0" w:space="0" w:color="auto"/>
      </w:divBdr>
      <w:divsChild>
        <w:div w:id="582181233">
          <w:marLeft w:val="0"/>
          <w:marRight w:val="0"/>
          <w:marTop w:val="0"/>
          <w:marBottom w:val="0"/>
          <w:divBdr>
            <w:top w:val="none" w:sz="0" w:space="0" w:color="auto"/>
            <w:left w:val="none" w:sz="0" w:space="0" w:color="auto"/>
            <w:bottom w:val="none" w:sz="0" w:space="0" w:color="auto"/>
            <w:right w:val="none" w:sz="0" w:space="0" w:color="auto"/>
          </w:divBdr>
        </w:div>
        <w:div w:id="1378315347">
          <w:marLeft w:val="0"/>
          <w:marRight w:val="0"/>
          <w:marTop w:val="0"/>
          <w:marBottom w:val="0"/>
          <w:divBdr>
            <w:top w:val="none" w:sz="0" w:space="0" w:color="auto"/>
            <w:left w:val="none" w:sz="0" w:space="0" w:color="auto"/>
            <w:bottom w:val="none" w:sz="0" w:space="0" w:color="auto"/>
            <w:right w:val="none" w:sz="0" w:space="0" w:color="auto"/>
          </w:divBdr>
        </w:div>
        <w:div w:id="1373307914">
          <w:marLeft w:val="0"/>
          <w:marRight w:val="0"/>
          <w:marTop w:val="0"/>
          <w:marBottom w:val="0"/>
          <w:divBdr>
            <w:top w:val="none" w:sz="0" w:space="0" w:color="auto"/>
            <w:left w:val="none" w:sz="0" w:space="0" w:color="auto"/>
            <w:bottom w:val="none" w:sz="0" w:space="0" w:color="auto"/>
            <w:right w:val="none" w:sz="0" w:space="0" w:color="auto"/>
          </w:divBdr>
        </w:div>
        <w:div w:id="458035697">
          <w:marLeft w:val="0"/>
          <w:marRight w:val="0"/>
          <w:marTop w:val="0"/>
          <w:marBottom w:val="0"/>
          <w:divBdr>
            <w:top w:val="none" w:sz="0" w:space="0" w:color="auto"/>
            <w:left w:val="none" w:sz="0" w:space="0" w:color="auto"/>
            <w:bottom w:val="none" w:sz="0" w:space="0" w:color="auto"/>
            <w:right w:val="none" w:sz="0" w:space="0" w:color="auto"/>
          </w:divBdr>
          <w:divsChild>
            <w:div w:id="193667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388</Words>
  <Characters>2136</Characters>
  <Application>Microsoft Macintosh Word</Application>
  <DocSecurity>0</DocSecurity>
  <Lines>17</Lines>
  <Paragraphs>5</Paragraphs>
  <ScaleCrop>false</ScaleCrop>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2015-10-14T12:14:00Z</dcterms:created>
  <dcterms:modified xsi:type="dcterms:W3CDTF">2015-10-14T12:20:00Z</dcterms:modified>
</cp:coreProperties>
</file>