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829" w:tblpY="2341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5244"/>
        <w:gridCol w:w="5436"/>
      </w:tblGrid>
      <w:tr w:rsidR="00603995" w:rsidRPr="0029402A" w14:paraId="5A8AE493" w14:textId="77777777" w:rsidTr="005A750F">
        <w:tc>
          <w:tcPr>
            <w:tcW w:w="817" w:type="dxa"/>
            <w:shd w:val="clear" w:color="auto" w:fill="E5DFEC" w:themeFill="accent4" w:themeFillTint="33"/>
          </w:tcPr>
          <w:p w14:paraId="4C749252" w14:textId="77777777" w:rsidR="00603995" w:rsidRPr="0029402A" w:rsidRDefault="00603995" w:rsidP="00CA510E">
            <w:pPr>
              <w:rPr>
                <w:sz w:val="22"/>
              </w:rPr>
            </w:pPr>
          </w:p>
        </w:tc>
        <w:tc>
          <w:tcPr>
            <w:tcW w:w="3119" w:type="dxa"/>
            <w:shd w:val="clear" w:color="auto" w:fill="E5DFEC" w:themeFill="accent4" w:themeFillTint="33"/>
          </w:tcPr>
          <w:p w14:paraId="2F1E441C" w14:textId="77777777" w:rsidR="00603995" w:rsidRPr="0029402A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Description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14:paraId="3727A45D" w14:textId="77777777" w:rsidR="00603995" w:rsidRPr="0029402A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Diagnosis</w:t>
            </w:r>
          </w:p>
        </w:tc>
        <w:tc>
          <w:tcPr>
            <w:tcW w:w="5436" w:type="dxa"/>
            <w:shd w:val="clear" w:color="auto" w:fill="E5DFEC" w:themeFill="accent4" w:themeFillTint="33"/>
          </w:tcPr>
          <w:p w14:paraId="06D9547D" w14:textId="77777777" w:rsidR="00603995" w:rsidRPr="0029402A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Therapy</w:t>
            </w:r>
          </w:p>
        </w:tc>
      </w:tr>
      <w:tr w:rsidR="00603995" w:rsidRPr="0029402A" w14:paraId="49CC24C2" w14:textId="77777777" w:rsidTr="005A750F">
        <w:tc>
          <w:tcPr>
            <w:tcW w:w="817" w:type="dxa"/>
            <w:shd w:val="clear" w:color="auto" w:fill="E5DFEC" w:themeFill="accent4" w:themeFillTint="33"/>
          </w:tcPr>
          <w:p w14:paraId="1D6FB8D7" w14:textId="77777777" w:rsidR="00603995" w:rsidRPr="0029402A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Stage A</w:t>
            </w:r>
          </w:p>
        </w:tc>
        <w:tc>
          <w:tcPr>
            <w:tcW w:w="3119" w:type="dxa"/>
          </w:tcPr>
          <w:p w14:paraId="6212D6FC" w14:textId="77777777" w:rsidR="00603995" w:rsidRPr="0029402A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Dogs at high risk for HF but without apparent structural abnormality</w:t>
            </w:r>
          </w:p>
        </w:tc>
        <w:tc>
          <w:tcPr>
            <w:tcW w:w="5244" w:type="dxa"/>
          </w:tcPr>
          <w:p w14:paraId="07CE7B4F" w14:textId="77777777" w:rsidR="00603995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 xml:space="preserve">-Regular yearly evaluations (auscultation by </w:t>
            </w:r>
            <w:proofErr w:type="spellStart"/>
            <w:r w:rsidRPr="0029402A">
              <w:rPr>
                <w:sz w:val="22"/>
              </w:rPr>
              <w:t>rDVM</w:t>
            </w:r>
            <w:proofErr w:type="spellEnd"/>
            <w:r w:rsidRPr="0029402A">
              <w:rPr>
                <w:sz w:val="22"/>
              </w:rPr>
              <w:t xml:space="preserve">) for small breed dogs and breeds with known predisposition </w:t>
            </w:r>
          </w:p>
          <w:p w14:paraId="175D3F8C" w14:textId="77777777" w:rsidR="004E5CD1" w:rsidRPr="0029402A" w:rsidRDefault="004E5CD1" w:rsidP="00CA510E">
            <w:pPr>
              <w:rPr>
                <w:sz w:val="22"/>
              </w:rPr>
            </w:pPr>
          </w:p>
          <w:p w14:paraId="6F5B9A06" w14:textId="77777777" w:rsidR="00603995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-Owners of high risk dogs can choose to participate in yearly screening events conducted by cardiologists (usually at shows)</w:t>
            </w:r>
          </w:p>
          <w:p w14:paraId="2830D2EA" w14:textId="77777777" w:rsidR="004E5CD1" w:rsidRPr="0029402A" w:rsidRDefault="004E5CD1" w:rsidP="00CA510E">
            <w:pPr>
              <w:rPr>
                <w:sz w:val="22"/>
              </w:rPr>
            </w:pPr>
          </w:p>
        </w:tc>
        <w:tc>
          <w:tcPr>
            <w:tcW w:w="5436" w:type="dxa"/>
          </w:tcPr>
          <w:p w14:paraId="741822DC" w14:textId="77777777" w:rsidR="00603995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-No drug therapy</w:t>
            </w:r>
          </w:p>
          <w:p w14:paraId="5CFE598A" w14:textId="77777777" w:rsidR="004E5CD1" w:rsidRPr="0029402A" w:rsidRDefault="004E5CD1" w:rsidP="00CA510E">
            <w:pPr>
              <w:rPr>
                <w:sz w:val="22"/>
              </w:rPr>
            </w:pPr>
          </w:p>
          <w:p w14:paraId="24BDFAA5" w14:textId="77777777" w:rsidR="00603995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-No dietary therapy</w:t>
            </w:r>
          </w:p>
          <w:p w14:paraId="27455AEB" w14:textId="77777777" w:rsidR="004E5CD1" w:rsidRPr="0029402A" w:rsidRDefault="004E5CD1" w:rsidP="00CA510E">
            <w:pPr>
              <w:rPr>
                <w:sz w:val="22"/>
              </w:rPr>
            </w:pPr>
          </w:p>
          <w:p w14:paraId="2ABDAE15" w14:textId="77777777" w:rsidR="00603995" w:rsidRPr="0029402A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-Potential breeding stock should no longer be bred if MR identified early (&lt;6-8 years)</w:t>
            </w:r>
          </w:p>
        </w:tc>
      </w:tr>
      <w:tr w:rsidR="0029402A" w:rsidRPr="0029402A" w14:paraId="0B78DB75" w14:textId="77777777" w:rsidTr="005A750F">
        <w:tc>
          <w:tcPr>
            <w:tcW w:w="817" w:type="dxa"/>
            <w:shd w:val="clear" w:color="auto" w:fill="E5DFEC" w:themeFill="accent4" w:themeFillTint="33"/>
          </w:tcPr>
          <w:p w14:paraId="37AB0B1B" w14:textId="77777777" w:rsidR="0029402A" w:rsidRPr="0029402A" w:rsidRDefault="0029402A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Stage B1</w:t>
            </w:r>
          </w:p>
        </w:tc>
        <w:tc>
          <w:tcPr>
            <w:tcW w:w="3119" w:type="dxa"/>
            <w:vMerge w:val="restart"/>
          </w:tcPr>
          <w:p w14:paraId="37D5E27A" w14:textId="77777777" w:rsidR="0029402A" w:rsidRDefault="0029402A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Dogs with structural abnormality indicating the presence of CVHD but have never had clinical signs of HF</w:t>
            </w:r>
          </w:p>
          <w:p w14:paraId="235E29BB" w14:textId="77777777" w:rsidR="006C06CB" w:rsidRPr="0029402A" w:rsidRDefault="006C06CB" w:rsidP="00CA510E">
            <w:pPr>
              <w:rPr>
                <w:sz w:val="22"/>
              </w:rPr>
            </w:pPr>
          </w:p>
          <w:p w14:paraId="6E73A261" w14:textId="77777777" w:rsidR="0029402A" w:rsidRDefault="0029402A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 xml:space="preserve">B1: </w:t>
            </w:r>
            <w:proofErr w:type="spellStart"/>
            <w:r w:rsidRPr="0029402A">
              <w:rPr>
                <w:sz w:val="22"/>
              </w:rPr>
              <w:t>hemodynamically</w:t>
            </w:r>
            <w:proofErr w:type="spellEnd"/>
            <w:r w:rsidRPr="0029402A">
              <w:rPr>
                <w:sz w:val="22"/>
              </w:rPr>
              <w:t xml:space="preserve"> insignificant MR</w:t>
            </w:r>
          </w:p>
          <w:p w14:paraId="65294CF6" w14:textId="77777777" w:rsidR="0029402A" w:rsidRPr="0029402A" w:rsidRDefault="0029402A" w:rsidP="00CA510E">
            <w:pPr>
              <w:rPr>
                <w:sz w:val="22"/>
              </w:rPr>
            </w:pPr>
          </w:p>
          <w:p w14:paraId="7C7A5E98" w14:textId="77777777" w:rsidR="0029402A" w:rsidRPr="0029402A" w:rsidRDefault="0029402A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 xml:space="preserve">B2: </w:t>
            </w:r>
            <w:proofErr w:type="spellStart"/>
            <w:r w:rsidRPr="0029402A">
              <w:rPr>
                <w:sz w:val="22"/>
              </w:rPr>
              <w:t>hemodynamically</w:t>
            </w:r>
            <w:proofErr w:type="spellEnd"/>
            <w:r w:rsidRPr="0029402A">
              <w:rPr>
                <w:sz w:val="22"/>
              </w:rPr>
              <w:t xml:space="preserve"> significant MR</w:t>
            </w:r>
          </w:p>
        </w:tc>
        <w:tc>
          <w:tcPr>
            <w:tcW w:w="5244" w:type="dxa"/>
            <w:vMerge w:val="restart"/>
          </w:tcPr>
          <w:p w14:paraId="7D8BD644" w14:textId="77777777" w:rsidR="0029402A" w:rsidRDefault="0029402A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 xml:space="preserve">-Thoracic radiographs when asymptomatic </w:t>
            </w:r>
          </w:p>
          <w:p w14:paraId="78A7E204" w14:textId="77777777" w:rsidR="004E5CD1" w:rsidRPr="0029402A" w:rsidRDefault="004E5CD1" w:rsidP="00CA510E">
            <w:pPr>
              <w:rPr>
                <w:sz w:val="22"/>
              </w:rPr>
            </w:pPr>
          </w:p>
          <w:p w14:paraId="5B96A245" w14:textId="77777777" w:rsidR="0029402A" w:rsidRDefault="0029402A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-Blood pressure measurement</w:t>
            </w:r>
          </w:p>
          <w:p w14:paraId="3CDC23C8" w14:textId="77777777" w:rsidR="004E5CD1" w:rsidRPr="0029402A" w:rsidRDefault="004E5CD1" w:rsidP="00CA510E">
            <w:pPr>
              <w:rPr>
                <w:sz w:val="22"/>
              </w:rPr>
            </w:pPr>
          </w:p>
          <w:p w14:paraId="64558D04" w14:textId="77777777" w:rsidR="0029402A" w:rsidRDefault="0029402A" w:rsidP="00CA510E">
            <w:pPr>
              <w:rPr>
                <w:i/>
                <w:sz w:val="22"/>
              </w:rPr>
            </w:pPr>
            <w:r w:rsidRPr="0029402A">
              <w:rPr>
                <w:sz w:val="22"/>
              </w:rPr>
              <w:t xml:space="preserve">-Echo </w:t>
            </w:r>
            <w:r w:rsidRPr="0029402A">
              <w:rPr>
                <w:b/>
                <w:sz w:val="22"/>
              </w:rPr>
              <w:t>recommended</w:t>
            </w:r>
            <w:r w:rsidRPr="0029402A">
              <w:rPr>
                <w:sz w:val="22"/>
              </w:rPr>
              <w:t xml:space="preserve"> </w:t>
            </w:r>
            <w:r w:rsidRPr="0029402A">
              <w:rPr>
                <w:b/>
                <w:sz w:val="22"/>
              </w:rPr>
              <w:t xml:space="preserve">in small breeds </w:t>
            </w:r>
            <w:r w:rsidRPr="0029402A">
              <w:rPr>
                <w:sz w:val="22"/>
              </w:rPr>
              <w:t>with typical murmurs</w:t>
            </w:r>
            <w:r>
              <w:rPr>
                <w:sz w:val="22"/>
              </w:rPr>
              <w:t xml:space="preserve"> (</w:t>
            </w:r>
            <w:r w:rsidRPr="0029402A">
              <w:rPr>
                <w:i/>
                <w:sz w:val="22"/>
              </w:rPr>
              <w:t xml:space="preserve">to answer specific questions regarding chamber enlargement if not answered adequately by auscultation and thoracic </w:t>
            </w:r>
            <w:proofErr w:type="spellStart"/>
            <w:r w:rsidRPr="0029402A">
              <w:rPr>
                <w:i/>
                <w:sz w:val="22"/>
              </w:rPr>
              <w:t>rads</w:t>
            </w:r>
            <w:proofErr w:type="spellEnd"/>
            <w:r w:rsidRPr="0029402A">
              <w:rPr>
                <w:i/>
                <w:sz w:val="22"/>
              </w:rPr>
              <w:t>)</w:t>
            </w:r>
          </w:p>
          <w:p w14:paraId="410FB8BB" w14:textId="77777777" w:rsidR="004E5CD1" w:rsidRPr="0029402A" w:rsidRDefault="004E5CD1" w:rsidP="00CA510E">
            <w:pPr>
              <w:rPr>
                <w:i/>
                <w:sz w:val="22"/>
              </w:rPr>
            </w:pPr>
          </w:p>
          <w:p w14:paraId="132EB574" w14:textId="77777777" w:rsidR="0029402A" w:rsidRPr="0029402A" w:rsidRDefault="0029402A" w:rsidP="00CA510E">
            <w:pPr>
              <w:rPr>
                <w:i/>
                <w:sz w:val="22"/>
              </w:rPr>
            </w:pPr>
            <w:r w:rsidRPr="0029402A">
              <w:rPr>
                <w:sz w:val="22"/>
              </w:rPr>
              <w:t xml:space="preserve">-Echo </w:t>
            </w:r>
            <w:r w:rsidRPr="0029402A">
              <w:rPr>
                <w:b/>
                <w:sz w:val="22"/>
              </w:rPr>
              <w:t>indicated</w:t>
            </w:r>
            <w:r w:rsidRPr="0029402A">
              <w:rPr>
                <w:sz w:val="22"/>
              </w:rPr>
              <w:t xml:space="preserve"> </w:t>
            </w:r>
            <w:r w:rsidRPr="0029402A">
              <w:rPr>
                <w:b/>
                <w:sz w:val="22"/>
              </w:rPr>
              <w:t>in large breeds</w:t>
            </w:r>
            <w:r>
              <w:rPr>
                <w:sz w:val="22"/>
              </w:rPr>
              <w:t xml:space="preserve"> </w:t>
            </w:r>
            <w:r w:rsidRPr="0029402A">
              <w:rPr>
                <w:i/>
                <w:sz w:val="22"/>
              </w:rPr>
              <w:t>(murmur of MR more likely related to other causes i.e. DCM)</w:t>
            </w:r>
          </w:p>
          <w:p w14:paraId="01F3DC9D" w14:textId="77777777" w:rsidR="0029402A" w:rsidRPr="0029402A" w:rsidRDefault="0029402A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-Basic lab work for all patients (</w:t>
            </w:r>
            <w:proofErr w:type="spellStart"/>
            <w:r w:rsidRPr="0029402A">
              <w:rPr>
                <w:sz w:val="22"/>
              </w:rPr>
              <w:t>hct</w:t>
            </w:r>
            <w:proofErr w:type="spellEnd"/>
            <w:r w:rsidRPr="0029402A">
              <w:rPr>
                <w:sz w:val="22"/>
              </w:rPr>
              <w:t>, TP, creatinine, UA)</w:t>
            </w:r>
          </w:p>
        </w:tc>
        <w:tc>
          <w:tcPr>
            <w:tcW w:w="5436" w:type="dxa"/>
          </w:tcPr>
          <w:p w14:paraId="036332BA" w14:textId="77777777" w:rsidR="0029402A" w:rsidRDefault="0029402A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B1 (</w:t>
            </w:r>
            <w:r>
              <w:rPr>
                <w:sz w:val="22"/>
              </w:rPr>
              <w:t>normal LA, LV or both with normal LV systolic function, normal VHS; normotensive</w:t>
            </w:r>
            <w:r w:rsidRPr="0029402A">
              <w:rPr>
                <w:sz w:val="22"/>
              </w:rPr>
              <w:t>):</w:t>
            </w:r>
          </w:p>
          <w:p w14:paraId="0F9DCC30" w14:textId="77777777" w:rsidR="0029402A" w:rsidRDefault="0029402A" w:rsidP="00CA510E">
            <w:pPr>
              <w:rPr>
                <w:sz w:val="22"/>
              </w:rPr>
            </w:pPr>
          </w:p>
          <w:p w14:paraId="33AF03E7" w14:textId="77777777" w:rsidR="0029402A" w:rsidRDefault="0029402A" w:rsidP="00CA510E">
            <w:pPr>
              <w:rPr>
                <w:sz w:val="22"/>
              </w:rPr>
            </w:pPr>
            <w:r>
              <w:rPr>
                <w:sz w:val="22"/>
              </w:rPr>
              <w:t>-No drug or dietary therapy recommended</w:t>
            </w:r>
          </w:p>
          <w:p w14:paraId="5C358188" w14:textId="77777777" w:rsidR="004E5CD1" w:rsidRDefault="004E5CD1" w:rsidP="00CA510E">
            <w:pPr>
              <w:rPr>
                <w:sz w:val="22"/>
              </w:rPr>
            </w:pPr>
          </w:p>
          <w:p w14:paraId="0BB720FA" w14:textId="77777777" w:rsidR="0029402A" w:rsidRPr="0029402A" w:rsidRDefault="0029402A" w:rsidP="00CA510E">
            <w:pPr>
              <w:rPr>
                <w:sz w:val="22"/>
              </w:rPr>
            </w:pPr>
            <w:r>
              <w:rPr>
                <w:sz w:val="22"/>
              </w:rPr>
              <w:t>-Re-evaluation buy radiology or echo with Doppler studies in 12 months (some recommend more frequent follow up in large dogs)</w:t>
            </w:r>
          </w:p>
        </w:tc>
      </w:tr>
      <w:tr w:rsidR="0029402A" w:rsidRPr="0029402A" w14:paraId="6A1824A7" w14:textId="77777777" w:rsidTr="005A750F">
        <w:trPr>
          <w:trHeight w:val="1528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3687D9AB" w14:textId="77777777" w:rsidR="0029402A" w:rsidRPr="0029402A" w:rsidRDefault="0029402A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Stage B2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14B63783" w14:textId="77777777" w:rsidR="0029402A" w:rsidRPr="0029402A" w:rsidRDefault="0029402A" w:rsidP="00CA510E">
            <w:pPr>
              <w:rPr>
                <w:sz w:val="22"/>
              </w:rPr>
            </w:pPr>
          </w:p>
        </w:tc>
        <w:tc>
          <w:tcPr>
            <w:tcW w:w="5244" w:type="dxa"/>
            <w:vMerge/>
            <w:tcBorders>
              <w:bottom w:val="single" w:sz="4" w:space="0" w:color="auto"/>
            </w:tcBorders>
          </w:tcPr>
          <w:p w14:paraId="2D7C4D85" w14:textId="77777777" w:rsidR="0029402A" w:rsidRPr="0029402A" w:rsidRDefault="0029402A" w:rsidP="00CA510E">
            <w:pPr>
              <w:rPr>
                <w:sz w:val="22"/>
              </w:rPr>
            </w:pPr>
          </w:p>
        </w:tc>
        <w:tc>
          <w:tcPr>
            <w:tcW w:w="5436" w:type="dxa"/>
            <w:tcBorders>
              <w:bottom w:val="single" w:sz="4" w:space="0" w:color="auto"/>
            </w:tcBorders>
          </w:tcPr>
          <w:p w14:paraId="14B6B23F" w14:textId="77777777" w:rsidR="0029402A" w:rsidRDefault="0029402A" w:rsidP="00CA510E">
            <w:pPr>
              <w:rPr>
                <w:sz w:val="22"/>
              </w:rPr>
            </w:pPr>
            <w:r>
              <w:rPr>
                <w:sz w:val="22"/>
              </w:rPr>
              <w:t>B2 (cardiac remodeling – enlarged LA, LV or both; normotensive):</w:t>
            </w:r>
          </w:p>
          <w:p w14:paraId="3FE0E6F0" w14:textId="77777777" w:rsidR="0029402A" w:rsidRDefault="0029402A" w:rsidP="00CA510E">
            <w:pPr>
              <w:rPr>
                <w:sz w:val="22"/>
              </w:rPr>
            </w:pPr>
          </w:p>
          <w:p w14:paraId="32086D0A" w14:textId="77777777" w:rsidR="0029402A" w:rsidRDefault="0029402A" w:rsidP="00CA510E">
            <w:pPr>
              <w:rPr>
                <w:b/>
                <w:sz w:val="22"/>
              </w:rPr>
            </w:pPr>
            <w:r w:rsidRPr="006C06CB">
              <w:rPr>
                <w:b/>
                <w:sz w:val="22"/>
              </w:rPr>
              <w:t>No consensus re: drug or dietary recommendations</w:t>
            </w:r>
          </w:p>
          <w:p w14:paraId="084BE909" w14:textId="77777777" w:rsidR="004E5CD1" w:rsidRPr="006C06CB" w:rsidRDefault="004E5CD1" w:rsidP="00CA510E">
            <w:pPr>
              <w:rPr>
                <w:b/>
                <w:sz w:val="22"/>
              </w:rPr>
            </w:pPr>
          </w:p>
          <w:p w14:paraId="6337ADEC" w14:textId="77777777" w:rsidR="006C06CB" w:rsidRPr="006C06CB" w:rsidRDefault="006C06CB" w:rsidP="00CA510E">
            <w:pPr>
              <w:rPr>
                <w:color w:val="31849B" w:themeColor="accent5" w:themeShade="BF"/>
                <w:sz w:val="22"/>
              </w:rPr>
            </w:pPr>
            <w:r>
              <w:rPr>
                <w:color w:val="31849B" w:themeColor="accent5" w:themeShade="BF"/>
                <w:sz w:val="22"/>
              </w:rPr>
              <w:t xml:space="preserve"> </w:t>
            </w:r>
          </w:p>
        </w:tc>
      </w:tr>
    </w:tbl>
    <w:p w14:paraId="3B72DB9C" w14:textId="77777777" w:rsidR="00CA510E" w:rsidRDefault="00CA510E"/>
    <w:p w14:paraId="405FB249" w14:textId="3247605B" w:rsidR="00CA510E" w:rsidRPr="00CA510E" w:rsidRDefault="00CA510E" w:rsidP="00CA510E">
      <w:pPr>
        <w:jc w:val="center"/>
        <w:rPr>
          <w:u w:val="single"/>
        </w:rPr>
      </w:pPr>
      <w:r w:rsidRPr="00CA510E">
        <w:rPr>
          <w:u w:val="single"/>
        </w:rPr>
        <w:t>ACVIM CONSENSUS RECOMMENDATIONS</w:t>
      </w:r>
    </w:p>
    <w:p w14:paraId="112A4502" w14:textId="77777777" w:rsidR="00CA510E" w:rsidRDefault="00CA510E"/>
    <w:p w14:paraId="1DA60C7C" w14:textId="77777777" w:rsidR="00CA510E" w:rsidRDefault="00CA510E"/>
    <w:p w14:paraId="3B43066A" w14:textId="1B099F75" w:rsidR="004E5CD1" w:rsidRPr="005A750F" w:rsidRDefault="00603995" w:rsidP="005A750F">
      <w:pPr>
        <w:jc w:val="center"/>
        <w:rPr>
          <w:b/>
        </w:rPr>
      </w:pPr>
      <w:r w:rsidRPr="005A750F">
        <w:rPr>
          <w:b/>
        </w:rPr>
        <w:t>Guidelines for Diagnosis and Treatment of CVHD</w:t>
      </w:r>
      <w:r w:rsidR="004E5CD1" w:rsidRPr="005A750F">
        <w:rPr>
          <w:b/>
        </w:rPr>
        <w:t xml:space="preserve"> (Stage A and B)</w:t>
      </w:r>
    </w:p>
    <w:p w14:paraId="1559F1FE" w14:textId="7EE2033D" w:rsidR="004E5CD1" w:rsidRDefault="004E5CD1"/>
    <w:p w14:paraId="36A55CD0" w14:textId="77777777" w:rsidR="00603995" w:rsidRDefault="00603995"/>
    <w:p w14:paraId="00E6729B" w14:textId="77777777" w:rsidR="006C06CB" w:rsidRDefault="006C06CB"/>
    <w:p w14:paraId="23C74C06" w14:textId="77777777" w:rsidR="004E5CD1" w:rsidRDefault="004E5CD1"/>
    <w:p w14:paraId="2FBC3FFF" w14:textId="77777777" w:rsidR="004E5CD1" w:rsidRDefault="004E5CD1"/>
    <w:p w14:paraId="63EFF95B" w14:textId="77777777" w:rsidR="004E5CD1" w:rsidRDefault="004E5CD1"/>
    <w:p w14:paraId="083E06D8" w14:textId="77777777" w:rsidR="004E5CD1" w:rsidRDefault="004E5CD1"/>
    <w:p w14:paraId="4E99421E" w14:textId="77777777" w:rsidR="00D10B08" w:rsidRDefault="00D10B08"/>
    <w:p w14:paraId="688A54D5" w14:textId="77777777" w:rsidR="00D10B08" w:rsidRDefault="00D10B08"/>
    <w:p w14:paraId="1DE56AB7" w14:textId="77777777" w:rsidR="00D10B08" w:rsidRDefault="00D10B08"/>
    <w:p w14:paraId="053BA136" w14:textId="77777777" w:rsidR="00D10B08" w:rsidRDefault="00D10B08"/>
    <w:p w14:paraId="5304B107" w14:textId="77777777" w:rsidR="004E5CD1" w:rsidRDefault="004E5CD1"/>
    <w:p w14:paraId="760833C1" w14:textId="0E461F80" w:rsidR="004E5CD1" w:rsidRPr="005A750F" w:rsidRDefault="004E5CD1" w:rsidP="005A750F">
      <w:pPr>
        <w:jc w:val="center"/>
        <w:rPr>
          <w:b/>
        </w:rPr>
      </w:pPr>
      <w:r w:rsidRPr="005A750F">
        <w:rPr>
          <w:b/>
        </w:rPr>
        <w:t>Guidelines for Diagnosis and T</w:t>
      </w:r>
      <w:r w:rsidR="005A750F" w:rsidRPr="005A750F">
        <w:rPr>
          <w:b/>
        </w:rPr>
        <w:t xml:space="preserve">reatment of CVHD </w:t>
      </w:r>
      <w:r w:rsidR="00D10B08" w:rsidRPr="005A750F">
        <w:rPr>
          <w:b/>
        </w:rPr>
        <w:t>(Stage C</w:t>
      </w:r>
      <w:r w:rsidRPr="005A750F">
        <w:rPr>
          <w:b/>
        </w:rPr>
        <w:t>)</w:t>
      </w:r>
    </w:p>
    <w:tbl>
      <w:tblPr>
        <w:tblStyle w:val="TableGrid"/>
        <w:tblpPr w:leftFromText="180" w:rightFromText="180" w:vertAnchor="page" w:horzAnchor="page" w:tblpX="649" w:tblpY="1441"/>
        <w:tblW w:w="0" w:type="auto"/>
        <w:tblLook w:val="04A0" w:firstRow="1" w:lastRow="0" w:firstColumn="1" w:lastColumn="0" w:noHBand="0" w:noVBand="1"/>
      </w:tblPr>
      <w:tblGrid>
        <w:gridCol w:w="1809"/>
        <w:gridCol w:w="4111"/>
        <w:gridCol w:w="8696"/>
      </w:tblGrid>
      <w:tr w:rsidR="00D10B08" w:rsidRPr="0029402A" w14:paraId="265D4E98" w14:textId="77777777" w:rsidTr="005A750F">
        <w:tc>
          <w:tcPr>
            <w:tcW w:w="1809" w:type="dxa"/>
            <w:shd w:val="clear" w:color="auto" w:fill="E5DFEC" w:themeFill="accent4" w:themeFillTint="33"/>
          </w:tcPr>
          <w:p w14:paraId="33B667A1" w14:textId="77777777" w:rsidR="00D10B08" w:rsidRPr="0029402A" w:rsidRDefault="00D10B08" w:rsidP="004E5CD1">
            <w:pPr>
              <w:rPr>
                <w:sz w:val="22"/>
              </w:rPr>
            </w:pPr>
          </w:p>
        </w:tc>
        <w:tc>
          <w:tcPr>
            <w:tcW w:w="4111" w:type="dxa"/>
            <w:shd w:val="clear" w:color="auto" w:fill="E5DFEC" w:themeFill="accent4" w:themeFillTint="33"/>
          </w:tcPr>
          <w:p w14:paraId="77B25058" w14:textId="77777777" w:rsidR="00D10B08" w:rsidRPr="0029402A" w:rsidRDefault="00D10B08" w:rsidP="004E5CD1">
            <w:pPr>
              <w:rPr>
                <w:sz w:val="22"/>
              </w:rPr>
            </w:pPr>
            <w:r w:rsidRPr="0029402A">
              <w:rPr>
                <w:sz w:val="22"/>
              </w:rPr>
              <w:t>Diagnosis</w:t>
            </w:r>
          </w:p>
        </w:tc>
        <w:tc>
          <w:tcPr>
            <w:tcW w:w="8696" w:type="dxa"/>
            <w:shd w:val="clear" w:color="auto" w:fill="E5DFEC" w:themeFill="accent4" w:themeFillTint="33"/>
          </w:tcPr>
          <w:p w14:paraId="0EC13D67" w14:textId="77777777" w:rsidR="00D10B08" w:rsidRPr="0029402A" w:rsidRDefault="00D10B08" w:rsidP="004E5CD1">
            <w:pPr>
              <w:rPr>
                <w:sz w:val="22"/>
              </w:rPr>
            </w:pPr>
            <w:r w:rsidRPr="0029402A">
              <w:rPr>
                <w:sz w:val="22"/>
              </w:rPr>
              <w:t>Therapy</w:t>
            </w:r>
          </w:p>
        </w:tc>
      </w:tr>
      <w:tr w:rsidR="00D10B08" w:rsidRPr="0029402A" w14:paraId="2F4DEA68" w14:textId="77777777" w:rsidTr="005A750F">
        <w:trPr>
          <w:trHeight w:val="988"/>
        </w:trPr>
        <w:tc>
          <w:tcPr>
            <w:tcW w:w="1809" w:type="dxa"/>
            <w:vMerge w:val="restart"/>
            <w:shd w:val="clear" w:color="auto" w:fill="E5DFEC" w:themeFill="accent4" w:themeFillTint="33"/>
          </w:tcPr>
          <w:p w14:paraId="649CDD35" w14:textId="77777777" w:rsidR="00D10B08" w:rsidRPr="006C06CB" w:rsidRDefault="00D10B08" w:rsidP="004E5CD1">
            <w:pPr>
              <w:rPr>
                <w:sz w:val="22"/>
              </w:rPr>
            </w:pPr>
            <w:r w:rsidRPr="0029402A">
              <w:rPr>
                <w:sz w:val="22"/>
              </w:rPr>
              <w:t>Stage C</w:t>
            </w:r>
            <w:r>
              <w:rPr>
                <w:sz w:val="22"/>
              </w:rPr>
              <w:t>:  Dogs with structural abnormality and current or previous clinical signs of HF</w:t>
            </w:r>
          </w:p>
        </w:tc>
        <w:tc>
          <w:tcPr>
            <w:tcW w:w="4111" w:type="dxa"/>
            <w:vMerge w:val="restart"/>
          </w:tcPr>
          <w:p w14:paraId="70DF18BC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 xml:space="preserve">-Clinical database (chest </w:t>
            </w:r>
            <w:proofErr w:type="spellStart"/>
            <w:r>
              <w:rPr>
                <w:sz w:val="22"/>
              </w:rPr>
              <w:t>rads</w:t>
            </w:r>
            <w:proofErr w:type="spellEnd"/>
            <w:r>
              <w:rPr>
                <w:sz w:val="22"/>
              </w:rPr>
              <w:t>, echo, basic labs)</w:t>
            </w:r>
          </w:p>
          <w:p w14:paraId="39C4E660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>-[Serum NT pro-BNP]</w:t>
            </w:r>
          </w:p>
          <w:p w14:paraId="51C6B0F0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>-Signalment and PE can be helpful</w:t>
            </w:r>
          </w:p>
          <w:p w14:paraId="4E7ECCA4" w14:textId="77777777" w:rsidR="00D10B08" w:rsidRPr="004E5CD1" w:rsidRDefault="00D10B08" w:rsidP="004E5CD1">
            <w:pPr>
              <w:rPr>
                <w:i/>
                <w:sz w:val="22"/>
              </w:rPr>
            </w:pPr>
            <w:r w:rsidRPr="004E5CD1">
              <w:rPr>
                <w:i/>
                <w:sz w:val="22"/>
              </w:rPr>
              <w:t>Ex1: obese dogs with no history of weight loss are less likely to be in HF secondary to CVH</w:t>
            </w:r>
          </w:p>
          <w:p w14:paraId="717D872B" w14:textId="77777777" w:rsidR="00D10B08" w:rsidRDefault="00D10B08" w:rsidP="004E5CD1">
            <w:pPr>
              <w:rPr>
                <w:i/>
                <w:sz w:val="22"/>
              </w:rPr>
            </w:pPr>
            <w:r w:rsidRPr="004E5CD1">
              <w:rPr>
                <w:i/>
                <w:sz w:val="22"/>
              </w:rPr>
              <w:t>Ex2: dogs with marked sinus arrhythmia and slow HR less likely to have HF secondary to CVHD</w:t>
            </w:r>
          </w:p>
          <w:p w14:paraId="77B7636B" w14:textId="77777777" w:rsidR="00D10B08" w:rsidRDefault="00D10B08" w:rsidP="004E5CD1">
            <w:pPr>
              <w:rPr>
                <w:i/>
                <w:sz w:val="22"/>
              </w:rPr>
            </w:pPr>
          </w:p>
          <w:p w14:paraId="516E082A" w14:textId="77777777" w:rsidR="00D10B08" w:rsidRPr="004E5CD1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 xml:space="preserve">-CBC, </w:t>
            </w:r>
            <w:proofErr w:type="spellStart"/>
            <w:r>
              <w:rPr>
                <w:sz w:val="22"/>
              </w:rPr>
              <w:t>Biochem</w:t>
            </w:r>
            <w:proofErr w:type="spellEnd"/>
            <w:r>
              <w:rPr>
                <w:sz w:val="22"/>
              </w:rPr>
              <w:t>, UA if therapy for CHF is anticipated</w:t>
            </w:r>
          </w:p>
        </w:tc>
        <w:tc>
          <w:tcPr>
            <w:tcW w:w="8696" w:type="dxa"/>
          </w:tcPr>
          <w:p w14:paraId="053C1CB0" w14:textId="77777777" w:rsidR="00D10B08" w:rsidRPr="00A42FE3" w:rsidRDefault="00D10B08" w:rsidP="004E5CD1">
            <w:pPr>
              <w:rPr>
                <w:b/>
                <w:sz w:val="22"/>
                <w:u w:val="single"/>
              </w:rPr>
            </w:pPr>
            <w:r w:rsidRPr="00A42FE3">
              <w:rPr>
                <w:b/>
                <w:sz w:val="22"/>
                <w:u w:val="single"/>
              </w:rPr>
              <w:t>Acute (hospital-based)</w:t>
            </w:r>
          </w:p>
          <w:p w14:paraId="6E252EDA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>-Furosemide: dosing should be related to severity of CS and response (1-4mg/kg). Repeated IV boluses or CRI indicated for poorly responsive dogs</w:t>
            </w:r>
          </w:p>
          <w:p w14:paraId="238353C3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>-For life-threatening pulmonary edema (poor initial response to furosemide bolus in first 2 hours, expectoration of froth): furosemide administered as CI 1mg/kg/</w:t>
            </w:r>
            <w:proofErr w:type="spellStart"/>
            <w:r>
              <w:rPr>
                <w:sz w:val="22"/>
              </w:rPr>
              <w:t>hr</w:t>
            </w:r>
            <w:proofErr w:type="spellEnd"/>
            <w:r>
              <w:rPr>
                <w:sz w:val="22"/>
              </w:rPr>
              <w:t xml:space="preserve"> after initial bolus</w:t>
            </w:r>
          </w:p>
          <w:p w14:paraId="00312F58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 xml:space="preserve">-Free access to water </w:t>
            </w:r>
          </w:p>
          <w:p w14:paraId="79F1EBBA" w14:textId="77777777" w:rsidR="00D10B08" w:rsidRDefault="00D10B08" w:rsidP="004E5CD1">
            <w:pPr>
              <w:rPr>
                <w:sz w:val="22"/>
              </w:rPr>
            </w:pPr>
          </w:p>
          <w:p w14:paraId="50ED3795" w14:textId="77777777" w:rsidR="00D10B08" w:rsidRDefault="00D10B08" w:rsidP="004E5CD1">
            <w:pPr>
              <w:rPr>
                <w:i/>
                <w:sz w:val="22"/>
              </w:rPr>
            </w:pPr>
            <w:r>
              <w:rPr>
                <w:sz w:val="22"/>
              </w:rPr>
              <w:t xml:space="preserve">-Pimobendan 0.25-0.3mg/kg PO q12 </w:t>
            </w:r>
            <w:r>
              <w:rPr>
                <w:i/>
                <w:sz w:val="22"/>
              </w:rPr>
              <w:t>strongly supported by hemodynamic and experimental evidence</w:t>
            </w:r>
          </w:p>
          <w:p w14:paraId="377A1E7B" w14:textId="77777777" w:rsidR="00D10B08" w:rsidRDefault="00D10B08" w:rsidP="004E5CD1">
            <w:pPr>
              <w:rPr>
                <w:sz w:val="22"/>
              </w:rPr>
            </w:pPr>
          </w:p>
          <w:p w14:paraId="62F015DF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>-O2 supplementation</w:t>
            </w:r>
          </w:p>
          <w:p w14:paraId="2F83E6E7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 xml:space="preserve">-Mechanical treatments: thoracocentesis or </w:t>
            </w:r>
            <w:proofErr w:type="spellStart"/>
            <w:r>
              <w:rPr>
                <w:sz w:val="22"/>
              </w:rPr>
              <w:t>abdominocentesis</w:t>
            </w:r>
            <w:proofErr w:type="spellEnd"/>
            <w:r>
              <w:rPr>
                <w:sz w:val="22"/>
              </w:rPr>
              <w:t xml:space="preserve"> for effusions sufficient to impair ventilation </w:t>
            </w:r>
          </w:p>
          <w:p w14:paraId="723DEC0E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>-Nursing care</w:t>
            </w:r>
          </w:p>
          <w:p w14:paraId="4C95C182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 xml:space="preserve">-Sedation: </w:t>
            </w:r>
            <w:proofErr w:type="spellStart"/>
            <w:r>
              <w:rPr>
                <w:sz w:val="22"/>
              </w:rPr>
              <w:t>butorphanol</w:t>
            </w:r>
            <w:proofErr w:type="spellEnd"/>
            <w:r>
              <w:rPr>
                <w:sz w:val="22"/>
              </w:rPr>
              <w:t xml:space="preserve"> + combinations</w:t>
            </w:r>
          </w:p>
          <w:p w14:paraId="282D6BC6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 xml:space="preserve">-CRI of </w:t>
            </w:r>
            <w:proofErr w:type="spellStart"/>
            <w:r>
              <w:rPr>
                <w:sz w:val="22"/>
              </w:rPr>
              <w:t>nitroprusside</w:t>
            </w:r>
            <w:proofErr w:type="spellEnd"/>
            <w:r>
              <w:rPr>
                <w:sz w:val="22"/>
              </w:rPr>
              <w:t xml:space="preserve"> for up to 48 hours useful for life-threatening poorly responsive pulmonary edema</w:t>
            </w:r>
          </w:p>
          <w:p w14:paraId="718C52B5" w14:textId="77777777" w:rsidR="00D10B08" w:rsidRPr="0029402A" w:rsidRDefault="00D10B08" w:rsidP="00031D59">
            <w:pPr>
              <w:rPr>
                <w:sz w:val="22"/>
              </w:rPr>
            </w:pPr>
          </w:p>
        </w:tc>
      </w:tr>
      <w:tr w:rsidR="00D10B08" w:rsidRPr="0029402A" w14:paraId="7ADC600C" w14:textId="77777777" w:rsidTr="005A750F">
        <w:trPr>
          <w:trHeight w:val="1327"/>
        </w:trPr>
        <w:tc>
          <w:tcPr>
            <w:tcW w:w="1809" w:type="dxa"/>
            <w:vMerge/>
            <w:shd w:val="clear" w:color="auto" w:fill="E5DFEC" w:themeFill="accent4" w:themeFillTint="33"/>
          </w:tcPr>
          <w:p w14:paraId="5B266CF9" w14:textId="77777777" w:rsidR="00D10B08" w:rsidRDefault="00D10B08" w:rsidP="004E5CD1">
            <w:pPr>
              <w:rPr>
                <w:sz w:val="22"/>
              </w:rPr>
            </w:pPr>
          </w:p>
        </w:tc>
        <w:tc>
          <w:tcPr>
            <w:tcW w:w="4111" w:type="dxa"/>
            <w:vMerge/>
          </w:tcPr>
          <w:p w14:paraId="6C2F7A73" w14:textId="77777777" w:rsidR="00D10B08" w:rsidRDefault="00D10B08" w:rsidP="004E5CD1">
            <w:pPr>
              <w:rPr>
                <w:sz w:val="22"/>
              </w:rPr>
            </w:pPr>
          </w:p>
        </w:tc>
        <w:tc>
          <w:tcPr>
            <w:tcW w:w="8696" w:type="dxa"/>
          </w:tcPr>
          <w:p w14:paraId="7479807D" w14:textId="77777777" w:rsidR="00D10B08" w:rsidRPr="00B1715C" w:rsidRDefault="00D10B08" w:rsidP="00A42FE3">
            <w:pPr>
              <w:rPr>
                <w:b/>
                <w:sz w:val="22"/>
                <w:u w:val="single"/>
              </w:rPr>
            </w:pPr>
            <w:r w:rsidRPr="00B1715C">
              <w:rPr>
                <w:b/>
                <w:sz w:val="22"/>
                <w:u w:val="single"/>
              </w:rPr>
              <w:t>Chronic (home-based)</w:t>
            </w:r>
          </w:p>
          <w:p w14:paraId="74433F35" w14:textId="77777777" w:rsidR="00D10B08" w:rsidRDefault="00D10B08" w:rsidP="00A42FE3">
            <w:pPr>
              <w:rPr>
                <w:sz w:val="22"/>
              </w:rPr>
            </w:pPr>
            <w:r>
              <w:rPr>
                <w:sz w:val="22"/>
              </w:rPr>
              <w:t>-PO furosemide to effect (2mg/kg q12 usually, range 1-6mg/kg IV q8) with attention to effects on renal function and electrolyte status</w:t>
            </w:r>
          </w:p>
          <w:p w14:paraId="52DCC193" w14:textId="77777777" w:rsidR="00D10B08" w:rsidRDefault="00D10B08" w:rsidP="00B1715C">
            <w:pPr>
              <w:rPr>
                <w:sz w:val="22"/>
              </w:rPr>
            </w:pPr>
            <w:r>
              <w:rPr>
                <w:sz w:val="22"/>
              </w:rPr>
              <w:t>-Start (or continue) ACEI (</w:t>
            </w:r>
            <w:proofErr w:type="spellStart"/>
            <w:r>
              <w:rPr>
                <w:sz w:val="22"/>
              </w:rPr>
              <w:t>enalapril</w:t>
            </w:r>
            <w:proofErr w:type="spellEnd"/>
            <w:r>
              <w:rPr>
                <w:sz w:val="22"/>
              </w:rPr>
              <w:t xml:space="preserve"> 0.5mg/kg PO q12 or equivalent)</w:t>
            </w:r>
          </w:p>
          <w:p w14:paraId="79FAFED6" w14:textId="77777777" w:rsidR="00D10B08" w:rsidRDefault="00D10B08" w:rsidP="00B1715C">
            <w:pPr>
              <w:rPr>
                <w:sz w:val="22"/>
              </w:rPr>
            </w:pPr>
            <w:r>
              <w:rPr>
                <w:sz w:val="22"/>
              </w:rPr>
              <w:t>-Measure creatinine and electrolytes 3-7 days after initiating ACEI</w:t>
            </w:r>
          </w:p>
          <w:p w14:paraId="2D0F612A" w14:textId="77777777" w:rsidR="00D10B08" w:rsidRDefault="00D10B08" w:rsidP="00B1715C">
            <w:pPr>
              <w:rPr>
                <w:sz w:val="22"/>
              </w:rPr>
            </w:pPr>
            <w:r>
              <w:rPr>
                <w:sz w:val="22"/>
              </w:rPr>
              <w:t>-Continue Pimobendan (0.25-0.3mg/kg PO q12)</w:t>
            </w:r>
          </w:p>
          <w:p w14:paraId="420F40D4" w14:textId="77777777" w:rsidR="00D10B08" w:rsidRDefault="00D10B08" w:rsidP="00B1715C">
            <w:pPr>
              <w:rPr>
                <w:sz w:val="22"/>
              </w:rPr>
            </w:pPr>
            <w:r>
              <w:rPr>
                <w:sz w:val="22"/>
              </w:rPr>
              <w:t>-Do not start beta blocker in face of active clinical signs of HF caused by CVHD</w:t>
            </w:r>
          </w:p>
          <w:p w14:paraId="5E36E42C" w14:textId="77777777" w:rsidR="00D10B08" w:rsidRDefault="00D10B08" w:rsidP="00B1715C">
            <w:pPr>
              <w:rPr>
                <w:sz w:val="22"/>
              </w:rPr>
            </w:pPr>
            <w:r>
              <w:rPr>
                <w:sz w:val="22"/>
              </w:rPr>
              <w:t xml:space="preserve">-Follow up to ensure body weight, appetite, </w:t>
            </w:r>
            <w:proofErr w:type="spellStart"/>
            <w:r>
              <w:rPr>
                <w:sz w:val="22"/>
              </w:rPr>
              <w:t>resp</w:t>
            </w:r>
            <w:proofErr w:type="spellEnd"/>
            <w:r>
              <w:rPr>
                <w:sz w:val="22"/>
              </w:rPr>
              <w:t xml:space="preserve"> and HR monitoring</w:t>
            </w:r>
          </w:p>
        </w:tc>
      </w:tr>
      <w:tr w:rsidR="00D10B08" w:rsidRPr="0029402A" w14:paraId="50090340" w14:textId="77777777" w:rsidTr="005A750F">
        <w:tc>
          <w:tcPr>
            <w:tcW w:w="1809" w:type="dxa"/>
            <w:vMerge/>
            <w:shd w:val="clear" w:color="auto" w:fill="E5DFEC" w:themeFill="accent4" w:themeFillTint="33"/>
          </w:tcPr>
          <w:p w14:paraId="735D940F" w14:textId="77777777" w:rsidR="00D10B08" w:rsidRPr="0029402A" w:rsidRDefault="00D10B08" w:rsidP="004E5CD1">
            <w:pPr>
              <w:rPr>
                <w:sz w:val="22"/>
              </w:rPr>
            </w:pPr>
          </w:p>
        </w:tc>
        <w:tc>
          <w:tcPr>
            <w:tcW w:w="4111" w:type="dxa"/>
            <w:vMerge/>
          </w:tcPr>
          <w:p w14:paraId="6805EC46" w14:textId="77777777" w:rsidR="00D10B08" w:rsidRPr="0029402A" w:rsidRDefault="00D10B08" w:rsidP="004E5CD1">
            <w:pPr>
              <w:rPr>
                <w:sz w:val="22"/>
              </w:rPr>
            </w:pPr>
          </w:p>
        </w:tc>
        <w:tc>
          <w:tcPr>
            <w:tcW w:w="8696" w:type="dxa"/>
          </w:tcPr>
          <w:p w14:paraId="464617C4" w14:textId="77777777" w:rsidR="00D10B08" w:rsidRPr="00031D59" w:rsidRDefault="00D10B08" w:rsidP="004E5CD1">
            <w:pPr>
              <w:rPr>
                <w:b/>
                <w:sz w:val="22"/>
                <w:u w:val="single"/>
              </w:rPr>
            </w:pPr>
            <w:r w:rsidRPr="00031D59">
              <w:rPr>
                <w:b/>
                <w:sz w:val="22"/>
                <w:u w:val="single"/>
              </w:rPr>
              <w:t>Dietary</w:t>
            </w:r>
          </w:p>
          <w:p w14:paraId="0A0A87FB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>-Maintain adequate calorie intake to minimize weight loss</w:t>
            </w:r>
          </w:p>
          <w:p w14:paraId="510F707D" w14:textId="77777777" w:rsidR="00031D59" w:rsidRDefault="00031D59" w:rsidP="004E5CD1">
            <w:pPr>
              <w:rPr>
                <w:sz w:val="22"/>
              </w:rPr>
            </w:pPr>
            <w:r>
              <w:rPr>
                <w:sz w:val="22"/>
              </w:rPr>
              <w:t>-Record weight at every visit</w:t>
            </w:r>
          </w:p>
          <w:p w14:paraId="585B501D" w14:textId="77777777" w:rsidR="00031D59" w:rsidRDefault="00031D59" w:rsidP="004E5CD1">
            <w:pPr>
              <w:rPr>
                <w:sz w:val="22"/>
              </w:rPr>
            </w:pPr>
            <w:r>
              <w:rPr>
                <w:sz w:val="22"/>
              </w:rPr>
              <w:t>-Ensure adequate protein intake and avoid low protein diets designed to treat CKD unless severe concurrent renal failure is present</w:t>
            </w:r>
          </w:p>
          <w:p w14:paraId="421D472B" w14:textId="77777777" w:rsidR="00031D59" w:rsidRDefault="00031D59" w:rsidP="00031D59">
            <w:pPr>
              <w:rPr>
                <w:sz w:val="22"/>
              </w:rPr>
            </w:pPr>
            <w:r>
              <w:rPr>
                <w:sz w:val="22"/>
              </w:rPr>
              <w:t>-Modestly restrict sodium intake</w:t>
            </w:r>
          </w:p>
          <w:p w14:paraId="78402644" w14:textId="77777777" w:rsidR="00031D59" w:rsidRPr="0029402A" w:rsidRDefault="00031D59" w:rsidP="00031D59">
            <w:pPr>
              <w:rPr>
                <w:sz w:val="22"/>
              </w:rPr>
            </w:pPr>
            <w:r>
              <w:rPr>
                <w:sz w:val="22"/>
              </w:rPr>
              <w:t xml:space="preserve">-Monitor serum [potassium] and supplement diet with potassium from natural or commercial sources </w:t>
            </w:r>
          </w:p>
        </w:tc>
      </w:tr>
    </w:tbl>
    <w:p w14:paraId="04CE9488" w14:textId="77777777" w:rsidR="00D10B08" w:rsidRDefault="00D10B08" w:rsidP="004E5CD1"/>
    <w:p w14:paraId="2AF8DDB6" w14:textId="77777777" w:rsidR="00031D59" w:rsidRDefault="00031D59" w:rsidP="004E5CD1"/>
    <w:p w14:paraId="42240757" w14:textId="77777777" w:rsidR="00CA510E" w:rsidRDefault="00CA510E" w:rsidP="00031D59"/>
    <w:p w14:paraId="285E51BB" w14:textId="0D526A14" w:rsidR="00031D59" w:rsidRPr="005A750F" w:rsidRDefault="00031D59" w:rsidP="005A750F">
      <w:pPr>
        <w:jc w:val="center"/>
        <w:rPr>
          <w:b/>
        </w:rPr>
      </w:pPr>
      <w:bookmarkStart w:id="0" w:name="_GoBack"/>
      <w:r w:rsidRPr="005A750F">
        <w:rPr>
          <w:b/>
        </w:rPr>
        <w:t xml:space="preserve">Guidelines for </w:t>
      </w:r>
      <w:r w:rsidR="00CA510E" w:rsidRPr="005A750F">
        <w:rPr>
          <w:b/>
        </w:rPr>
        <w:t>Diagnosis and Treatment of CVHD</w:t>
      </w:r>
      <w:r w:rsidRPr="005A750F">
        <w:rPr>
          <w:b/>
        </w:rPr>
        <w:t xml:space="preserve"> (Stage D)</w:t>
      </w:r>
    </w:p>
    <w:bookmarkEnd w:id="0"/>
    <w:p w14:paraId="49F89C22" w14:textId="77777777" w:rsidR="00D10B08" w:rsidRDefault="00D10B08" w:rsidP="004E5CD1"/>
    <w:tbl>
      <w:tblPr>
        <w:tblStyle w:val="TableGrid"/>
        <w:tblpPr w:leftFromText="180" w:rightFromText="180" w:vertAnchor="page" w:horzAnchor="page" w:tblpX="649" w:tblpY="1621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3118"/>
        <w:gridCol w:w="8838"/>
      </w:tblGrid>
      <w:tr w:rsidR="005A750F" w:rsidRPr="0029402A" w14:paraId="6B77E905" w14:textId="77777777" w:rsidTr="005A750F">
        <w:tc>
          <w:tcPr>
            <w:tcW w:w="817" w:type="dxa"/>
            <w:shd w:val="clear" w:color="auto" w:fill="E5DFEC" w:themeFill="accent4" w:themeFillTint="33"/>
          </w:tcPr>
          <w:p w14:paraId="3032E238" w14:textId="77777777" w:rsidR="00CA510E" w:rsidRPr="0029402A" w:rsidRDefault="00CA510E" w:rsidP="00CA510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E5DFEC" w:themeFill="accent4" w:themeFillTint="33"/>
          </w:tcPr>
          <w:p w14:paraId="2B1D39FD" w14:textId="77777777" w:rsidR="00CA510E" w:rsidRPr="0029402A" w:rsidRDefault="00CA510E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Description</w:t>
            </w:r>
          </w:p>
        </w:tc>
        <w:tc>
          <w:tcPr>
            <w:tcW w:w="3118" w:type="dxa"/>
            <w:shd w:val="clear" w:color="auto" w:fill="E5DFEC" w:themeFill="accent4" w:themeFillTint="33"/>
          </w:tcPr>
          <w:p w14:paraId="1B46745E" w14:textId="77777777" w:rsidR="00CA510E" w:rsidRPr="0029402A" w:rsidRDefault="00CA510E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Diagnosis</w:t>
            </w:r>
          </w:p>
        </w:tc>
        <w:tc>
          <w:tcPr>
            <w:tcW w:w="8838" w:type="dxa"/>
            <w:shd w:val="clear" w:color="auto" w:fill="E5DFEC" w:themeFill="accent4" w:themeFillTint="33"/>
          </w:tcPr>
          <w:p w14:paraId="78EB06FC" w14:textId="77777777" w:rsidR="00CA510E" w:rsidRPr="0029402A" w:rsidRDefault="00CA510E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Therapy</w:t>
            </w:r>
          </w:p>
        </w:tc>
      </w:tr>
      <w:tr w:rsidR="00CA510E" w:rsidRPr="0029402A" w14:paraId="6AED814D" w14:textId="77777777" w:rsidTr="005A750F">
        <w:trPr>
          <w:trHeight w:val="988"/>
        </w:trPr>
        <w:tc>
          <w:tcPr>
            <w:tcW w:w="817" w:type="dxa"/>
            <w:vMerge w:val="restart"/>
            <w:shd w:val="clear" w:color="auto" w:fill="E5DFEC" w:themeFill="accent4" w:themeFillTint="33"/>
          </w:tcPr>
          <w:p w14:paraId="72334399" w14:textId="77777777" w:rsidR="00CA510E" w:rsidRPr="0029402A" w:rsidRDefault="00CA510E" w:rsidP="00CA510E">
            <w:pPr>
              <w:rPr>
                <w:sz w:val="22"/>
              </w:rPr>
            </w:pPr>
            <w:r>
              <w:rPr>
                <w:sz w:val="22"/>
              </w:rPr>
              <w:t>Stage D</w:t>
            </w:r>
          </w:p>
        </w:tc>
        <w:tc>
          <w:tcPr>
            <w:tcW w:w="1843" w:type="dxa"/>
            <w:vMerge w:val="restart"/>
          </w:tcPr>
          <w:p w14:paraId="33B53C3E" w14:textId="77777777" w:rsidR="00CA510E" w:rsidRDefault="00CA510E" w:rsidP="00CA510E">
            <w:pPr>
              <w:rPr>
                <w:sz w:val="22"/>
              </w:rPr>
            </w:pPr>
            <w:r>
              <w:rPr>
                <w:sz w:val="22"/>
              </w:rPr>
              <w:t>-Refractory HF</w:t>
            </w:r>
          </w:p>
          <w:p w14:paraId="4AD4F382" w14:textId="77777777" w:rsidR="00CA510E" w:rsidRDefault="00CA510E" w:rsidP="00CA510E">
            <w:pPr>
              <w:rPr>
                <w:sz w:val="22"/>
              </w:rPr>
            </w:pPr>
          </w:p>
          <w:p w14:paraId="668EAC06" w14:textId="77777777" w:rsidR="00CA510E" w:rsidRPr="006C06CB" w:rsidRDefault="00CA510E" w:rsidP="00CA510E">
            <w:pPr>
              <w:rPr>
                <w:sz w:val="22"/>
              </w:rPr>
            </w:pPr>
            <w:r>
              <w:rPr>
                <w:sz w:val="22"/>
              </w:rPr>
              <w:t>-Patients are receiving maximum recommended or tolerated dosage of furosemide, ACEI, and pimobendan</w:t>
            </w:r>
          </w:p>
        </w:tc>
        <w:tc>
          <w:tcPr>
            <w:tcW w:w="3118" w:type="dxa"/>
            <w:vMerge w:val="restart"/>
          </w:tcPr>
          <w:p w14:paraId="0A6A4E4E" w14:textId="77777777" w:rsidR="00CA510E" w:rsidRDefault="00CA510E" w:rsidP="00CA510E">
            <w:pPr>
              <w:rPr>
                <w:sz w:val="22"/>
              </w:rPr>
            </w:pPr>
            <w:r>
              <w:rPr>
                <w:sz w:val="22"/>
              </w:rPr>
              <w:t xml:space="preserve">-Involves same diagnostic steps outlined for stage C PLUS failure to respond to treatments. </w:t>
            </w:r>
          </w:p>
          <w:p w14:paraId="2B4ABDEF" w14:textId="77777777" w:rsidR="00CA510E" w:rsidRDefault="00CA510E" w:rsidP="00CA510E">
            <w:pPr>
              <w:rPr>
                <w:sz w:val="22"/>
              </w:rPr>
            </w:pPr>
          </w:p>
          <w:p w14:paraId="6D654B1E" w14:textId="77777777" w:rsidR="00CA510E" w:rsidRPr="004E5CD1" w:rsidRDefault="00CA510E" w:rsidP="00CA510E">
            <w:pPr>
              <w:rPr>
                <w:sz w:val="22"/>
              </w:rPr>
            </w:pPr>
            <w:r>
              <w:rPr>
                <w:sz w:val="22"/>
              </w:rPr>
              <w:t>-Chronic oral furosemide (&gt;6mg/kg q12) needed to maintain patient comfort in the face of appropriate adjunct therapy indicates disease progression to Stage D</w:t>
            </w:r>
          </w:p>
        </w:tc>
        <w:tc>
          <w:tcPr>
            <w:tcW w:w="8838" w:type="dxa"/>
          </w:tcPr>
          <w:p w14:paraId="61FFC12C" w14:textId="77777777" w:rsidR="00CA510E" w:rsidRDefault="00CA510E" w:rsidP="00CA510E">
            <w:pPr>
              <w:rPr>
                <w:b/>
                <w:sz w:val="22"/>
                <w:u w:val="single"/>
              </w:rPr>
            </w:pPr>
            <w:r w:rsidRPr="00A42FE3">
              <w:rPr>
                <w:b/>
                <w:sz w:val="22"/>
                <w:u w:val="single"/>
              </w:rPr>
              <w:t>Acute (hospital-based)</w:t>
            </w:r>
          </w:p>
          <w:p w14:paraId="2BA297D1" w14:textId="77777777" w:rsidR="00CA510E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597C50">
              <w:rPr>
                <w:rFonts w:cs="Times New Roman"/>
                <w:sz w:val="22"/>
                <w:szCs w:val="22"/>
              </w:rPr>
              <w:t xml:space="preserve">-Additional furosemide IV as a bolus of 2 mg/kg followed by additional bolus doses, </w:t>
            </w:r>
            <w:r>
              <w:rPr>
                <w:rFonts w:cs="Times New Roman"/>
                <w:sz w:val="22"/>
                <w:szCs w:val="22"/>
              </w:rPr>
              <w:t>OR</w:t>
            </w:r>
            <w:r w:rsidRPr="00597C50">
              <w:rPr>
                <w:rFonts w:cs="Times New Roman"/>
                <w:sz w:val="22"/>
                <w:szCs w:val="22"/>
              </w:rPr>
              <w:t xml:space="preserve"> furosemide CRI of 1 mg/kg/h </w:t>
            </w:r>
            <w:r w:rsidRPr="00CA43BF">
              <w:rPr>
                <w:rFonts w:cs="Times New Roman"/>
                <w:b/>
                <w:sz w:val="22"/>
                <w:szCs w:val="22"/>
              </w:rPr>
              <w:t>until respiratory distress has decreased, or for a maximum of 4 hours.</w:t>
            </w:r>
            <w:r w:rsidRPr="00597C50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17A6F6CF" w14:textId="77777777" w:rsidR="00CA510E" w:rsidRPr="00CA43BF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2"/>
                <w:szCs w:val="22"/>
              </w:rPr>
            </w:pPr>
            <w:r w:rsidRPr="00CA43BF">
              <w:rPr>
                <w:rFonts w:cs="Times New Roman"/>
                <w:i/>
                <w:sz w:val="22"/>
                <w:szCs w:val="22"/>
              </w:rPr>
              <w:t>Unless there is evidence of severe renal insufficiency (serum creatinine &gt; 3mg/kg IV)</w:t>
            </w:r>
          </w:p>
          <w:p w14:paraId="7B571A6B" w14:textId="77777777" w:rsidR="00CA510E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597C50">
              <w:rPr>
                <w:rFonts w:cs="Times New Roman"/>
                <w:sz w:val="22"/>
                <w:szCs w:val="22"/>
              </w:rPr>
              <w:t xml:space="preserve">-Continue to allow patient free access to water </w:t>
            </w:r>
          </w:p>
          <w:p w14:paraId="579D760D" w14:textId="77777777" w:rsidR="00CA510E" w:rsidRPr="00597C50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14:paraId="4EC6C23D" w14:textId="77777777" w:rsidR="00CA510E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597C50">
              <w:rPr>
                <w:rFonts w:cs="Times New Roman"/>
                <w:sz w:val="22"/>
                <w:szCs w:val="22"/>
              </w:rPr>
              <w:t>-Fluid removal (</w:t>
            </w:r>
            <w:proofErr w:type="spellStart"/>
            <w:r w:rsidRPr="00597C50">
              <w:rPr>
                <w:rFonts w:cs="Times New Roman"/>
                <w:sz w:val="22"/>
                <w:szCs w:val="22"/>
              </w:rPr>
              <w:t>abdominocentesis</w:t>
            </w:r>
            <w:proofErr w:type="spellEnd"/>
            <w:r w:rsidRPr="00597C50">
              <w:rPr>
                <w:rFonts w:cs="Times New Roman"/>
                <w:sz w:val="22"/>
                <w:szCs w:val="22"/>
              </w:rPr>
              <w:t>, thoracocentesis) as needed to relieve respiratory distress or discomfort</w:t>
            </w:r>
          </w:p>
          <w:p w14:paraId="3A167F1E" w14:textId="77777777" w:rsidR="00CA510E" w:rsidRPr="00597C50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14:paraId="0C177D64" w14:textId="77777777" w:rsidR="00CA510E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597C50">
              <w:rPr>
                <w:rFonts w:cs="Times New Roman"/>
                <w:sz w:val="22"/>
                <w:szCs w:val="22"/>
              </w:rPr>
              <w:t xml:space="preserve">-O2 supplementation + mechanical ventilation if necessary (allow time for meds to take effect)  </w:t>
            </w:r>
          </w:p>
          <w:p w14:paraId="7C32107C" w14:textId="77777777" w:rsidR="00CA510E" w:rsidRPr="00597C50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14:paraId="27AF56DD" w14:textId="77777777" w:rsidR="00CA510E" w:rsidRPr="00597C50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597C50">
              <w:rPr>
                <w:rFonts w:cs="Times New Roman"/>
                <w:sz w:val="22"/>
                <w:szCs w:val="22"/>
              </w:rPr>
              <w:t xml:space="preserve">-More vigorous afterload reduction in patients that can tolerate arterial vasodilation. </w:t>
            </w:r>
          </w:p>
          <w:p w14:paraId="0CA432D5" w14:textId="77777777" w:rsidR="00CA510E" w:rsidRPr="00597C50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597C50">
              <w:rPr>
                <w:rFonts w:cs="Times New Roman"/>
                <w:sz w:val="22"/>
                <w:szCs w:val="22"/>
              </w:rPr>
              <w:t xml:space="preserve">Sodium </w:t>
            </w:r>
            <w:proofErr w:type="spellStart"/>
            <w:r w:rsidRPr="00597C50">
              <w:rPr>
                <w:rFonts w:cs="Times New Roman"/>
                <w:sz w:val="22"/>
                <w:szCs w:val="22"/>
              </w:rPr>
              <w:t>nitroprusside</w:t>
            </w:r>
            <w:proofErr w:type="spellEnd"/>
            <w:r w:rsidRPr="00597C50">
              <w:rPr>
                <w:rFonts w:cs="Times New Roman"/>
                <w:sz w:val="22"/>
                <w:szCs w:val="22"/>
              </w:rPr>
              <w:t xml:space="preserve"> (starting at 0.5–1 </w:t>
            </w:r>
            <w:r w:rsidRPr="00597C50">
              <w:rPr>
                <w:rFonts w:cs="Times New Roman"/>
                <w:b/>
                <w:bCs/>
                <w:sz w:val="22"/>
                <w:szCs w:val="22"/>
              </w:rPr>
              <w:t>m</w:t>
            </w:r>
            <w:r w:rsidRPr="00597C50">
              <w:rPr>
                <w:rFonts w:cs="Times New Roman"/>
                <w:sz w:val="22"/>
                <w:szCs w:val="22"/>
              </w:rPr>
              <w:t>g/kg/min), hydralazine (0.5–2.0 mg/kg PO), or amlodipine (0.05–0.1 mg/kg PO)</w:t>
            </w:r>
          </w:p>
          <w:p w14:paraId="123EC0FE" w14:textId="77777777" w:rsidR="00CA510E" w:rsidRPr="00597C50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2"/>
                <w:szCs w:val="22"/>
              </w:rPr>
            </w:pPr>
            <w:r w:rsidRPr="00597C50">
              <w:rPr>
                <w:rFonts w:cs="Times New Roman"/>
                <w:i/>
                <w:sz w:val="22"/>
                <w:szCs w:val="22"/>
              </w:rPr>
              <w:t>Started at low dosage and titrated up hourly until clinical improvement and decrease of systolic blood pressure (5–10%).</w:t>
            </w:r>
            <w:r w:rsidRPr="00597C50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0C7E78D0" w14:textId="77777777" w:rsidR="00CA510E" w:rsidRPr="0029402A" w:rsidRDefault="00CA510E" w:rsidP="00CA510E">
            <w:pPr>
              <w:rPr>
                <w:sz w:val="22"/>
              </w:rPr>
            </w:pPr>
          </w:p>
        </w:tc>
      </w:tr>
      <w:tr w:rsidR="00CA510E" w:rsidRPr="0029402A" w14:paraId="12E6FA7B" w14:textId="77777777" w:rsidTr="005A750F">
        <w:trPr>
          <w:trHeight w:val="3358"/>
        </w:trPr>
        <w:tc>
          <w:tcPr>
            <w:tcW w:w="817" w:type="dxa"/>
            <w:vMerge/>
            <w:shd w:val="clear" w:color="auto" w:fill="E5DFEC" w:themeFill="accent4" w:themeFillTint="33"/>
          </w:tcPr>
          <w:p w14:paraId="34865A97" w14:textId="77777777" w:rsidR="00CA510E" w:rsidRPr="0029402A" w:rsidRDefault="00CA510E" w:rsidP="00CA510E">
            <w:pPr>
              <w:rPr>
                <w:sz w:val="22"/>
              </w:rPr>
            </w:pPr>
          </w:p>
        </w:tc>
        <w:tc>
          <w:tcPr>
            <w:tcW w:w="1843" w:type="dxa"/>
            <w:vMerge/>
          </w:tcPr>
          <w:p w14:paraId="214E10D3" w14:textId="77777777" w:rsidR="00CA510E" w:rsidRDefault="00CA510E" w:rsidP="00CA510E">
            <w:pPr>
              <w:rPr>
                <w:sz w:val="22"/>
              </w:rPr>
            </w:pPr>
          </w:p>
        </w:tc>
        <w:tc>
          <w:tcPr>
            <w:tcW w:w="3118" w:type="dxa"/>
            <w:vMerge/>
          </w:tcPr>
          <w:p w14:paraId="4AE82A72" w14:textId="77777777" w:rsidR="00CA510E" w:rsidRDefault="00CA510E" w:rsidP="00CA510E">
            <w:pPr>
              <w:rPr>
                <w:sz w:val="22"/>
              </w:rPr>
            </w:pPr>
          </w:p>
        </w:tc>
        <w:tc>
          <w:tcPr>
            <w:tcW w:w="8838" w:type="dxa"/>
          </w:tcPr>
          <w:p w14:paraId="47B12F4E" w14:textId="77777777" w:rsidR="00CA510E" w:rsidRPr="00B1715C" w:rsidRDefault="00CA510E" w:rsidP="00CA510E">
            <w:pPr>
              <w:rPr>
                <w:b/>
                <w:sz w:val="22"/>
                <w:u w:val="single"/>
              </w:rPr>
            </w:pPr>
            <w:r w:rsidRPr="00B1715C">
              <w:rPr>
                <w:b/>
                <w:sz w:val="22"/>
                <w:u w:val="single"/>
              </w:rPr>
              <w:t>Chronic (home-based)</w:t>
            </w:r>
          </w:p>
          <w:p w14:paraId="73709FA5" w14:textId="77777777" w:rsidR="00CA510E" w:rsidRDefault="00CA510E" w:rsidP="00CA510E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-Furosemide dosage increased as needed to decrease pulmonary edema or body cavity effusions, if use is not limited by renal dysfunction (should be monitored 12-48 hours after dosage increases)</w:t>
            </w:r>
          </w:p>
          <w:p w14:paraId="42A974C0" w14:textId="77777777" w:rsidR="00CA510E" w:rsidRDefault="00CA510E" w:rsidP="00CA510E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</w:rPr>
            </w:pPr>
            <w:r>
              <w:rPr>
                <w:i/>
                <w:sz w:val="22"/>
              </w:rPr>
              <w:t>Specific strategy and magnitude of dosage increase varied among panelists</w:t>
            </w:r>
          </w:p>
          <w:p w14:paraId="79F0D4AB" w14:textId="77777777" w:rsidR="00CA510E" w:rsidRDefault="00CA510E" w:rsidP="00CA510E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</w:rPr>
            </w:pPr>
          </w:p>
          <w:p w14:paraId="271BAC0B" w14:textId="77777777" w:rsidR="00CA510E" w:rsidRDefault="00CA510E" w:rsidP="00CA510E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-Spironolactone if not already started in stage C is indicated at this point</w:t>
            </w:r>
          </w:p>
          <w:p w14:paraId="6BA3E8A7" w14:textId="77777777" w:rsidR="00CA510E" w:rsidRPr="0047147E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</w:rPr>
              <w:t xml:space="preserve">-Beta </w:t>
            </w:r>
            <w:r w:rsidRPr="0047147E">
              <w:rPr>
                <w:sz w:val="22"/>
                <w:szCs w:val="22"/>
              </w:rPr>
              <w:t xml:space="preserve">blockade generally should NOT be initiated at this stage </w:t>
            </w:r>
          </w:p>
          <w:p w14:paraId="0A213386" w14:textId="77777777" w:rsidR="00CA510E" w:rsidRPr="0047147E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C2620A" w14:textId="77777777" w:rsidR="00CA510E" w:rsidRPr="0047147E" w:rsidRDefault="00CA510E" w:rsidP="00CA510E">
            <w:pPr>
              <w:rPr>
                <w:b/>
                <w:sz w:val="22"/>
                <w:szCs w:val="22"/>
                <w:u w:val="single"/>
              </w:rPr>
            </w:pPr>
            <w:r w:rsidRPr="0047147E">
              <w:rPr>
                <w:b/>
                <w:sz w:val="22"/>
                <w:szCs w:val="22"/>
                <w:u w:val="single"/>
              </w:rPr>
              <w:t>Home-based chronic dietary</w:t>
            </w:r>
          </w:p>
          <w:p w14:paraId="5A37E29D" w14:textId="77777777" w:rsidR="00CA510E" w:rsidRPr="0047147E" w:rsidRDefault="00CA510E" w:rsidP="00CA510E">
            <w:pPr>
              <w:rPr>
                <w:sz w:val="22"/>
                <w:szCs w:val="22"/>
              </w:rPr>
            </w:pPr>
            <w:r w:rsidRPr="0047147E">
              <w:rPr>
                <w:sz w:val="22"/>
                <w:szCs w:val="22"/>
              </w:rPr>
              <w:t>-Dietary considerations for stage C apply</w:t>
            </w:r>
          </w:p>
          <w:p w14:paraId="2CFD77BB" w14:textId="77777777" w:rsidR="00CA510E" w:rsidRPr="0047147E" w:rsidRDefault="00CA510E" w:rsidP="00CA510E">
            <w:pPr>
              <w:rPr>
                <w:sz w:val="22"/>
                <w:szCs w:val="22"/>
              </w:rPr>
            </w:pPr>
            <w:r w:rsidRPr="0047147E">
              <w:rPr>
                <w:sz w:val="22"/>
                <w:szCs w:val="22"/>
              </w:rPr>
              <w:t>-Attempts to further decrease dietary sodium intake should be made if it can be done without compromising appetite or renal function</w:t>
            </w:r>
          </w:p>
        </w:tc>
      </w:tr>
    </w:tbl>
    <w:p w14:paraId="4EE5E25B" w14:textId="77777777" w:rsidR="00D10B08" w:rsidRDefault="00D10B08"/>
    <w:sectPr w:rsidR="00D10B08" w:rsidSect="00603995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995"/>
    <w:rsid w:val="00031D59"/>
    <w:rsid w:val="0029402A"/>
    <w:rsid w:val="0047147E"/>
    <w:rsid w:val="004E5CD1"/>
    <w:rsid w:val="00513904"/>
    <w:rsid w:val="00597C50"/>
    <w:rsid w:val="005A750F"/>
    <w:rsid w:val="00603995"/>
    <w:rsid w:val="006C06CB"/>
    <w:rsid w:val="008402F4"/>
    <w:rsid w:val="00855A8E"/>
    <w:rsid w:val="00A42FE3"/>
    <w:rsid w:val="00B1715C"/>
    <w:rsid w:val="00CA43BF"/>
    <w:rsid w:val="00CA510E"/>
    <w:rsid w:val="00D10B08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B803C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39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39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844</Words>
  <Characters>4813</Characters>
  <Application>Microsoft Macintosh Word</Application>
  <DocSecurity>0</DocSecurity>
  <Lines>40</Lines>
  <Paragraphs>11</Paragraphs>
  <ScaleCrop>false</ScaleCrop>
  <Company/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10</cp:revision>
  <dcterms:created xsi:type="dcterms:W3CDTF">2016-03-16T15:29:00Z</dcterms:created>
  <dcterms:modified xsi:type="dcterms:W3CDTF">2016-03-16T17:24:00Z</dcterms:modified>
</cp:coreProperties>
</file>