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817" w:rsidRPr="001C0843" w:rsidRDefault="00643817" w:rsidP="001C0843">
      <w:pPr>
        <w:rPr>
          <w:rFonts w:ascii="Arial Narrow" w:hAnsi="Arial Narrow"/>
          <w:b/>
          <w:sz w:val="22"/>
          <w:szCs w:val="22"/>
        </w:rPr>
      </w:pPr>
    </w:p>
    <w:p w:rsidR="003804DF" w:rsidRDefault="003804DF" w:rsidP="003804DF">
      <w:pPr>
        <w:pStyle w:val="Paragraphedeliste"/>
        <w:rPr>
          <w:rFonts w:ascii="Arial Narrow" w:hAnsi="Arial Narrow"/>
          <w:b/>
          <w:sz w:val="22"/>
          <w:szCs w:val="22"/>
        </w:rPr>
      </w:pPr>
      <w:r>
        <w:rPr>
          <w:rFonts w:ascii="Arial Narrow" w:hAnsi="Arial Narrow"/>
          <w:b/>
          <w:sz w:val="22"/>
          <w:szCs w:val="22"/>
        </w:rPr>
        <w:t>QUESTIONS</w:t>
      </w:r>
    </w:p>
    <w:p w:rsidR="003804DF" w:rsidRDefault="003804DF" w:rsidP="003804DF">
      <w:pPr>
        <w:pStyle w:val="Paragraphedeliste"/>
        <w:rPr>
          <w:rFonts w:ascii="Arial Narrow" w:hAnsi="Arial Narrow"/>
          <w:b/>
          <w:sz w:val="22"/>
          <w:szCs w:val="22"/>
        </w:rPr>
      </w:pPr>
    </w:p>
    <w:p w:rsidR="003804DF" w:rsidRDefault="008D2EC2" w:rsidP="008D2EC2">
      <w:pPr>
        <w:pStyle w:val="Paragraphedeliste"/>
        <w:numPr>
          <w:ilvl w:val="0"/>
          <w:numId w:val="2"/>
        </w:numPr>
        <w:rPr>
          <w:rFonts w:ascii="Arial Narrow" w:hAnsi="Arial Narrow"/>
          <w:sz w:val="22"/>
          <w:szCs w:val="22"/>
        </w:rPr>
      </w:pPr>
      <w:r w:rsidRPr="008D2EC2">
        <w:rPr>
          <w:rFonts w:ascii="Arial Narrow" w:hAnsi="Arial Narrow"/>
          <w:sz w:val="22"/>
          <w:szCs w:val="22"/>
        </w:rPr>
        <w:t>Which TLR was identified as the receptor specific for LPS?</w:t>
      </w:r>
      <w:r w:rsidR="003804DF" w:rsidRPr="008D2EC2">
        <w:rPr>
          <w:rFonts w:ascii="Arial Narrow" w:hAnsi="Arial Narrow"/>
          <w:sz w:val="22"/>
          <w:szCs w:val="22"/>
        </w:rPr>
        <w:t xml:space="preserve"> </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TLR-2</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TLR-4</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TLR-6</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TLR-9</w:t>
      </w:r>
    </w:p>
    <w:p w:rsidR="00FE02C8" w:rsidRDefault="00FE02C8" w:rsidP="00FE02C8">
      <w:pPr>
        <w:pStyle w:val="Paragraphedeliste"/>
        <w:ind w:left="1440"/>
        <w:rPr>
          <w:rFonts w:ascii="Arial Narrow" w:hAnsi="Arial Narrow"/>
          <w:sz w:val="22"/>
          <w:szCs w:val="22"/>
        </w:rPr>
      </w:pPr>
    </w:p>
    <w:p w:rsidR="008D2EC2" w:rsidRDefault="008D2EC2" w:rsidP="008D2EC2">
      <w:pPr>
        <w:pStyle w:val="Paragraphedeliste"/>
        <w:numPr>
          <w:ilvl w:val="0"/>
          <w:numId w:val="2"/>
        </w:numPr>
        <w:rPr>
          <w:rFonts w:ascii="Arial Narrow" w:hAnsi="Arial Narrow"/>
          <w:sz w:val="22"/>
          <w:szCs w:val="22"/>
        </w:rPr>
      </w:pPr>
      <w:r>
        <w:rPr>
          <w:rFonts w:ascii="Arial Narrow" w:hAnsi="Arial Narrow"/>
          <w:sz w:val="22"/>
          <w:szCs w:val="22"/>
        </w:rPr>
        <w:t>Gram-negative disease is associated with greater plasma levels of which cytokine?</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IL-1</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IL-2</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IL-6</w:t>
      </w:r>
    </w:p>
    <w:p w:rsidR="008D2EC2" w:rsidRDefault="008D2EC2" w:rsidP="008D2EC2">
      <w:pPr>
        <w:pStyle w:val="Paragraphedeliste"/>
        <w:numPr>
          <w:ilvl w:val="1"/>
          <w:numId w:val="2"/>
        </w:numPr>
        <w:rPr>
          <w:rFonts w:ascii="Arial Narrow" w:hAnsi="Arial Narrow"/>
          <w:sz w:val="22"/>
          <w:szCs w:val="22"/>
        </w:rPr>
      </w:pPr>
      <w:r>
        <w:rPr>
          <w:rFonts w:ascii="Arial Narrow" w:hAnsi="Arial Narrow"/>
          <w:sz w:val="22"/>
          <w:szCs w:val="22"/>
        </w:rPr>
        <w:t>IL-10</w:t>
      </w:r>
    </w:p>
    <w:p w:rsidR="00FE02C8" w:rsidRDefault="00FE02C8" w:rsidP="00FE02C8">
      <w:pPr>
        <w:pStyle w:val="Paragraphedeliste"/>
        <w:ind w:left="1440"/>
        <w:rPr>
          <w:rFonts w:ascii="Arial Narrow" w:hAnsi="Arial Narrow"/>
          <w:sz w:val="22"/>
          <w:szCs w:val="22"/>
        </w:rPr>
      </w:pPr>
    </w:p>
    <w:p w:rsidR="00FE02C8" w:rsidRDefault="00FE02C8" w:rsidP="00FE02C8">
      <w:pPr>
        <w:pStyle w:val="Paragraphedeliste"/>
        <w:numPr>
          <w:ilvl w:val="0"/>
          <w:numId w:val="2"/>
        </w:numPr>
        <w:rPr>
          <w:rFonts w:ascii="Arial Narrow" w:hAnsi="Arial Narrow"/>
          <w:sz w:val="22"/>
          <w:szCs w:val="22"/>
        </w:rPr>
      </w:pPr>
      <w:r>
        <w:rPr>
          <w:rFonts w:ascii="Arial Narrow" w:hAnsi="Arial Narrow"/>
          <w:sz w:val="22"/>
          <w:szCs w:val="22"/>
        </w:rPr>
        <w:t>Which one of the following is NOT a receptor for PAMPS</w:t>
      </w:r>
    </w:p>
    <w:p w:rsidR="008D2EC2" w:rsidRDefault="00FE02C8" w:rsidP="008D2EC2">
      <w:pPr>
        <w:pStyle w:val="Paragraphedeliste"/>
        <w:numPr>
          <w:ilvl w:val="1"/>
          <w:numId w:val="2"/>
        </w:numPr>
        <w:rPr>
          <w:rFonts w:ascii="Arial Narrow" w:hAnsi="Arial Narrow"/>
          <w:sz w:val="22"/>
          <w:szCs w:val="22"/>
        </w:rPr>
      </w:pPr>
      <w:r>
        <w:rPr>
          <w:rFonts w:ascii="Arial Narrow" w:hAnsi="Arial Narrow"/>
          <w:sz w:val="22"/>
          <w:szCs w:val="22"/>
        </w:rPr>
        <w:t>TLR-3</w:t>
      </w:r>
    </w:p>
    <w:p w:rsidR="00FE02C8" w:rsidRDefault="00FE02C8" w:rsidP="008D2EC2">
      <w:pPr>
        <w:pStyle w:val="Paragraphedeliste"/>
        <w:numPr>
          <w:ilvl w:val="1"/>
          <w:numId w:val="2"/>
        </w:numPr>
        <w:rPr>
          <w:rFonts w:ascii="Arial Narrow" w:hAnsi="Arial Narrow"/>
          <w:sz w:val="22"/>
          <w:szCs w:val="22"/>
        </w:rPr>
      </w:pPr>
      <w:r>
        <w:rPr>
          <w:rFonts w:ascii="Arial Narrow" w:hAnsi="Arial Narrow"/>
          <w:sz w:val="22"/>
          <w:szCs w:val="22"/>
        </w:rPr>
        <w:t>RLHs</w:t>
      </w:r>
    </w:p>
    <w:p w:rsidR="00FE02C8" w:rsidRDefault="00FE02C8" w:rsidP="008D2EC2">
      <w:pPr>
        <w:pStyle w:val="Paragraphedeliste"/>
        <w:numPr>
          <w:ilvl w:val="1"/>
          <w:numId w:val="2"/>
        </w:numPr>
        <w:rPr>
          <w:rFonts w:ascii="Arial Narrow" w:hAnsi="Arial Narrow"/>
          <w:sz w:val="22"/>
          <w:szCs w:val="22"/>
        </w:rPr>
      </w:pPr>
      <w:r>
        <w:rPr>
          <w:rFonts w:ascii="Arial Narrow" w:hAnsi="Arial Narrow"/>
          <w:sz w:val="22"/>
          <w:szCs w:val="22"/>
        </w:rPr>
        <w:t>MyD88</w:t>
      </w:r>
    </w:p>
    <w:p w:rsidR="00FE02C8" w:rsidRDefault="00FE02C8" w:rsidP="008D2EC2">
      <w:pPr>
        <w:pStyle w:val="Paragraphedeliste"/>
        <w:numPr>
          <w:ilvl w:val="1"/>
          <w:numId w:val="2"/>
        </w:numPr>
        <w:rPr>
          <w:rFonts w:ascii="Arial Narrow" w:hAnsi="Arial Narrow"/>
          <w:sz w:val="22"/>
          <w:szCs w:val="22"/>
        </w:rPr>
      </w:pPr>
      <w:r>
        <w:rPr>
          <w:rFonts w:ascii="Arial Narrow" w:hAnsi="Arial Narrow"/>
          <w:sz w:val="22"/>
          <w:szCs w:val="22"/>
        </w:rPr>
        <w:t>NOD</w:t>
      </w:r>
    </w:p>
    <w:p w:rsidR="00FE02C8" w:rsidRDefault="00FE02C8" w:rsidP="00FE02C8">
      <w:pPr>
        <w:pStyle w:val="Paragraphedeliste"/>
        <w:rPr>
          <w:rFonts w:ascii="Arial Narrow" w:hAnsi="Arial Narrow"/>
          <w:sz w:val="22"/>
          <w:szCs w:val="22"/>
        </w:rPr>
      </w:pPr>
    </w:p>
    <w:p w:rsidR="00380DC5" w:rsidRDefault="00FE02C8" w:rsidP="00380DC5">
      <w:pPr>
        <w:pStyle w:val="Paragraphedeliste"/>
        <w:numPr>
          <w:ilvl w:val="0"/>
          <w:numId w:val="2"/>
        </w:numPr>
        <w:rPr>
          <w:rFonts w:ascii="Arial Narrow" w:hAnsi="Arial Narrow"/>
          <w:sz w:val="22"/>
          <w:szCs w:val="22"/>
        </w:rPr>
      </w:pPr>
      <w:r w:rsidRPr="00380DC5">
        <w:rPr>
          <w:rFonts w:ascii="Arial Narrow" w:hAnsi="Arial Narrow"/>
          <w:sz w:val="22"/>
          <w:szCs w:val="22"/>
        </w:rPr>
        <w:t xml:space="preserve">True or False: </w:t>
      </w:r>
      <w:r w:rsidR="00380DC5" w:rsidRPr="00380DC5">
        <w:rPr>
          <w:rFonts w:ascii="Arial Narrow" w:hAnsi="Arial Narrow"/>
          <w:sz w:val="22"/>
          <w:szCs w:val="22"/>
        </w:rPr>
        <w:t xml:space="preserve">One </w:t>
      </w:r>
      <w:r w:rsidR="00380DC5">
        <w:rPr>
          <w:rFonts w:ascii="Arial Narrow" w:hAnsi="Arial Narrow"/>
          <w:sz w:val="22"/>
          <w:szCs w:val="22"/>
        </w:rPr>
        <w:t>TLR is activated by only one type of infectious organism.</w:t>
      </w:r>
    </w:p>
    <w:p w:rsidR="00380DC5" w:rsidRDefault="00380DC5" w:rsidP="00380DC5">
      <w:pPr>
        <w:pStyle w:val="Paragraphedeliste"/>
        <w:rPr>
          <w:rFonts w:ascii="Arial Narrow" w:hAnsi="Arial Narrow"/>
          <w:sz w:val="22"/>
          <w:szCs w:val="22"/>
        </w:rPr>
      </w:pPr>
    </w:p>
    <w:p w:rsidR="00764A40" w:rsidRDefault="001C0843" w:rsidP="00380DC5">
      <w:pPr>
        <w:pStyle w:val="Paragraphedeliste"/>
        <w:numPr>
          <w:ilvl w:val="0"/>
          <w:numId w:val="2"/>
        </w:numPr>
        <w:rPr>
          <w:rFonts w:ascii="Arial Narrow" w:hAnsi="Arial Narrow"/>
          <w:sz w:val="22"/>
          <w:szCs w:val="22"/>
        </w:rPr>
      </w:pPr>
      <w:r>
        <w:rPr>
          <w:rFonts w:ascii="Arial Narrow" w:hAnsi="Arial Narrow"/>
          <w:sz w:val="22"/>
          <w:szCs w:val="22"/>
        </w:rPr>
        <w:t xml:space="preserve">True or False: </w:t>
      </w:r>
      <w:r w:rsidR="00380DC5" w:rsidRPr="00380DC5">
        <w:rPr>
          <w:rFonts w:ascii="Arial Narrow" w:hAnsi="Arial Narrow"/>
          <w:sz w:val="22"/>
          <w:szCs w:val="22"/>
        </w:rPr>
        <w:t>TLR signaling is a linear cascade. Each type of LTR has its own unique adaptor protein that links</w:t>
      </w:r>
      <w:r w:rsidR="00380DC5">
        <w:rPr>
          <w:rFonts w:ascii="Arial Narrow" w:hAnsi="Arial Narrow"/>
          <w:sz w:val="22"/>
          <w:szCs w:val="22"/>
        </w:rPr>
        <w:t xml:space="preserve"> </w:t>
      </w:r>
      <w:r w:rsidR="00764A40">
        <w:rPr>
          <w:rFonts w:ascii="Arial Narrow" w:hAnsi="Arial Narrow"/>
          <w:sz w:val="22"/>
          <w:szCs w:val="22"/>
        </w:rPr>
        <w:t xml:space="preserve">it </w:t>
      </w:r>
      <w:r w:rsidR="00380DC5" w:rsidRPr="00380DC5">
        <w:rPr>
          <w:rFonts w:ascii="Arial Narrow" w:hAnsi="Arial Narrow"/>
          <w:sz w:val="22"/>
          <w:szCs w:val="22"/>
        </w:rPr>
        <w:t>to
intracellular kinases and ultimately transcription factors.</w:t>
      </w:r>
    </w:p>
    <w:p w:rsidR="00764A40" w:rsidRPr="00764A40" w:rsidRDefault="00764A40" w:rsidP="00764A40">
      <w:pPr>
        <w:rPr>
          <w:rFonts w:ascii="Arial Narrow" w:hAnsi="Arial Narrow"/>
          <w:sz w:val="22"/>
          <w:szCs w:val="22"/>
        </w:rPr>
      </w:pPr>
    </w:p>
    <w:p w:rsidR="00380DC5" w:rsidRDefault="00380DC5" w:rsidP="00380DC5">
      <w:pPr>
        <w:pStyle w:val="Paragraphedeliste"/>
        <w:numPr>
          <w:ilvl w:val="0"/>
          <w:numId w:val="2"/>
        </w:numPr>
        <w:rPr>
          <w:rFonts w:ascii="Arial Narrow" w:hAnsi="Arial Narrow"/>
          <w:sz w:val="22"/>
          <w:szCs w:val="22"/>
        </w:rPr>
      </w:pPr>
      <w:r w:rsidRPr="00764A40">
        <w:rPr>
          <w:rFonts w:ascii="Arial Narrow" w:hAnsi="Arial Narrow"/>
          <w:sz w:val="22"/>
          <w:szCs w:val="22"/>
        </w:rPr>
        <w:t xml:space="preserve"> Place in </w:t>
      </w:r>
      <w:r w:rsidR="00764A40" w:rsidRPr="00764A40">
        <w:rPr>
          <w:rFonts w:ascii="Arial Narrow" w:hAnsi="Arial Narrow"/>
          <w:sz w:val="22"/>
          <w:szCs w:val="22"/>
        </w:rPr>
        <w:t>order:</w:t>
      </w:r>
    </w:p>
    <w:p w:rsidR="00764A40" w:rsidRDefault="00764A40" w:rsidP="00764A40">
      <w:pPr>
        <w:pStyle w:val="Paragraphedeliste"/>
        <w:numPr>
          <w:ilvl w:val="1"/>
          <w:numId w:val="2"/>
        </w:numPr>
        <w:rPr>
          <w:rFonts w:ascii="Arial Narrow" w:hAnsi="Arial Narrow"/>
          <w:sz w:val="22"/>
          <w:szCs w:val="22"/>
        </w:rPr>
      </w:pPr>
      <w:r>
        <w:rPr>
          <w:rFonts w:ascii="Arial Narrow" w:hAnsi="Arial Narrow"/>
          <w:sz w:val="22"/>
          <w:szCs w:val="22"/>
        </w:rPr>
        <w:t>Ligation of TLR by bacterial products</w:t>
      </w:r>
    </w:p>
    <w:p w:rsidR="001C0843" w:rsidRPr="00764A40" w:rsidRDefault="001C0843" w:rsidP="001C0843">
      <w:pPr>
        <w:pStyle w:val="Paragraphedeliste"/>
        <w:numPr>
          <w:ilvl w:val="1"/>
          <w:numId w:val="2"/>
        </w:numPr>
        <w:rPr>
          <w:rFonts w:ascii="Arial Narrow" w:hAnsi="Arial Narrow"/>
          <w:sz w:val="22"/>
          <w:szCs w:val="22"/>
        </w:rPr>
      </w:pPr>
      <w:r>
        <w:rPr>
          <w:rFonts w:ascii="Arial Narrow" w:hAnsi="Arial Narrow"/>
          <w:sz w:val="22"/>
          <w:szCs w:val="22"/>
        </w:rPr>
        <w:t>Gene transcription</w:t>
      </w:r>
    </w:p>
    <w:p w:rsidR="00764A40" w:rsidRDefault="00764A40" w:rsidP="00764A40">
      <w:pPr>
        <w:pStyle w:val="Paragraphedeliste"/>
        <w:numPr>
          <w:ilvl w:val="1"/>
          <w:numId w:val="2"/>
        </w:numPr>
        <w:rPr>
          <w:rFonts w:ascii="Arial Narrow" w:hAnsi="Arial Narrow"/>
          <w:sz w:val="22"/>
          <w:szCs w:val="22"/>
        </w:rPr>
      </w:pPr>
      <w:r>
        <w:rPr>
          <w:rFonts w:ascii="Arial Narrow" w:hAnsi="Arial Narrow"/>
          <w:sz w:val="22"/>
          <w:szCs w:val="22"/>
        </w:rPr>
        <w:t>Activation of adaptor protein</w:t>
      </w:r>
    </w:p>
    <w:p w:rsidR="001C0843" w:rsidRDefault="001C0843" w:rsidP="001C0843">
      <w:pPr>
        <w:pStyle w:val="Paragraphedeliste"/>
        <w:numPr>
          <w:ilvl w:val="1"/>
          <w:numId w:val="2"/>
        </w:numPr>
        <w:rPr>
          <w:rFonts w:ascii="Arial Narrow" w:hAnsi="Arial Narrow"/>
          <w:sz w:val="22"/>
          <w:szCs w:val="22"/>
        </w:rPr>
      </w:pPr>
      <w:r>
        <w:rPr>
          <w:rFonts w:ascii="Arial Narrow" w:hAnsi="Arial Narrow"/>
          <w:sz w:val="22"/>
          <w:szCs w:val="22"/>
        </w:rPr>
        <w:t>Cytokines release</w:t>
      </w:r>
    </w:p>
    <w:p w:rsidR="00764A40" w:rsidRDefault="00764A40" w:rsidP="00764A40">
      <w:pPr>
        <w:pStyle w:val="Paragraphedeliste"/>
        <w:numPr>
          <w:ilvl w:val="1"/>
          <w:numId w:val="2"/>
        </w:numPr>
        <w:rPr>
          <w:rFonts w:ascii="Arial Narrow" w:hAnsi="Arial Narrow"/>
          <w:sz w:val="22"/>
          <w:szCs w:val="22"/>
        </w:rPr>
      </w:pPr>
      <w:r>
        <w:rPr>
          <w:rFonts w:ascii="Arial Narrow" w:hAnsi="Arial Narrow"/>
          <w:sz w:val="22"/>
          <w:szCs w:val="22"/>
        </w:rPr>
        <w:t>Activation of intracellular kinases</w:t>
      </w:r>
    </w:p>
    <w:p w:rsidR="001C0843" w:rsidRPr="001C0843" w:rsidRDefault="001C0843" w:rsidP="001C0843">
      <w:pPr>
        <w:pStyle w:val="Paragraphedeliste"/>
        <w:numPr>
          <w:ilvl w:val="1"/>
          <w:numId w:val="2"/>
        </w:numPr>
        <w:rPr>
          <w:rFonts w:ascii="Arial Narrow" w:hAnsi="Arial Narrow"/>
          <w:sz w:val="22"/>
          <w:szCs w:val="22"/>
        </w:rPr>
      </w:pPr>
      <w:r>
        <w:rPr>
          <w:rFonts w:ascii="Arial Narrow" w:hAnsi="Arial Narrow"/>
          <w:sz w:val="22"/>
          <w:szCs w:val="22"/>
        </w:rPr>
        <w:t>Activation of transcription factors</w:t>
      </w:r>
    </w:p>
    <w:p w:rsidR="00764A40" w:rsidRDefault="00764A40" w:rsidP="00764A40">
      <w:pPr>
        <w:pStyle w:val="Paragraphedeliste"/>
        <w:ind w:left="1440"/>
        <w:rPr>
          <w:rFonts w:ascii="Arial Narrow" w:hAnsi="Arial Narrow"/>
          <w:sz w:val="22"/>
          <w:szCs w:val="22"/>
        </w:rPr>
      </w:pPr>
    </w:p>
    <w:p w:rsidR="00764A40" w:rsidRDefault="00587DC8" w:rsidP="00764A40">
      <w:pPr>
        <w:pStyle w:val="Paragraphedeliste"/>
        <w:numPr>
          <w:ilvl w:val="0"/>
          <w:numId w:val="2"/>
        </w:numPr>
        <w:rPr>
          <w:rFonts w:ascii="Arial Narrow" w:hAnsi="Arial Narrow"/>
          <w:sz w:val="22"/>
          <w:szCs w:val="22"/>
        </w:rPr>
      </w:pPr>
      <w:r>
        <w:rPr>
          <w:rFonts w:ascii="Arial Narrow" w:hAnsi="Arial Narrow"/>
          <w:sz w:val="22"/>
          <w:szCs w:val="22"/>
        </w:rPr>
        <w:t>Which is a component of gram-positive bacteria?</w:t>
      </w:r>
    </w:p>
    <w:p w:rsidR="00587DC8" w:rsidRDefault="00587DC8" w:rsidP="00587DC8">
      <w:pPr>
        <w:pStyle w:val="Paragraphedeliste"/>
        <w:numPr>
          <w:ilvl w:val="1"/>
          <w:numId w:val="2"/>
        </w:numPr>
        <w:rPr>
          <w:rFonts w:ascii="Arial Narrow" w:hAnsi="Arial Narrow"/>
          <w:sz w:val="22"/>
          <w:szCs w:val="22"/>
        </w:rPr>
      </w:pPr>
      <w:r>
        <w:rPr>
          <w:rFonts w:ascii="Arial Narrow" w:hAnsi="Arial Narrow"/>
          <w:sz w:val="22"/>
          <w:szCs w:val="22"/>
        </w:rPr>
        <w:t>LTA</w:t>
      </w:r>
    </w:p>
    <w:p w:rsidR="00587DC8" w:rsidRDefault="00587DC8" w:rsidP="00587DC8">
      <w:pPr>
        <w:pStyle w:val="Paragraphedeliste"/>
        <w:numPr>
          <w:ilvl w:val="1"/>
          <w:numId w:val="2"/>
        </w:numPr>
        <w:rPr>
          <w:rFonts w:ascii="Arial Narrow" w:hAnsi="Arial Narrow"/>
          <w:sz w:val="22"/>
          <w:szCs w:val="22"/>
        </w:rPr>
      </w:pPr>
      <w:r>
        <w:rPr>
          <w:rFonts w:ascii="Arial Narrow" w:hAnsi="Arial Narrow"/>
          <w:sz w:val="22"/>
          <w:szCs w:val="22"/>
        </w:rPr>
        <w:t>LPS</w:t>
      </w:r>
    </w:p>
    <w:p w:rsidR="00587DC8" w:rsidRDefault="00587DC8" w:rsidP="00587DC8">
      <w:pPr>
        <w:pStyle w:val="Paragraphedeliste"/>
        <w:numPr>
          <w:ilvl w:val="1"/>
          <w:numId w:val="2"/>
        </w:numPr>
        <w:rPr>
          <w:rFonts w:ascii="Arial Narrow" w:hAnsi="Arial Narrow"/>
          <w:sz w:val="22"/>
          <w:szCs w:val="22"/>
        </w:rPr>
      </w:pPr>
      <w:proofErr w:type="spellStart"/>
      <w:r>
        <w:rPr>
          <w:rFonts w:ascii="Arial Narrow" w:hAnsi="Arial Narrow"/>
          <w:sz w:val="22"/>
          <w:szCs w:val="22"/>
        </w:rPr>
        <w:t>Mannan</w:t>
      </w:r>
      <w:proofErr w:type="spellEnd"/>
    </w:p>
    <w:p w:rsidR="00587DC8" w:rsidRDefault="00587DC8" w:rsidP="00587DC8">
      <w:pPr>
        <w:pStyle w:val="Paragraphedeliste"/>
        <w:numPr>
          <w:ilvl w:val="1"/>
          <w:numId w:val="2"/>
        </w:numPr>
        <w:rPr>
          <w:rFonts w:ascii="Arial Narrow" w:hAnsi="Arial Narrow"/>
          <w:sz w:val="22"/>
          <w:szCs w:val="22"/>
        </w:rPr>
      </w:pPr>
      <w:r>
        <w:rPr>
          <w:rFonts w:ascii="Arial Narrow" w:hAnsi="Arial Narrow"/>
          <w:sz w:val="22"/>
          <w:szCs w:val="22"/>
        </w:rPr>
        <w:t>Chitin</w:t>
      </w:r>
    </w:p>
    <w:p w:rsidR="00587DC8" w:rsidRDefault="00587DC8" w:rsidP="00587DC8">
      <w:pPr>
        <w:pStyle w:val="Paragraphedeliste"/>
        <w:ind w:left="1440"/>
        <w:rPr>
          <w:rFonts w:ascii="Arial Narrow" w:hAnsi="Arial Narrow"/>
          <w:sz w:val="22"/>
          <w:szCs w:val="22"/>
        </w:rPr>
      </w:pPr>
    </w:p>
    <w:p w:rsidR="00587DC8" w:rsidRDefault="00587DC8" w:rsidP="00587DC8">
      <w:pPr>
        <w:pStyle w:val="Paragraphedeliste"/>
        <w:numPr>
          <w:ilvl w:val="0"/>
          <w:numId w:val="2"/>
        </w:numPr>
        <w:rPr>
          <w:rFonts w:ascii="Arial Narrow" w:hAnsi="Arial Narrow"/>
          <w:sz w:val="22"/>
          <w:szCs w:val="22"/>
        </w:rPr>
      </w:pPr>
      <w:r>
        <w:rPr>
          <w:rFonts w:ascii="Arial Narrow" w:hAnsi="Arial Narrow"/>
          <w:sz w:val="22"/>
          <w:szCs w:val="22"/>
        </w:rPr>
        <w:t>What is particular about TLR3?</w:t>
      </w:r>
    </w:p>
    <w:p w:rsidR="00587DC8" w:rsidRDefault="00587DC8" w:rsidP="00587DC8">
      <w:pPr>
        <w:pStyle w:val="Paragraphedeliste"/>
        <w:numPr>
          <w:ilvl w:val="1"/>
          <w:numId w:val="2"/>
        </w:numPr>
        <w:rPr>
          <w:rFonts w:ascii="Arial Narrow" w:hAnsi="Arial Narrow"/>
          <w:sz w:val="22"/>
          <w:szCs w:val="22"/>
        </w:rPr>
      </w:pPr>
      <w:r>
        <w:rPr>
          <w:rFonts w:ascii="Arial Narrow" w:hAnsi="Arial Narrow"/>
          <w:sz w:val="22"/>
          <w:szCs w:val="22"/>
        </w:rPr>
        <w:t>It only recognizes PAMPS originating from bacterial products</w:t>
      </w:r>
    </w:p>
    <w:p w:rsidR="00587DC8" w:rsidRDefault="00587DC8" w:rsidP="00587DC8">
      <w:pPr>
        <w:pStyle w:val="Paragraphedeliste"/>
        <w:numPr>
          <w:ilvl w:val="1"/>
          <w:numId w:val="2"/>
        </w:numPr>
        <w:rPr>
          <w:rFonts w:ascii="Arial Narrow" w:hAnsi="Arial Narrow"/>
          <w:sz w:val="22"/>
          <w:szCs w:val="22"/>
        </w:rPr>
      </w:pPr>
      <w:r>
        <w:rPr>
          <w:rFonts w:ascii="Arial Narrow" w:hAnsi="Arial Narrow"/>
          <w:sz w:val="22"/>
          <w:szCs w:val="22"/>
        </w:rPr>
        <w:t>It works independently from MyD88</w:t>
      </w:r>
    </w:p>
    <w:p w:rsidR="00587DC8" w:rsidRDefault="00587DC8" w:rsidP="00587DC8">
      <w:pPr>
        <w:pStyle w:val="Paragraphedeliste"/>
        <w:numPr>
          <w:ilvl w:val="1"/>
          <w:numId w:val="2"/>
        </w:numPr>
        <w:rPr>
          <w:rFonts w:ascii="Arial Narrow" w:hAnsi="Arial Narrow"/>
          <w:sz w:val="22"/>
          <w:szCs w:val="22"/>
        </w:rPr>
      </w:pPr>
      <w:r>
        <w:rPr>
          <w:rFonts w:ascii="Arial Narrow" w:hAnsi="Arial Narrow"/>
          <w:sz w:val="22"/>
          <w:szCs w:val="22"/>
        </w:rPr>
        <w:t>It does not use TRIF</w:t>
      </w:r>
    </w:p>
    <w:p w:rsidR="00587DC8" w:rsidRDefault="00587DC8" w:rsidP="00587DC8">
      <w:pPr>
        <w:pStyle w:val="Paragraphedeliste"/>
        <w:numPr>
          <w:ilvl w:val="1"/>
          <w:numId w:val="2"/>
        </w:numPr>
        <w:rPr>
          <w:rFonts w:ascii="Arial Narrow" w:hAnsi="Arial Narrow"/>
          <w:sz w:val="22"/>
          <w:szCs w:val="22"/>
        </w:rPr>
      </w:pPr>
      <w:r>
        <w:rPr>
          <w:rFonts w:ascii="Arial Narrow" w:hAnsi="Arial Narrow"/>
          <w:sz w:val="22"/>
          <w:szCs w:val="22"/>
        </w:rPr>
        <w:t xml:space="preserve">It is localized predominantly on the cytoplasmic membrane of the </w:t>
      </w:r>
      <w:r w:rsidRPr="00587DC8">
        <w:rPr>
          <w:rFonts w:ascii="Arial Narrow" w:hAnsi="Arial Narrow"/>
          <w:sz w:val="22"/>
          <w:szCs w:val="22"/>
        </w:rPr>
        <w:t>host cells.</w:t>
      </w:r>
    </w:p>
    <w:p w:rsidR="00587DC8" w:rsidRPr="00587DC8" w:rsidRDefault="00587DC8" w:rsidP="00587DC8">
      <w:pPr>
        <w:ind w:left="1080"/>
        <w:rPr>
          <w:rFonts w:ascii="Arial Narrow" w:hAnsi="Arial Narrow"/>
          <w:sz w:val="22"/>
          <w:szCs w:val="22"/>
        </w:rPr>
      </w:pPr>
    </w:p>
    <w:p w:rsidR="00643817" w:rsidRDefault="00587DC8" w:rsidP="00643817">
      <w:pPr>
        <w:pStyle w:val="Paragraphedeliste"/>
        <w:numPr>
          <w:ilvl w:val="0"/>
          <w:numId w:val="2"/>
        </w:numPr>
        <w:rPr>
          <w:rFonts w:ascii="Arial Narrow" w:hAnsi="Arial Narrow"/>
          <w:sz w:val="22"/>
          <w:szCs w:val="22"/>
        </w:rPr>
      </w:pPr>
      <w:r>
        <w:rPr>
          <w:rFonts w:ascii="Arial Narrow" w:hAnsi="Arial Narrow"/>
          <w:sz w:val="22"/>
          <w:szCs w:val="22"/>
        </w:rPr>
        <w:t>T</w:t>
      </w:r>
      <w:r w:rsidR="001C0843">
        <w:rPr>
          <w:rFonts w:ascii="Arial Narrow" w:hAnsi="Arial Narrow"/>
          <w:sz w:val="22"/>
          <w:szCs w:val="22"/>
        </w:rPr>
        <w:t>rue</w:t>
      </w:r>
      <w:r>
        <w:rPr>
          <w:rFonts w:ascii="Arial Narrow" w:hAnsi="Arial Narrow"/>
          <w:sz w:val="22"/>
          <w:szCs w:val="22"/>
        </w:rPr>
        <w:t xml:space="preserve"> or F</w:t>
      </w:r>
      <w:r w:rsidR="001C0843">
        <w:rPr>
          <w:rFonts w:ascii="Arial Narrow" w:hAnsi="Arial Narrow"/>
          <w:sz w:val="22"/>
          <w:szCs w:val="22"/>
        </w:rPr>
        <w:t>alse</w:t>
      </w:r>
      <w:r>
        <w:rPr>
          <w:rFonts w:ascii="Arial Narrow" w:hAnsi="Arial Narrow"/>
          <w:sz w:val="22"/>
          <w:szCs w:val="22"/>
        </w:rPr>
        <w:t xml:space="preserve">: </w:t>
      </w:r>
      <w:r w:rsidR="00643817">
        <w:rPr>
          <w:rFonts w:ascii="Arial Narrow" w:hAnsi="Arial Narrow"/>
          <w:sz w:val="22"/>
          <w:szCs w:val="22"/>
        </w:rPr>
        <w:t>T</w:t>
      </w:r>
      <w:r w:rsidR="00643817" w:rsidRPr="0003684E">
        <w:rPr>
          <w:rFonts w:ascii="Arial Narrow" w:hAnsi="Arial Narrow"/>
          <w:sz w:val="22"/>
          <w:szCs w:val="22"/>
        </w:rPr>
        <w:t xml:space="preserve">he
expression of TLR2 increases on neutrophils and monocytes
</w:t>
      </w:r>
      <w:r w:rsidR="00643817">
        <w:rPr>
          <w:rFonts w:ascii="Arial Narrow" w:hAnsi="Arial Narrow"/>
          <w:sz w:val="22"/>
          <w:szCs w:val="22"/>
        </w:rPr>
        <w:t xml:space="preserve">in patients with sepsis. </w:t>
      </w:r>
    </w:p>
    <w:p w:rsidR="00643817" w:rsidRDefault="00643817" w:rsidP="00643817">
      <w:pPr>
        <w:pStyle w:val="Paragraphedeliste"/>
        <w:rPr>
          <w:rFonts w:ascii="Arial Narrow" w:hAnsi="Arial Narrow"/>
          <w:sz w:val="22"/>
          <w:szCs w:val="22"/>
        </w:rPr>
      </w:pPr>
    </w:p>
    <w:p w:rsidR="00643817" w:rsidRDefault="00643817" w:rsidP="00643817">
      <w:pPr>
        <w:pStyle w:val="Paragraphedeliste"/>
        <w:numPr>
          <w:ilvl w:val="0"/>
          <w:numId w:val="2"/>
        </w:numPr>
        <w:rPr>
          <w:rFonts w:ascii="Arial Narrow" w:hAnsi="Arial Narrow"/>
          <w:sz w:val="22"/>
          <w:szCs w:val="22"/>
        </w:rPr>
      </w:pPr>
      <w:r w:rsidRPr="00643817">
        <w:rPr>
          <w:rFonts w:ascii="Arial Narrow" w:hAnsi="Arial Narrow"/>
          <w:sz w:val="22"/>
          <w:szCs w:val="22"/>
        </w:rPr>
        <w:t xml:space="preserve"> MyD88s, IRAKM, A20 and ST2L target ____________ to attenuate TLR signaling.</w:t>
      </w:r>
    </w:p>
    <w:p w:rsidR="00643817" w:rsidRDefault="00643817" w:rsidP="00643817">
      <w:pPr>
        <w:rPr>
          <w:rFonts w:ascii="Arial Narrow" w:hAnsi="Arial Narrow"/>
          <w:sz w:val="22"/>
          <w:szCs w:val="22"/>
        </w:rPr>
      </w:pPr>
    </w:p>
    <w:p w:rsidR="00643817" w:rsidRDefault="00643817" w:rsidP="00643817">
      <w:pPr>
        <w:rPr>
          <w:rFonts w:ascii="Arial Narrow" w:hAnsi="Arial Narrow"/>
          <w:sz w:val="22"/>
          <w:szCs w:val="22"/>
        </w:rPr>
      </w:pPr>
    </w:p>
    <w:p w:rsidR="00643817" w:rsidRDefault="00643817" w:rsidP="00643817">
      <w:pPr>
        <w:rPr>
          <w:rFonts w:ascii="Arial Narrow" w:hAnsi="Arial Narrow"/>
          <w:sz w:val="22"/>
          <w:szCs w:val="22"/>
        </w:rPr>
      </w:pPr>
    </w:p>
    <w:p w:rsidR="00643817" w:rsidRDefault="00643817" w:rsidP="00643817">
      <w:pPr>
        <w:rPr>
          <w:rFonts w:ascii="Arial Narrow" w:hAnsi="Arial Narrow"/>
          <w:sz w:val="22"/>
          <w:szCs w:val="22"/>
        </w:rPr>
      </w:pPr>
    </w:p>
    <w:p w:rsidR="00643817" w:rsidRDefault="00643817" w:rsidP="00643817">
      <w:pPr>
        <w:pStyle w:val="Paragraphedeliste"/>
        <w:rPr>
          <w:rFonts w:ascii="Arial Narrow" w:hAnsi="Arial Narrow"/>
          <w:b/>
          <w:sz w:val="22"/>
          <w:szCs w:val="22"/>
        </w:rPr>
      </w:pPr>
      <w:r>
        <w:rPr>
          <w:rFonts w:ascii="Arial Narrow" w:hAnsi="Arial Narrow"/>
          <w:b/>
          <w:sz w:val="22"/>
          <w:szCs w:val="22"/>
        </w:rPr>
        <w:t>QUESTIONS</w:t>
      </w:r>
    </w:p>
    <w:p w:rsidR="00643817" w:rsidRDefault="00643817" w:rsidP="00643817">
      <w:pPr>
        <w:pStyle w:val="Paragraphedeliste"/>
        <w:rPr>
          <w:rFonts w:ascii="Arial Narrow" w:hAnsi="Arial Narrow"/>
          <w:b/>
          <w:sz w:val="22"/>
          <w:szCs w:val="22"/>
        </w:rPr>
      </w:pPr>
    </w:p>
    <w:p w:rsidR="00643817" w:rsidRDefault="00643817" w:rsidP="00643817">
      <w:pPr>
        <w:pStyle w:val="Paragraphedeliste"/>
        <w:numPr>
          <w:ilvl w:val="0"/>
          <w:numId w:val="3"/>
        </w:numPr>
        <w:rPr>
          <w:rFonts w:ascii="Arial Narrow" w:hAnsi="Arial Narrow"/>
          <w:sz w:val="22"/>
          <w:szCs w:val="22"/>
        </w:rPr>
      </w:pPr>
      <w:r w:rsidRPr="008D2EC2">
        <w:rPr>
          <w:rFonts w:ascii="Arial Narrow" w:hAnsi="Arial Narrow"/>
          <w:sz w:val="22"/>
          <w:szCs w:val="22"/>
        </w:rPr>
        <w:t xml:space="preserve">Which TLR was identified as the receptor specific for LPS? </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TLR-2</w:t>
      </w:r>
    </w:p>
    <w:p w:rsidR="00643817" w:rsidRPr="00643817" w:rsidRDefault="00643817" w:rsidP="00643817">
      <w:pPr>
        <w:pStyle w:val="Paragraphedeliste"/>
        <w:numPr>
          <w:ilvl w:val="1"/>
          <w:numId w:val="3"/>
        </w:numPr>
        <w:rPr>
          <w:rFonts w:ascii="Arial Narrow" w:hAnsi="Arial Narrow"/>
          <w:b/>
          <w:sz w:val="22"/>
          <w:szCs w:val="22"/>
        </w:rPr>
      </w:pPr>
      <w:r w:rsidRPr="00643817">
        <w:rPr>
          <w:rFonts w:ascii="Arial Narrow" w:hAnsi="Arial Narrow"/>
          <w:b/>
          <w:sz w:val="22"/>
          <w:szCs w:val="22"/>
        </w:rPr>
        <w:t>TLR-4</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TLR-6</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TLR-9</w:t>
      </w:r>
    </w:p>
    <w:p w:rsidR="00643817" w:rsidRDefault="00643817" w:rsidP="00643817">
      <w:pPr>
        <w:pStyle w:val="Paragraphedeliste"/>
        <w:rPr>
          <w:rFonts w:ascii="Arial Narrow" w:hAnsi="Arial Narrow"/>
          <w:sz w:val="22"/>
          <w:szCs w:val="22"/>
        </w:rPr>
      </w:pPr>
    </w:p>
    <w:p w:rsidR="00643817" w:rsidRPr="00643817" w:rsidRDefault="00643817" w:rsidP="00643817">
      <w:pPr>
        <w:pStyle w:val="Paragraphedeliste"/>
        <w:rPr>
          <w:rFonts w:ascii="Arial Narrow" w:hAnsi="Arial Narrow"/>
          <w:i/>
          <w:sz w:val="22"/>
          <w:szCs w:val="22"/>
        </w:rPr>
      </w:pPr>
      <w:r w:rsidRPr="00643817">
        <w:rPr>
          <w:rFonts w:ascii="Arial Narrow" w:hAnsi="Arial Narrow"/>
          <w:i/>
          <w:sz w:val="22"/>
          <w:szCs w:val="22"/>
        </w:rPr>
        <w:t xml:space="preserve">In the late 1990s, the
laboratory of Bruce </w:t>
      </w:r>
      <w:proofErr w:type="spellStart"/>
      <w:r w:rsidRPr="00643817">
        <w:rPr>
          <w:rFonts w:ascii="Arial Narrow" w:hAnsi="Arial Narrow"/>
          <w:i/>
          <w:sz w:val="22"/>
          <w:szCs w:val="22"/>
        </w:rPr>
        <w:t>Beutler</w:t>
      </w:r>
      <w:proofErr w:type="spellEnd"/>
      <w:r w:rsidRPr="00643817">
        <w:rPr>
          <w:rFonts w:ascii="Arial Narrow" w:hAnsi="Arial Narrow"/>
          <w:i/>
          <w:sz w:val="22"/>
          <w:szCs w:val="22"/>
        </w:rPr>
        <w:t xml:space="preserve"> identified Toll-like receptor-4
(TLR4) as the receptor specific for LPS</w:t>
      </w:r>
      <w:r>
        <w:rPr>
          <w:rFonts w:ascii="Arial Narrow" w:hAnsi="Arial Narrow"/>
          <w:i/>
          <w:sz w:val="22"/>
          <w:szCs w:val="22"/>
        </w:rPr>
        <w:t>.</w:t>
      </w:r>
    </w:p>
    <w:p w:rsidR="00643817" w:rsidRDefault="00643817" w:rsidP="00643817">
      <w:pPr>
        <w:pStyle w:val="Paragraphedeliste"/>
        <w:ind w:left="1440"/>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Pr>
          <w:rFonts w:ascii="Arial Narrow" w:hAnsi="Arial Narrow"/>
          <w:sz w:val="22"/>
          <w:szCs w:val="22"/>
        </w:rPr>
        <w:t>Gram-negative disease is associated with greater plasma levels of which cytokine?</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IL-1</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IL-2</w:t>
      </w:r>
    </w:p>
    <w:p w:rsidR="00643817" w:rsidRPr="00643817" w:rsidRDefault="00643817" w:rsidP="00643817">
      <w:pPr>
        <w:pStyle w:val="Paragraphedeliste"/>
        <w:numPr>
          <w:ilvl w:val="1"/>
          <w:numId w:val="3"/>
        </w:numPr>
        <w:rPr>
          <w:rFonts w:ascii="Arial Narrow" w:hAnsi="Arial Narrow"/>
          <w:b/>
          <w:sz w:val="22"/>
          <w:szCs w:val="22"/>
        </w:rPr>
      </w:pPr>
      <w:r w:rsidRPr="00643817">
        <w:rPr>
          <w:rFonts w:ascii="Arial Narrow" w:hAnsi="Arial Narrow"/>
          <w:b/>
          <w:sz w:val="22"/>
          <w:szCs w:val="22"/>
        </w:rPr>
        <w:t>IL-6</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IL-10</w:t>
      </w:r>
    </w:p>
    <w:p w:rsidR="00643817" w:rsidRDefault="00643817" w:rsidP="00643817">
      <w:pPr>
        <w:rPr>
          <w:rFonts w:ascii="Arial Narrow" w:hAnsi="Arial Narrow"/>
          <w:sz w:val="22"/>
          <w:szCs w:val="22"/>
        </w:rPr>
      </w:pPr>
    </w:p>
    <w:p w:rsidR="00643817" w:rsidRPr="00643817" w:rsidRDefault="00643817" w:rsidP="00643817">
      <w:pPr>
        <w:ind w:left="708"/>
        <w:rPr>
          <w:rFonts w:ascii="Arial Narrow" w:hAnsi="Arial Narrow"/>
          <w:i/>
          <w:sz w:val="22"/>
          <w:szCs w:val="22"/>
        </w:rPr>
      </w:pPr>
      <w:r w:rsidRPr="00643817">
        <w:rPr>
          <w:rFonts w:ascii="Arial Narrow" w:hAnsi="Arial Narrow"/>
          <w:i/>
          <w:sz w:val="22"/>
          <w:szCs w:val="22"/>
        </w:rPr>
        <w:t xml:space="preserve">Gram-negative disease is associated with greater
plasma levels of </w:t>
      </w:r>
      <w:proofErr w:type="spellStart"/>
      <w:r w:rsidRPr="00643817">
        <w:rPr>
          <w:rFonts w:ascii="Arial Narrow" w:hAnsi="Arial Narrow"/>
          <w:i/>
          <w:sz w:val="22"/>
          <w:szCs w:val="22"/>
        </w:rPr>
        <w:t>tumour</w:t>
      </w:r>
      <w:proofErr w:type="spellEnd"/>
      <w:r w:rsidRPr="00643817">
        <w:rPr>
          <w:rFonts w:ascii="Arial Narrow" w:hAnsi="Arial Narrow"/>
          <w:i/>
          <w:sz w:val="22"/>
          <w:szCs w:val="22"/>
        </w:rPr>
        <w:t xml:space="preserve"> necrosis factor alpha (TNF-α) and
interleukin 6 (IL-6) when compared to Gram-positive
disease.</w:t>
      </w:r>
    </w:p>
    <w:p w:rsidR="00643817" w:rsidRPr="00643817" w:rsidRDefault="00643817" w:rsidP="00643817">
      <w:pPr>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Pr>
          <w:rFonts w:ascii="Arial Narrow" w:hAnsi="Arial Narrow"/>
          <w:sz w:val="22"/>
          <w:szCs w:val="22"/>
        </w:rPr>
        <w:t>Which one of the following is NOT a receptor for PAMPS</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TLR-3</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RLHs</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MyD88</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NOD</w:t>
      </w:r>
    </w:p>
    <w:p w:rsidR="001C0843" w:rsidRDefault="001C0843" w:rsidP="00643817">
      <w:pPr>
        <w:pStyle w:val="Paragraphedeliste"/>
        <w:numPr>
          <w:ilvl w:val="1"/>
          <w:numId w:val="3"/>
        </w:numPr>
        <w:rPr>
          <w:rFonts w:ascii="Arial Narrow" w:hAnsi="Arial Narrow"/>
          <w:sz w:val="22"/>
          <w:szCs w:val="22"/>
        </w:rPr>
      </w:pPr>
    </w:p>
    <w:p w:rsidR="001C0843" w:rsidRPr="001C0843" w:rsidRDefault="001C0843" w:rsidP="001C0843">
      <w:pPr>
        <w:pStyle w:val="Paragraphedeliste"/>
        <w:rPr>
          <w:rFonts w:ascii="Arial Narrow" w:hAnsi="Arial Narrow"/>
          <w:i/>
          <w:sz w:val="22"/>
          <w:szCs w:val="22"/>
        </w:rPr>
      </w:pPr>
      <w:r w:rsidRPr="001C0843">
        <w:rPr>
          <w:rFonts w:ascii="Arial Narrow" w:hAnsi="Arial Narrow"/>
          <w:i/>
          <w:sz w:val="22"/>
          <w:szCs w:val="22"/>
        </w:rPr>
        <w:t xml:space="preserve">There are other families of re- </w:t>
      </w:r>
      <w:proofErr w:type="spellStart"/>
      <w:r w:rsidRPr="001C0843">
        <w:rPr>
          <w:rFonts w:ascii="Arial Narrow" w:hAnsi="Arial Narrow"/>
          <w:i/>
          <w:sz w:val="22"/>
          <w:szCs w:val="22"/>
        </w:rPr>
        <w:t>ceptors</w:t>
      </w:r>
      <w:proofErr w:type="spellEnd"/>
      <w:r w:rsidRPr="001C0843">
        <w:rPr>
          <w:rFonts w:ascii="Arial Narrow" w:hAnsi="Arial Narrow"/>
          <w:i/>
          <w:sz w:val="22"/>
          <w:szCs w:val="22"/>
        </w:rPr>
        <w:t xml:space="preserve"> that </w:t>
      </w:r>
      <w:proofErr w:type="spellStart"/>
      <w:r w:rsidRPr="001C0843">
        <w:rPr>
          <w:rFonts w:ascii="Arial Narrow" w:hAnsi="Arial Narrow"/>
          <w:i/>
          <w:sz w:val="22"/>
          <w:szCs w:val="22"/>
        </w:rPr>
        <w:t>recognise</w:t>
      </w:r>
      <w:proofErr w:type="spellEnd"/>
      <w:r w:rsidRPr="001C0843">
        <w:rPr>
          <w:rFonts w:ascii="Arial Narrow" w:hAnsi="Arial Narrow"/>
          <w:i/>
          <w:sz w:val="22"/>
          <w:szCs w:val="22"/>
        </w:rPr>
        <w:t xml:space="preserve"> PAMPs, which include RIG-like helicases (RLHs) and nucleotide-</w:t>
      </w:r>
      <w:proofErr w:type="spellStart"/>
      <w:r w:rsidRPr="001C0843">
        <w:rPr>
          <w:rFonts w:ascii="Arial Narrow" w:hAnsi="Arial Narrow"/>
          <w:i/>
          <w:sz w:val="22"/>
          <w:szCs w:val="22"/>
        </w:rPr>
        <w:t>oligomerisation</w:t>
      </w:r>
      <w:proofErr w:type="spellEnd"/>
      <w:r w:rsidRPr="001C0843">
        <w:rPr>
          <w:rFonts w:ascii="Arial Narrow" w:hAnsi="Arial Narrow"/>
          <w:i/>
          <w:sz w:val="22"/>
          <w:szCs w:val="22"/>
        </w:rPr>
        <w:t xml:space="preserve"> domain (NOD) receptors. These </w:t>
      </w:r>
      <w:proofErr w:type="spellStart"/>
      <w:r w:rsidRPr="001C0843">
        <w:rPr>
          <w:rFonts w:ascii="Arial Narrow" w:hAnsi="Arial Narrow"/>
          <w:i/>
          <w:sz w:val="22"/>
          <w:szCs w:val="22"/>
        </w:rPr>
        <w:t>recognise</w:t>
      </w:r>
      <w:proofErr w:type="spellEnd"/>
      <w:r w:rsidRPr="001C0843">
        <w:rPr>
          <w:rFonts w:ascii="Arial Narrow" w:hAnsi="Arial Narrow"/>
          <w:i/>
          <w:sz w:val="22"/>
          <w:szCs w:val="22"/>
        </w:rPr>
        <w:t xml:space="preserve"> pathogens that have invaded </w:t>
      </w:r>
      <w:proofErr w:type="spellStart"/>
      <w:r w:rsidRPr="001C0843">
        <w:rPr>
          <w:rFonts w:ascii="Arial Narrow" w:hAnsi="Arial Narrow"/>
          <w:i/>
          <w:sz w:val="22"/>
          <w:szCs w:val="22"/>
        </w:rPr>
        <w:t>intracellularly</w:t>
      </w:r>
      <w:proofErr w:type="spellEnd"/>
      <w:r>
        <w:rPr>
          <w:rFonts w:ascii="Arial Narrow" w:hAnsi="Arial Narrow"/>
          <w:i/>
          <w:sz w:val="22"/>
          <w:szCs w:val="22"/>
        </w:rPr>
        <w:t xml:space="preserve">. MyD88 is an adaptor protein. </w:t>
      </w:r>
    </w:p>
    <w:p w:rsidR="00643817" w:rsidRDefault="00643817" w:rsidP="00643817">
      <w:pPr>
        <w:pStyle w:val="Paragraphedeliste"/>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sidRPr="00380DC5">
        <w:rPr>
          <w:rFonts w:ascii="Arial Narrow" w:hAnsi="Arial Narrow"/>
          <w:sz w:val="22"/>
          <w:szCs w:val="22"/>
        </w:rPr>
        <w:t xml:space="preserve">True or </w:t>
      </w:r>
      <w:r w:rsidRPr="001C0843">
        <w:rPr>
          <w:rFonts w:ascii="Arial Narrow" w:hAnsi="Arial Narrow"/>
          <w:b/>
          <w:sz w:val="22"/>
          <w:szCs w:val="22"/>
        </w:rPr>
        <w:t>False</w:t>
      </w:r>
      <w:r w:rsidRPr="00380DC5">
        <w:rPr>
          <w:rFonts w:ascii="Arial Narrow" w:hAnsi="Arial Narrow"/>
          <w:sz w:val="22"/>
          <w:szCs w:val="22"/>
        </w:rPr>
        <w:t xml:space="preserve">: One </w:t>
      </w:r>
      <w:r>
        <w:rPr>
          <w:rFonts w:ascii="Arial Narrow" w:hAnsi="Arial Narrow"/>
          <w:sz w:val="22"/>
          <w:szCs w:val="22"/>
        </w:rPr>
        <w:t>TLR is activated by only one type of infectious organism.</w:t>
      </w:r>
    </w:p>
    <w:p w:rsidR="001C0843" w:rsidRPr="001C0843" w:rsidRDefault="001C0843" w:rsidP="001C0843">
      <w:pPr>
        <w:pStyle w:val="Paragraphedeliste"/>
        <w:rPr>
          <w:rFonts w:ascii="Arial Narrow" w:hAnsi="Arial Narrow"/>
          <w:i/>
          <w:sz w:val="22"/>
          <w:szCs w:val="22"/>
        </w:rPr>
      </w:pPr>
    </w:p>
    <w:p w:rsidR="001C0843" w:rsidRPr="001C0843" w:rsidRDefault="001C0843" w:rsidP="001C0843">
      <w:pPr>
        <w:pStyle w:val="Paragraphedeliste"/>
        <w:rPr>
          <w:rFonts w:ascii="Arial Narrow" w:hAnsi="Arial Narrow"/>
          <w:i/>
          <w:sz w:val="22"/>
          <w:szCs w:val="22"/>
        </w:rPr>
      </w:pPr>
      <w:r w:rsidRPr="001C0843">
        <w:rPr>
          <w:rFonts w:ascii="Arial Narrow" w:hAnsi="Arial Narrow"/>
          <w:i/>
          <w:sz w:val="22"/>
          <w:szCs w:val="22"/>
        </w:rPr>
        <w:t xml:space="preserve">Different TLRs are activated by different
infectious organisms and trigger different transcription
factors, and hence, different </w:t>
      </w:r>
      <w:commentRangeStart w:id="0"/>
      <w:r w:rsidRPr="001C0843">
        <w:rPr>
          <w:rFonts w:ascii="Arial Narrow" w:hAnsi="Arial Narrow"/>
          <w:i/>
          <w:sz w:val="22"/>
          <w:szCs w:val="22"/>
        </w:rPr>
        <w:t>genes</w:t>
      </w:r>
      <w:commentRangeEnd w:id="0"/>
      <w:r w:rsidRPr="001C0843">
        <w:rPr>
          <w:rStyle w:val="Marquedannotation"/>
          <w:rFonts w:ascii="Arial Narrow" w:hAnsi="Arial Narrow"/>
          <w:i/>
          <w:sz w:val="22"/>
          <w:szCs w:val="22"/>
        </w:rPr>
        <w:commentReference w:id="0"/>
      </w:r>
      <w:r w:rsidRPr="001C0843">
        <w:rPr>
          <w:rFonts w:ascii="Arial Narrow" w:hAnsi="Arial Narrow"/>
          <w:i/>
          <w:sz w:val="22"/>
          <w:szCs w:val="22"/>
        </w:rPr>
        <w:t>. This implies that the
host response may not only vary in its manifestations but
also probably in its response to any therapeutic intervention.</w:t>
      </w:r>
    </w:p>
    <w:p w:rsidR="001C0843" w:rsidRDefault="001C0843" w:rsidP="001C0843">
      <w:pPr>
        <w:pStyle w:val="Paragraphedeliste"/>
        <w:rPr>
          <w:rFonts w:ascii="Arial Narrow" w:hAnsi="Arial Narrow"/>
          <w:sz w:val="22"/>
          <w:szCs w:val="22"/>
        </w:rPr>
      </w:pPr>
    </w:p>
    <w:p w:rsidR="00643817" w:rsidRDefault="00643817" w:rsidP="00643817">
      <w:pPr>
        <w:pStyle w:val="Paragraphedeliste"/>
        <w:rPr>
          <w:rFonts w:ascii="Arial Narrow" w:hAnsi="Arial Narrow"/>
          <w:sz w:val="22"/>
          <w:szCs w:val="22"/>
        </w:rPr>
      </w:pPr>
    </w:p>
    <w:p w:rsidR="00643817" w:rsidRDefault="001C0843" w:rsidP="00643817">
      <w:pPr>
        <w:pStyle w:val="Paragraphedeliste"/>
        <w:numPr>
          <w:ilvl w:val="0"/>
          <w:numId w:val="3"/>
        </w:numPr>
        <w:rPr>
          <w:rFonts w:ascii="Arial Narrow" w:hAnsi="Arial Narrow"/>
          <w:sz w:val="22"/>
          <w:szCs w:val="22"/>
        </w:rPr>
      </w:pPr>
      <w:r>
        <w:rPr>
          <w:rFonts w:ascii="Arial Narrow" w:hAnsi="Arial Narrow"/>
          <w:sz w:val="22"/>
          <w:szCs w:val="22"/>
        </w:rPr>
        <w:t xml:space="preserve">True or </w:t>
      </w:r>
      <w:r w:rsidRPr="001C0843">
        <w:rPr>
          <w:rFonts w:ascii="Arial Narrow" w:hAnsi="Arial Narrow"/>
          <w:b/>
          <w:sz w:val="22"/>
          <w:szCs w:val="22"/>
        </w:rPr>
        <w:t>False</w:t>
      </w:r>
      <w:r>
        <w:rPr>
          <w:rFonts w:ascii="Arial Narrow" w:hAnsi="Arial Narrow"/>
          <w:sz w:val="22"/>
          <w:szCs w:val="22"/>
        </w:rPr>
        <w:t xml:space="preserve">: </w:t>
      </w:r>
      <w:r w:rsidR="00643817" w:rsidRPr="00380DC5">
        <w:rPr>
          <w:rFonts w:ascii="Arial Narrow" w:hAnsi="Arial Narrow"/>
          <w:sz w:val="22"/>
          <w:szCs w:val="22"/>
        </w:rPr>
        <w:t>TLR signaling is a linear cascade. Each type of LTR has its own unique adaptor protein that links</w:t>
      </w:r>
      <w:r w:rsidR="00643817">
        <w:rPr>
          <w:rFonts w:ascii="Arial Narrow" w:hAnsi="Arial Narrow"/>
          <w:sz w:val="22"/>
          <w:szCs w:val="22"/>
        </w:rPr>
        <w:t xml:space="preserve"> it </w:t>
      </w:r>
      <w:r w:rsidR="00643817" w:rsidRPr="00380DC5">
        <w:rPr>
          <w:rFonts w:ascii="Arial Narrow" w:hAnsi="Arial Narrow"/>
          <w:sz w:val="22"/>
          <w:szCs w:val="22"/>
        </w:rPr>
        <w:t>to
intracellular kinases and ultimately transcription factors.</w:t>
      </w:r>
    </w:p>
    <w:p w:rsidR="001C0843" w:rsidRDefault="001C0843" w:rsidP="001C0843">
      <w:pPr>
        <w:pStyle w:val="Paragraphedeliste"/>
        <w:rPr>
          <w:rFonts w:ascii="Arial Narrow" w:hAnsi="Arial Narrow"/>
          <w:sz w:val="22"/>
          <w:szCs w:val="22"/>
        </w:rPr>
      </w:pPr>
    </w:p>
    <w:p w:rsidR="001C0843" w:rsidRPr="001C0843" w:rsidRDefault="001C0843" w:rsidP="001C0843">
      <w:pPr>
        <w:pStyle w:val="Paragraphedeliste"/>
        <w:rPr>
          <w:rFonts w:ascii="Arial Narrow" w:hAnsi="Arial Narrow"/>
          <w:i/>
          <w:sz w:val="22"/>
          <w:szCs w:val="22"/>
        </w:rPr>
      </w:pPr>
      <w:r w:rsidRPr="001C0843">
        <w:rPr>
          <w:rFonts w:ascii="Arial Narrow" w:hAnsi="Arial Narrow"/>
          <w:i/>
          <w:sz w:val="22"/>
          <w:szCs w:val="22"/>
        </w:rPr>
        <w:t>TLR signaling is more than a linear cascade, as different
receptors share adaptor proteins that link them to
intracellular kinases and ultimately transcription factors.
Sharing adaptor proteins creates potential for cross talk
as organisms ligate multiple receptors. Moreover, positive and negative feedback loops exist
on the various cascades.</w:t>
      </w:r>
    </w:p>
    <w:p w:rsidR="00643817" w:rsidRPr="00764A40" w:rsidRDefault="00643817" w:rsidP="00643817">
      <w:pPr>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sidRPr="00764A40">
        <w:rPr>
          <w:rFonts w:ascii="Arial Narrow" w:hAnsi="Arial Narrow"/>
          <w:sz w:val="22"/>
          <w:szCs w:val="22"/>
        </w:rPr>
        <w:t xml:space="preserve"> Place in order:</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Ligation of TLR by bacterial products</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Activation of adaptor protein</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Activation of intracellular kinases</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Activation of transcription factors</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Gene transcription</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Cytokines release</w:t>
      </w:r>
    </w:p>
    <w:p w:rsidR="00643817" w:rsidRDefault="00643817" w:rsidP="00643817">
      <w:pPr>
        <w:pStyle w:val="Paragraphedeliste"/>
        <w:ind w:left="1440"/>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Pr>
          <w:rFonts w:ascii="Arial Narrow" w:hAnsi="Arial Narrow"/>
          <w:sz w:val="22"/>
          <w:szCs w:val="22"/>
        </w:rPr>
        <w:t>Which is a component of gram-positive bacteria?</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LTA</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LPS</w:t>
      </w:r>
    </w:p>
    <w:p w:rsidR="00643817" w:rsidRDefault="00643817" w:rsidP="00643817">
      <w:pPr>
        <w:pStyle w:val="Paragraphedeliste"/>
        <w:numPr>
          <w:ilvl w:val="1"/>
          <w:numId w:val="3"/>
        </w:numPr>
        <w:rPr>
          <w:rFonts w:ascii="Arial Narrow" w:hAnsi="Arial Narrow"/>
          <w:sz w:val="22"/>
          <w:szCs w:val="22"/>
        </w:rPr>
      </w:pPr>
      <w:proofErr w:type="spellStart"/>
      <w:r>
        <w:rPr>
          <w:rFonts w:ascii="Arial Narrow" w:hAnsi="Arial Narrow"/>
          <w:sz w:val="22"/>
          <w:szCs w:val="22"/>
        </w:rPr>
        <w:t>Mannan</w:t>
      </w:r>
      <w:proofErr w:type="spellEnd"/>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Chitin</w:t>
      </w:r>
    </w:p>
    <w:p w:rsidR="00643817" w:rsidRDefault="00643817" w:rsidP="00643817">
      <w:pPr>
        <w:pStyle w:val="Paragraphedeliste"/>
        <w:ind w:left="1440"/>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Pr>
          <w:rFonts w:ascii="Arial Narrow" w:hAnsi="Arial Narrow"/>
          <w:sz w:val="22"/>
          <w:szCs w:val="22"/>
        </w:rPr>
        <w:t>What is particular about TLR3?</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It only recognizes PAMPS originating from bacterial products</w:t>
      </w:r>
    </w:p>
    <w:p w:rsidR="00643817" w:rsidRPr="001C0843" w:rsidRDefault="00643817" w:rsidP="00643817">
      <w:pPr>
        <w:pStyle w:val="Paragraphedeliste"/>
        <w:numPr>
          <w:ilvl w:val="1"/>
          <w:numId w:val="3"/>
        </w:numPr>
        <w:rPr>
          <w:rFonts w:ascii="Arial Narrow" w:hAnsi="Arial Narrow"/>
          <w:b/>
          <w:sz w:val="22"/>
          <w:szCs w:val="22"/>
        </w:rPr>
      </w:pPr>
      <w:r w:rsidRPr="001C0843">
        <w:rPr>
          <w:rFonts w:ascii="Arial Narrow" w:hAnsi="Arial Narrow"/>
          <w:b/>
          <w:sz w:val="22"/>
          <w:szCs w:val="22"/>
        </w:rPr>
        <w:t>It works independently from MyD88</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It does not use TRIF</w:t>
      </w:r>
    </w:p>
    <w:p w:rsidR="00643817" w:rsidRDefault="00643817" w:rsidP="00643817">
      <w:pPr>
        <w:pStyle w:val="Paragraphedeliste"/>
        <w:numPr>
          <w:ilvl w:val="1"/>
          <w:numId w:val="3"/>
        </w:numPr>
        <w:rPr>
          <w:rFonts w:ascii="Arial Narrow" w:hAnsi="Arial Narrow"/>
          <w:sz w:val="22"/>
          <w:szCs w:val="22"/>
        </w:rPr>
      </w:pPr>
      <w:r>
        <w:rPr>
          <w:rFonts w:ascii="Arial Narrow" w:hAnsi="Arial Narrow"/>
          <w:sz w:val="22"/>
          <w:szCs w:val="22"/>
        </w:rPr>
        <w:t xml:space="preserve">It is localized predominantly on the cytoplasmic membrane of the </w:t>
      </w:r>
      <w:r w:rsidRPr="00587DC8">
        <w:rPr>
          <w:rFonts w:ascii="Arial Narrow" w:hAnsi="Arial Narrow"/>
          <w:sz w:val="22"/>
          <w:szCs w:val="22"/>
        </w:rPr>
        <w:t>host cells.</w:t>
      </w:r>
    </w:p>
    <w:p w:rsidR="001C0843" w:rsidRDefault="001C0843" w:rsidP="001C0843">
      <w:pPr>
        <w:pStyle w:val="Paragraphedeliste"/>
        <w:ind w:left="1440"/>
        <w:rPr>
          <w:rFonts w:ascii="Arial Narrow" w:hAnsi="Arial Narrow"/>
          <w:sz w:val="22"/>
          <w:szCs w:val="22"/>
        </w:rPr>
      </w:pPr>
    </w:p>
    <w:p w:rsidR="001C0843" w:rsidRPr="001C0843" w:rsidRDefault="001C0843" w:rsidP="001C0843">
      <w:pPr>
        <w:pStyle w:val="Paragraphedeliste"/>
        <w:ind w:left="1440"/>
        <w:rPr>
          <w:rFonts w:ascii="Arial Narrow" w:hAnsi="Arial Narrow"/>
          <w:i/>
          <w:sz w:val="22"/>
          <w:szCs w:val="22"/>
        </w:rPr>
      </w:pPr>
      <w:r w:rsidRPr="001C0843">
        <w:rPr>
          <w:rFonts w:ascii="Arial Narrow" w:hAnsi="Arial Narrow"/>
          <w:i/>
          <w:sz w:val="22"/>
          <w:szCs w:val="22"/>
        </w:rPr>
        <w:t>TLR3 is localized predominantly on cytopl</w:t>
      </w:r>
      <w:r>
        <w:rPr>
          <w:rFonts w:ascii="Arial Narrow" w:hAnsi="Arial Narrow"/>
          <w:i/>
          <w:sz w:val="22"/>
          <w:szCs w:val="22"/>
        </w:rPr>
        <w:t>asmic vesicles</w:t>
      </w:r>
      <w:r w:rsidRPr="001C0843">
        <w:rPr>
          <w:rFonts w:ascii="Arial Narrow" w:hAnsi="Arial Narrow"/>
          <w:i/>
          <w:sz w:val="22"/>
          <w:szCs w:val="22"/>
        </w:rPr>
        <w:t xml:space="preserve"> and the endoplasmic reticulum. It is responsible for recognizing </w:t>
      </w:r>
      <w:proofErr w:type="gramStart"/>
      <w:r w:rsidRPr="001C0843">
        <w:rPr>
          <w:rFonts w:ascii="Arial Narrow" w:hAnsi="Arial Narrow"/>
          <w:i/>
          <w:sz w:val="22"/>
          <w:szCs w:val="22"/>
        </w:rPr>
        <w:t>viruses express</w:t>
      </w:r>
      <w:r>
        <w:rPr>
          <w:rFonts w:ascii="Arial Narrow" w:hAnsi="Arial Narrow"/>
          <w:i/>
          <w:sz w:val="22"/>
          <w:szCs w:val="22"/>
        </w:rPr>
        <w:t>ing double-stranded RNA.</w:t>
      </w:r>
      <w:r w:rsidRPr="001C0843">
        <w:rPr>
          <w:rFonts w:ascii="Arial Narrow" w:hAnsi="Arial Narrow"/>
          <w:i/>
          <w:sz w:val="22"/>
          <w:szCs w:val="22"/>
        </w:rPr>
        <w:t>TLR3 is</w:t>
      </w:r>
      <w:proofErr w:type="gramEnd"/>
      <w:r w:rsidRPr="001C0843">
        <w:rPr>
          <w:rFonts w:ascii="Arial Narrow" w:hAnsi="Arial Narrow"/>
          <w:i/>
          <w:sz w:val="22"/>
          <w:szCs w:val="22"/>
        </w:rPr>
        <w:t xml:space="preserve"> unique in </w:t>
      </w:r>
      <w:proofErr w:type="spellStart"/>
      <w:r w:rsidRPr="001C0843">
        <w:rPr>
          <w:rFonts w:ascii="Arial Narrow" w:hAnsi="Arial Narrow"/>
          <w:i/>
          <w:sz w:val="22"/>
          <w:szCs w:val="22"/>
        </w:rPr>
        <w:t>func</w:t>
      </w:r>
      <w:proofErr w:type="spellEnd"/>
      <w:r w:rsidRPr="001C0843">
        <w:rPr>
          <w:rFonts w:ascii="Arial Narrow" w:hAnsi="Arial Narrow"/>
          <w:i/>
          <w:sz w:val="22"/>
          <w:szCs w:val="22"/>
        </w:rPr>
        <w:t xml:space="preserve">- </w:t>
      </w:r>
      <w:proofErr w:type="spellStart"/>
      <w:r w:rsidRPr="001C0843">
        <w:rPr>
          <w:rFonts w:ascii="Arial Narrow" w:hAnsi="Arial Narrow"/>
          <w:i/>
          <w:sz w:val="22"/>
          <w:szCs w:val="22"/>
        </w:rPr>
        <w:t>tioning</w:t>
      </w:r>
      <w:proofErr w:type="spellEnd"/>
      <w:r w:rsidRPr="001C0843">
        <w:rPr>
          <w:rFonts w:ascii="Arial Narrow" w:hAnsi="Arial Narrow"/>
          <w:i/>
          <w:sz w:val="22"/>
          <w:szCs w:val="22"/>
        </w:rPr>
        <w:t xml:space="preserve"> independently from the adaptor protein MyD88 and using only TIR-domain-containing adapter-inducing inter- </w:t>
      </w:r>
      <w:proofErr w:type="spellStart"/>
      <w:r w:rsidRPr="001C0843">
        <w:rPr>
          <w:rFonts w:ascii="Arial Narrow" w:hAnsi="Arial Narrow"/>
          <w:i/>
          <w:sz w:val="22"/>
          <w:szCs w:val="22"/>
        </w:rPr>
        <w:t>feron</w:t>
      </w:r>
      <w:proofErr w:type="spellEnd"/>
      <w:r w:rsidRPr="001C0843">
        <w:rPr>
          <w:rFonts w:ascii="Arial Narrow" w:hAnsi="Arial Narrow"/>
          <w:i/>
          <w:sz w:val="22"/>
          <w:szCs w:val="22"/>
        </w:rPr>
        <w:t xml:space="preserve">-β (TRIF) instead. TRIF is also used by TLR4, and this may account for some of the similarities observed between the pathophysiology of severe systemic viral </w:t>
      </w:r>
      <w:proofErr w:type="spellStart"/>
      <w:r w:rsidRPr="001C0843">
        <w:rPr>
          <w:rFonts w:ascii="Arial Narrow" w:hAnsi="Arial Narrow"/>
          <w:i/>
          <w:sz w:val="22"/>
          <w:szCs w:val="22"/>
        </w:rPr>
        <w:t>infec</w:t>
      </w:r>
      <w:proofErr w:type="spellEnd"/>
      <w:r w:rsidRPr="001C0843">
        <w:rPr>
          <w:rFonts w:ascii="Arial Narrow" w:hAnsi="Arial Narrow"/>
          <w:i/>
          <w:sz w:val="22"/>
          <w:szCs w:val="22"/>
        </w:rPr>
        <w:t xml:space="preserve">- </w:t>
      </w:r>
      <w:proofErr w:type="spellStart"/>
      <w:r w:rsidRPr="001C0843">
        <w:rPr>
          <w:rFonts w:ascii="Arial Narrow" w:hAnsi="Arial Narrow"/>
          <w:i/>
          <w:sz w:val="22"/>
          <w:szCs w:val="22"/>
        </w:rPr>
        <w:t>tion</w:t>
      </w:r>
      <w:proofErr w:type="spellEnd"/>
      <w:r w:rsidRPr="001C0843">
        <w:rPr>
          <w:rFonts w:ascii="Arial Narrow" w:hAnsi="Arial Narrow"/>
          <w:i/>
          <w:sz w:val="22"/>
          <w:szCs w:val="22"/>
        </w:rPr>
        <w:t xml:space="preserve"> and that of the inflammatory response to LPS.</w:t>
      </w:r>
    </w:p>
    <w:p w:rsidR="00643817" w:rsidRPr="00587DC8" w:rsidRDefault="00643817" w:rsidP="00643817">
      <w:pPr>
        <w:ind w:left="1080"/>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sidRPr="001C0843">
        <w:rPr>
          <w:rFonts w:ascii="Arial Narrow" w:hAnsi="Arial Narrow"/>
          <w:b/>
          <w:sz w:val="22"/>
          <w:szCs w:val="22"/>
        </w:rPr>
        <w:t>T</w:t>
      </w:r>
      <w:r w:rsidR="001C0843" w:rsidRPr="001C0843">
        <w:rPr>
          <w:rFonts w:ascii="Arial Narrow" w:hAnsi="Arial Narrow"/>
          <w:b/>
          <w:sz w:val="22"/>
          <w:szCs w:val="22"/>
        </w:rPr>
        <w:t>rue</w:t>
      </w:r>
      <w:r>
        <w:rPr>
          <w:rFonts w:ascii="Arial Narrow" w:hAnsi="Arial Narrow"/>
          <w:sz w:val="22"/>
          <w:szCs w:val="22"/>
        </w:rPr>
        <w:t xml:space="preserve"> or F</w:t>
      </w:r>
      <w:r w:rsidR="001C0843">
        <w:rPr>
          <w:rFonts w:ascii="Arial Narrow" w:hAnsi="Arial Narrow"/>
          <w:sz w:val="22"/>
          <w:szCs w:val="22"/>
        </w:rPr>
        <w:t>alse</w:t>
      </w:r>
      <w:r>
        <w:rPr>
          <w:rFonts w:ascii="Arial Narrow" w:hAnsi="Arial Narrow"/>
          <w:sz w:val="22"/>
          <w:szCs w:val="22"/>
        </w:rPr>
        <w:t>: T</w:t>
      </w:r>
      <w:r w:rsidRPr="0003684E">
        <w:rPr>
          <w:rFonts w:ascii="Arial Narrow" w:hAnsi="Arial Narrow"/>
          <w:sz w:val="22"/>
          <w:szCs w:val="22"/>
        </w:rPr>
        <w:t xml:space="preserve">he
expression of TLR2 increases on neutrophils and monocytes
</w:t>
      </w:r>
      <w:r>
        <w:rPr>
          <w:rFonts w:ascii="Arial Narrow" w:hAnsi="Arial Narrow"/>
          <w:sz w:val="22"/>
          <w:szCs w:val="22"/>
        </w:rPr>
        <w:t xml:space="preserve">in patients with sepsis. </w:t>
      </w:r>
    </w:p>
    <w:p w:rsidR="001C0843" w:rsidRDefault="001C0843" w:rsidP="001C0843">
      <w:pPr>
        <w:pStyle w:val="Paragraphedeliste"/>
        <w:ind w:left="1416"/>
        <w:rPr>
          <w:rFonts w:ascii="Arial Narrow" w:hAnsi="Arial Narrow"/>
          <w:sz w:val="22"/>
          <w:szCs w:val="22"/>
        </w:rPr>
      </w:pPr>
    </w:p>
    <w:p w:rsidR="001C0843" w:rsidRPr="001C0843" w:rsidRDefault="001C0843" w:rsidP="001C0843">
      <w:pPr>
        <w:pStyle w:val="Paragraphedeliste"/>
        <w:ind w:left="1416"/>
        <w:rPr>
          <w:rFonts w:ascii="Arial Narrow" w:hAnsi="Arial Narrow"/>
          <w:i/>
          <w:sz w:val="22"/>
          <w:szCs w:val="22"/>
        </w:rPr>
      </w:pPr>
      <w:r w:rsidRPr="001C0843">
        <w:rPr>
          <w:rFonts w:ascii="Arial Narrow" w:hAnsi="Arial Narrow"/>
          <w:i/>
          <w:sz w:val="22"/>
          <w:szCs w:val="22"/>
        </w:rPr>
        <w:t xml:space="preserve">Whether TLR4 expression on monocytes is </w:t>
      </w:r>
      <w:proofErr w:type="spellStart"/>
      <w:r w:rsidRPr="001C0843">
        <w:rPr>
          <w:rFonts w:ascii="Arial Narrow" w:hAnsi="Arial Narrow"/>
          <w:i/>
          <w:sz w:val="22"/>
          <w:szCs w:val="22"/>
        </w:rPr>
        <w:t>upregulated</w:t>
      </w:r>
      <w:proofErr w:type="spellEnd"/>
      <w:r w:rsidRPr="001C0843">
        <w:rPr>
          <w:rFonts w:ascii="Arial Narrow" w:hAnsi="Arial Narrow"/>
          <w:i/>
          <w:sz w:val="22"/>
          <w:szCs w:val="22"/>
        </w:rPr>
        <w:t xml:space="preserve"> is debated.</w:t>
      </w:r>
    </w:p>
    <w:p w:rsidR="00643817" w:rsidRDefault="00643817" w:rsidP="00643817">
      <w:pPr>
        <w:pStyle w:val="Paragraphedeliste"/>
        <w:rPr>
          <w:rFonts w:ascii="Arial Narrow" w:hAnsi="Arial Narrow"/>
          <w:sz w:val="22"/>
          <w:szCs w:val="22"/>
        </w:rPr>
      </w:pPr>
    </w:p>
    <w:p w:rsidR="00643817" w:rsidRDefault="00643817" w:rsidP="00643817">
      <w:pPr>
        <w:pStyle w:val="Paragraphedeliste"/>
        <w:numPr>
          <w:ilvl w:val="0"/>
          <w:numId w:val="3"/>
        </w:numPr>
        <w:rPr>
          <w:rFonts w:ascii="Arial Narrow" w:hAnsi="Arial Narrow"/>
          <w:sz w:val="22"/>
          <w:szCs w:val="22"/>
        </w:rPr>
      </w:pPr>
      <w:r w:rsidRPr="00643817">
        <w:rPr>
          <w:rFonts w:ascii="Arial Narrow" w:hAnsi="Arial Narrow"/>
          <w:sz w:val="22"/>
          <w:szCs w:val="22"/>
        </w:rPr>
        <w:t xml:space="preserve"> MyD88s</w:t>
      </w:r>
      <w:r w:rsidR="001C0843">
        <w:rPr>
          <w:rFonts w:ascii="Arial Narrow" w:hAnsi="Arial Narrow"/>
          <w:sz w:val="22"/>
          <w:szCs w:val="22"/>
        </w:rPr>
        <w:t xml:space="preserve">, IRAKM, A20 and ST2L target  </w:t>
      </w:r>
      <w:r w:rsidR="001C0843">
        <w:rPr>
          <w:rFonts w:ascii="Arial Narrow" w:hAnsi="Arial Narrow"/>
          <w:sz w:val="22"/>
          <w:szCs w:val="22"/>
          <w:u w:val="single"/>
        </w:rPr>
        <w:t xml:space="preserve"> </w:t>
      </w:r>
      <w:r w:rsidR="001C0843" w:rsidRPr="001C0843">
        <w:rPr>
          <w:rFonts w:ascii="Arial Narrow" w:hAnsi="Arial Narrow"/>
          <w:b/>
          <w:sz w:val="22"/>
          <w:szCs w:val="22"/>
          <w:u w:val="single"/>
        </w:rPr>
        <w:t xml:space="preserve"> adaptor proteins  </w:t>
      </w:r>
      <w:r w:rsidRPr="001C0843">
        <w:rPr>
          <w:rFonts w:ascii="Arial Narrow" w:hAnsi="Arial Narrow"/>
          <w:b/>
          <w:sz w:val="22"/>
          <w:szCs w:val="22"/>
        </w:rPr>
        <w:t xml:space="preserve"> </w:t>
      </w:r>
      <w:r w:rsidRPr="00643817">
        <w:rPr>
          <w:rFonts w:ascii="Arial Narrow" w:hAnsi="Arial Narrow"/>
          <w:sz w:val="22"/>
          <w:szCs w:val="22"/>
        </w:rPr>
        <w:t>to attenuate TLR signaling.</w:t>
      </w:r>
    </w:p>
    <w:p w:rsidR="001C0843" w:rsidRDefault="001C0843" w:rsidP="001C0843">
      <w:pPr>
        <w:pStyle w:val="Paragraphedeliste"/>
        <w:rPr>
          <w:rFonts w:ascii="Arial Narrow" w:hAnsi="Arial Narrow"/>
          <w:sz w:val="22"/>
          <w:szCs w:val="22"/>
        </w:rPr>
      </w:pPr>
    </w:p>
    <w:p w:rsidR="00745548" w:rsidRDefault="001C0843" w:rsidP="00745548">
      <w:pPr>
        <w:pStyle w:val="Paragraphedeliste"/>
        <w:ind w:left="1416"/>
        <w:rPr>
          <w:rFonts w:ascii="Arial Narrow" w:hAnsi="Arial Narrow"/>
          <w:i/>
          <w:sz w:val="22"/>
          <w:szCs w:val="22"/>
        </w:rPr>
      </w:pPr>
      <w:r w:rsidRPr="001C0843">
        <w:rPr>
          <w:rFonts w:ascii="Arial Narrow" w:hAnsi="Arial Narrow"/>
          <w:i/>
          <w:sz w:val="22"/>
          <w:szCs w:val="22"/>
        </w:rPr>
        <w:t xml:space="preserve">There are also many intracellular inhibitory mechanisms that include </w:t>
      </w:r>
      <w:r>
        <w:rPr>
          <w:rFonts w:ascii="Arial Narrow" w:hAnsi="Arial Narrow"/>
          <w:i/>
          <w:sz w:val="22"/>
          <w:szCs w:val="22"/>
        </w:rPr>
        <w:t>MyD88s, IRAKM, A20 and ST2L</w:t>
      </w:r>
      <w:r w:rsidRPr="001C0843">
        <w:rPr>
          <w:rFonts w:ascii="Arial Narrow" w:hAnsi="Arial Narrow"/>
          <w:i/>
          <w:sz w:val="22"/>
          <w:szCs w:val="22"/>
        </w:rPr>
        <w:t xml:space="preserve">. These target the adaptor proteins such as MyD88 and IRAK to attenuate TLR signaling. </w:t>
      </w:r>
    </w:p>
    <w:p w:rsidR="00745548" w:rsidRDefault="00745548" w:rsidP="00745548">
      <w:pPr>
        <w:pStyle w:val="Paragraphedeliste"/>
        <w:ind w:left="1416"/>
        <w:rPr>
          <w:rFonts w:ascii="Arial Narrow" w:hAnsi="Arial Narrow"/>
          <w:i/>
          <w:sz w:val="22"/>
          <w:szCs w:val="22"/>
        </w:rPr>
      </w:pPr>
    </w:p>
    <w:p w:rsidR="00745548" w:rsidRDefault="00745548" w:rsidP="00745548">
      <w:pPr>
        <w:pStyle w:val="Paragraphedeliste"/>
        <w:ind w:left="1416"/>
        <w:rPr>
          <w:rFonts w:ascii="Arial Narrow" w:hAnsi="Arial Narrow"/>
          <w:i/>
          <w:sz w:val="22"/>
          <w:szCs w:val="22"/>
        </w:rPr>
      </w:pPr>
    </w:p>
    <w:p w:rsidR="00745548" w:rsidRDefault="00745548" w:rsidP="00745548">
      <w:pPr>
        <w:pStyle w:val="Paragraphedeliste"/>
        <w:ind w:left="0"/>
        <w:rPr>
          <w:rFonts w:ascii="Arial Narrow" w:hAnsi="Arial Narrow"/>
          <w:b/>
          <w:sz w:val="22"/>
          <w:szCs w:val="22"/>
        </w:rPr>
      </w:pPr>
      <w:r w:rsidRPr="00745548">
        <w:rPr>
          <w:rFonts w:ascii="Arial Narrow" w:hAnsi="Arial Narrow"/>
          <w:b/>
          <w:sz w:val="22"/>
          <w:szCs w:val="22"/>
        </w:rPr>
        <w:t>SUMMARY</w:t>
      </w:r>
    </w:p>
    <w:p w:rsidR="00745548" w:rsidRDefault="00745548" w:rsidP="00745548">
      <w:pPr>
        <w:pStyle w:val="Paragraphedeliste"/>
        <w:ind w:left="0"/>
        <w:rPr>
          <w:rFonts w:ascii="Arial Narrow" w:hAnsi="Arial Narrow"/>
          <w:b/>
          <w:sz w:val="22"/>
          <w:szCs w:val="22"/>
        </w:rPr>
      </w:pPr>
      <w:bookmarkStart w:id="1" w:name="_GoBack"/>
      <w:bookmarkEnd w:id="1"/>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Toll-like receptor (TLR) system can recognize many infectious organisms through relatively few receptors to trigger </w:t>
      </w:r>
      <w:r w:rsidRPr="0003684E">
        <w:rPr>
          <w:rFonts w:ascii="Arial Narrow" w:hAnsi="Arial Narrow"/>
          <w:b/>
          <w:sz w:val="22"/>
          <w:szCs w:val="22"/>
        </w:rPr>
        <w:t xml:space="preserve">pro-inflammatory and anti-inflammatory cytokine </w:t>
      </w:r>
      <w:commentRangeStart w:id="2"/>
      <w:r w:rsidRPr="0003684E">
        <w:rPr>
          <w:rFonts w:ascii="Arial Narrow" w:hAnsi="Arial Narrow"/>
          <w:b/>
          <w:sz w:val="22"/>
          <w:szCs w:val="22"/>
        </w:rPr>
        <w:t>release</w:t>
      </w:r>
      <w:commentRangeEnd w:id="2"/>
      <w:r w:rsidRPr="0003684E">
        <w:rPr>
          <w:rStyle w:val="Marquedannotation"/>
          <w:rFonts w:ascii="Arial Narrow" w:hAnsi="Arial Narrow"/>
          <w:sz w:val="22"/>
          <w:szCs w:val="22"/>
        </w:rPr>
        <w:commentReference w:id="2"/>
      </w:r>
      <w:r w:rsidRPr="0003684E">
        <w:rPr>
          <w:rFonts w:ascii="Arial Narrow" w:hAnsi="Arial Narrow"/>
          <w:sz w:val="22"/>
          <w:szCs w:val="22"/>
        </w:rPr>
        <w:t>. Further complexity arises from positive and negative signaling feedback loops. Severe sepsis may be a consequence of an inappropriately excessive response or inadequate endogenous negative feed- back.</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03684E">
        <w:rPr>
          <w:rFonts w:ascii="Arial Narrow" w:hAnsi="Arial Narrow"/>
          <w:sz w:val="22"/>
          <w:szCs w:val="22"/>
        </w:rPr>
        <w:t>TLR sys</w:t>
      </w:r>
      <w:r>
        <w:rPr>
          <w:rFonts w:ascii="Arial Narrow" w:hAnsi="Arial Narrow"/>
          <w:sz w:val="22"/>
          <w:szCs w:val="22"/>
        </w:rPr>
        <w:t>tem works through a relatively small</w:t>
      </w:r>
      <w:r w:rsidRPr="0003684E">
        <w:rPr>
          <w:rFonts w:ascii="Arial Narrow" w:hAnsi="Arial Narrow"/>
          <w:sz w:val="22"/>
          <w:szCs w:val="22"/>
        </w:rPr>
        <w:t xml:space="preserve"> number of receptors. Only 10 TLR have been identified in human - these ten TLR recognize molecular structures common to infectious organisms (pathogen-associated molecular patterns, PAMPs) that are very infrequently found in the host - 
As different TLR recognize different PAMPs,
collectively, they detect most infectious organisms including protozoa, bacteria, fungi and viruses.</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Some ligands recognized by TLR are structurally within microorganisms. However, they are often released during organism replication or antibiotic-induced bacterial </w:t>
      </w:r>
      <w:proofErr w:type="spellStart"/>
      <w:r w:rsidRPr="0003684E">
        <w:rPr>
          <w:rFonts w:ascii="Arial Narrow" w:hAnsi="Arial Narrow"/>
          <w:sz w:val="22"/>
          <w:szCs w:val="22"/>
        </w:rPr>
        <w:t>lysis</w:t>
      </w:r>
      <w:proofErr w:type="spellEnd"/>
      <w:r w:rsidRPr="0003684E">
        <w:rPr>
          <w:rFonts w:ascii="Arial Narrow" w:hAnsi="Arial Narrow"/>
          <w:sz w:val="22"/>
          <w:szCs w:val="22"/>
        </w:rPr>
        <w:t xml:space="preserve">, and thus, accessible to surface TLR receptors. Some TLR are intracellular. </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03684E">
        <w:rPr>
          <w:rFonts w:ascii="Arial Narrow" w:hAnsi="Arial Narrow"/>
          <w:sz w:val="22"/>
          <w:szCs w:val="22"/>
        </w:rPr>
        <w:t>The end result is the activation of pro-inflammatory transcription factors such as nuclear factor kappa B (NF-</w:t>
      </w:r>
      <w:proofErr w:type="spellStart"/>
      <w:r w:rsidRPr="0003684E">
        <w:rPr>
          <w:rFonts w:ascii="Arial Narrow" w:hAnsi="Arial Narrow"/>
          <w:sz w:val="22"/>
          <w:szCs w:val="22"/>
        </w:rPr>
        <w:t>kB</w:t>
      </w:r>
      <w:proofErr w:type="spellEnd"/>
      <w:r w:rsidRPr="0003684E">
        <w:rPr>
          <w:rFonts w:ascii="Arial Narrow" w:hAnsi="Arial Narrow"/>
          <w:sz w:val="22"/>
          <w:szCs w:val="22"/>
        </w:rPr>
        <w:t>), activator protein-1 (AP-1) and interferon response factor-3 (IRF-3). After gene transcription, cytokines are released, which results in the clinical manifestations of sepsis. There are other families of receptors that recognize PAMPs, which include RIG-like helicases (RLHs) and nucleotide-</w:t>
      </w:r>
      <w:proofErr w:type="spellStart"/>
      <w:r w:rsidRPr="0003684E">
        <w:rPr>
          <w:rFonts w:ascii="Arial Narrow" w:hAnsi="Arial Narrow"/>
          <w:sz w:val="22"/>
          <w:szCs w:val="22"/>
        </w:rPr>
        <w:t>oligomerisation</w:t>
      </w:r>
      <w:proofErr w:type="spellEnd"/>
      <w:r w:rsidRPr="0003684E">
        <w:rPr>
          <w:rFonts w:ascii="Arial Narrow" w:hAnsi="Arial Narrow"/>
          <w:sz w:val="22"/>
          <w:szCs w:val="22"/>
        </w:rPr>
        <w:t xml:space="preserve"> domain (NOD) receptors. These recognize pathogens that have invaded </w:t>
      </w:r>
      <w:proofErr w:type="spellStart"/>
      <w:r w:rsidRPr="0003684E">
        <w:rPr>
          <w:rFonts w:ascii="Arial Narrow" w:hAnsi="Arial Narrow"/>
          <w:sz w:val="22"/>
          <w:szCs w:val="22"/>
        </w:rPr>
        <w:t>intracellularly</w:t>
      </w:r>
      <w:proofErr w:type="spellEnd"/>
      <w:r w:rsidRPr="0003684E">
        <w:rPr>
          <w:rFonts w:ascii="Arial Narrow" w:hAnsi="Arial Narrow"/>
          <w:sz w:val="22"/>
          <w:szCs w:val="22"/>
        </w:rPr>
        <w:t>.</w:t>
      </w:r>
    </w:p>
    <w:p w:rsidR="00745548" w:rsidRPr="0003684E" w:rsidRDefault="00745548" w:rsidP="00745548">
      <w:pPr>
        <w:rPr>
          <w:rFonts w:ascii="Arial Narrow" w:hAnsi="Arial Narrow"/>
          <w:sz w:val="22"/>
          <w:szCs w:val="22"/>
        </w:rPr>
      </w:pPr>
    </w:p>
    <w:p w:rsidR="00745548" w:rsidRDefault="00745548" w:rsidP="00745548">
      <w:pPr>
        <w:rPr>
          <w:rFonts w:ascii="Arial Narrow" w:hAnsi="Arial Narrow"/>
          <w:sz w:val="22"/>
          <w:szCs w:val="22"/>
        </w:rPr>
      </w:pPr>
      <w:r>
        <w:rPr>
          <w:rFonts w:ascii="Arial Narrow" w:hAnsi="Arial Narrow"/>
          <w:sz w:val="22"/>
          <w:szCs w:val="22"/>
        </w:rPr>
        <w:t>TLR signa</w:t>
      </w:r>
      <w:r w:rsidRPr="0003684E">
        <w:rPr>
          <w:rFonts w:ascii="Arial Narrow" w:hAnsi="Arial Narrow"/>
          <w:sz w:val="22"/>
          <w:szCs w:val="22"/>
        </w:rPr>
        <w:t>ling is more than a linear cascade, as different
receptors share adaptor proteins that link them to
intracellular kinases and ultimately transcription factors.
Sharing adaptor proteins creates potential for cross talk
as organisms ligate multiple receptors. At present, this is
poorly defined, with only few studies examining the effects
of simultaneously acti</w:t>
      </w:r>
      <w:r>
        <w:rPr>
          <w:rFonts w:ascii="Arial Narrow" w:hAnsi="Arial Narrow"/>
          <w:sz w:val="22"/>
          <w:szCs w:val="22"/>
        </w:rPr>
        <w:t xml:space="preserve">vating more than one receptor. </w:t>
      </w:r>
      <w:r w:rsidRPr="0003684E">
        <w:rPr>
          <w:rFonts w:ascii="Arial Narrow" w:hAnsi="Arial Narrow"/>
          <w:sz w:val="22"/>
          <w:szCs w:val="22"/>
        </w:rPr>
        <w:t>Moreover, positive and negative feedback loops exist
on the various cascades.</w:t>
      </w:r>
    </w:p>
    <w:p w:rsidR="00745548"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Pr>
          <w:rFonts w:ascii="Arial Narrow" w:hAnsi="Arial Narrow"/>
          <w:noProof/>
          <w:sz w:val="22"/>
          <w:szCs w:val="22"/>
          <w:lang w:val="fr-FR"/>
        </w:rPr>
        <w:drawing>
          <wp:inline distT="0" distB="0" distL="0" distR="0" wp14:anchorId="1C1B0DD1" wp14:editId="54EDC598">
            <wp:extent cx="4914900" cy="38696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6748" cy="3871135"/>
                    </a:xfrm>
                    <a:prstGeom prst="rect">
                      <a:avLst/>
                    </a:prstGeom>
                    <a:noFill/>
                    <a:ln>
                      <a:noFill/>
                    </a:ln>
                  </pic:spPr>
                </pic:pic>
              </a:graphicData>
            </a:graphic>
          </wp:inline>
        </w:drawing>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i/>
          <w:sz w:val="22"/>
          <w:szCs w:val="22"/>
        </w:rPr>
      </w:pPr>
      <w:r w:rsidRPr="0003684E">
        <w:rPr>
          <w:rFonts w:ascii="Arial Narrow" w:hAnsi="Arial Narrow"/>
          <w:i/>
          <w:sz w:val="22"/>
          <w:szCs w:val="22"/>
        </w:rPr>
        <w:t>Sepsis: one disease or several?</w:t>
      </w:r>
    </w:p>
    <w:p w:rsidR="00745548" w:rsidRDefault="00745548" w:rsidP="00745548">
      <w:pPr>
        <w:rPr>
          <w:rFonts w:ascii="Arial Narrow" w:hAnsi="Arial Narrow"/>
          <w:sz w:val="22"/>
          <w:szCs w:val="22"/>
        </w:rPr>
      </w:pPr>
      <w:r w:rsidRPr="0003684E">
        <w:rPr>
          <w:rFonts w:ascii="Arial Narrow" w:hAnsi="Arial Narrow"/>
          <w:sz w:val="22"/>
          <w:szCs w:val="22"/>
        </w:rPr>
        <w:t xml:space="preserve">Different TLRs are activated by different
infectious organisms and trigger different transcription
factors, and hence, different </w:t>
      </w:r>
      <w:commentRangeStart w:id="3"/>
      <w:r w:rsidRPr="0003684E">
        <w:rPr>
          <w:rFonts w:ascii="Arial Narrow" w:hAnsi="Arial Narrow"/>
          <w:sz w:val="22"/>
          <w:szCs w:val="22"/>
        </w:rPr>
        <w:t>genes</w:t>
      </w:r>
      <w:commentRangeEnd w:id="3"/>
      <w:r w:rsidRPr="0003684E">
        <w:rPr>
          <w:rStyle w:val="Marquedannotation"/>
          <w:rFonts w:ascii="Arial Narrow" w:hAnsi="Arial Narrow"/>
          <w:sz w:val="22"/>
          <w:szCs w:val="22"/>
        </w:rPr>
        <w:commentReference w:id="3"/>
      </w:r>
      <w:r w:rsidRPr="0003684E">
        <w:rPr>
          <w:rFonts w:ascii="Arial Narrow" w:hAnsi="Arial Narrow"/>
          <w:sz w:val="22"/>
          <w:szCs w:val="22"/>
        </w:rPr>
        <w:t>. This implies that the
host response may not only vary in its manifestations but
also probably in its response to any therapeutic intervention.</w:t>
      </w:r>
    </w:p>
    <w:p w:rsidR="00745548"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643817">
        <w:rPr>
          <w:rFonts w:ascii="Arial Narrow" w:hAnsi="Arial Narrow"/>
          <w:sz w:val="22"/>
          <w:szCs w:val="22"/>
        </w:rPr>
        <w:t xml:space="preserve">Gram-negative disease is associated with greater
plasma levels of </w:t>
      </w:r>
      <w:proofErr w:type="spellStart"/>
      <w:r w:rsidRPr="00643817">
        <w:rPr>
          <w:rFonts w:ascii="Arial Narrow" w:hAnsi="Arial Narrow"/>
          <w:sz w:val="22"/>
          <w:szCs w:val="22"/>
        </w:rPr>
        <w:t>tumour</w:t>
      </w:r>
      <w:proofErr w:type="spellEnd"/>
      <w:r w:rsidRPr="00643817">
        <w:rPr>
          <w:rFonts w:ascii="Arial Narrow" w:hAnsi="Arial Narrow"/>
          <w:sz w:val="22"/>
          <w:szCs w:val="22"/>
        </w:rPr>
        <w:t xml:space="preserve"> necrosis factor alpha (TNF-α) and
interleukin 6 (IL-6) when compared to Gram-positive
disease</w:t>
      </w:r>
      <w:r>
        <w:rPr>
          <w:rFonts w:ascii="Arial Narrow" w:hAnsi="Arial Narrow"/>
          <w:sz w:val="22"/>
          <w:szCs w:val="22"/>
        </w:rPr>
        <w:t>.</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i/>
          <w:sz w:val="22"/>
          <w:szCs w:val="22"/>
        </w:rPr>
      </w:pPr>
      <w:r w:rsidRPr="0003684E">
        <w:rPr>
          <w:rFonts w:ascii="Arial Narrow" w:hAnsi="Arial Narrow"/>
          <w:i/>
          <w:sz w:val="22"/>
          <w:szCs w:val="22"/>
        </w:rPr>
        <w:t>Bacterial sepsis:</w:t>
      </w: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LTA – component of gram + </w:t>
      </w:r>
      <w:proofErr w:type="gramStart"/>
      <w:r w:rsidRPr="0003684E">
        <w:rPr>
          <w:rFonts w:ascii="Arial Narrow" w:hAnsi="Arial Narrow"/>
          <w:sz w:val="22"/>
          <w:szCs w:val="22"/>
        </w:rPr>
        <w:t>bacteria ;</w:t>
      </w:r>
      <w:proofErr w:type="gramEnd"/>
      <w:r w:rsidRPr="0003684E">
        <w:rPr>
          <w:rFonts w:ascii="Arial Narrow" w:hAnsi="Arial Narrow"/>
          <w:sz w:val="22"/>
          <w:szCs w:val="22"/>
        </w:rPr>
        <w:t xml:space="preserve"> LPS – component of gram – bacteria</w:t>
      </w:r>
    </w:p>
    <w:p w:rsidR="00745548" w:rsidRPr="0003684E" w:rsidRDefault="00745548" w:rsidP="00745548">
      <w:pPr>
        <w:rPr>
          <w:rFonts w:ascii="Arial Narrow" w:hAnsi="Arial Narrow"/>
          <w:sz w:val="22"/>
          <w:szCs w:val="22"/>
        </w:rPr>
      </w:pPr>
      <w:r w:rsidRPr="0003684E">
        <w:rPr>
          <w:rFonts w:ascii="Arial Narrow" w:hAnsi="Arial Narrow"/>
          <w:sz w:val="22"/>
          <w:szCs w:val="22"/>
        </w:rPr>
        <w:t>TLR-4 associated with gram -; TLR-2 associated with gram +</w:t>
      </w:r>
    </w:p>
    <w:p w:rsidR="00745548" w:rsidRPr="0003684E" w:rsidRDefault="00745548" w:rsidP="00745548">
      <w:pPr>
        <w:rPr>
          <w:rFonts w:ascii="Arial Narrow" w:hAnsi="Arial Narrow"/>
          <w:sz w:val="22"/>
          <w:szCs w:val="22"/>
        </w:rPr>
      </w:pPr>
      <w:r w:rsidRPr="0003684E">
        <w:rPr>
          <w:rFonts w:ascii="Arial Narrow" w:hAnsi="Arial Narrow"/>
          <w:sz w:val="22"/>
          <w:szCs w:val="22"/>
        </w:rPr>
        <w:t>Both the cell walls can activate both type of TLR. 
The balance of the two types of signal
may differ according to the Gram staining characteristics of
the organism. Thus, Gram-positive infection may have a
TLR2-dominant signal, whereas Gram-negative infections
have a TLR4-dominant signal.</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In patients with sepsis, the
expression of TLR2 increases on neutrophils and monocytes
with respect to healthy controls or non-septic critically ill
patients. 
Whether TLR4 expression on monocytes
is </w:t>
      </w:r>
      <w:proofErr w:type="spellStart"/>
      <w:r w:rsidRPr="0003684E">
        <w:rPr>
          <w:rFonts w:ascii="Arial Narrow" w:hAnsi="Arial Narrow"/>
          <w:sz w:val="22"/>
          <w:szCs w:val="22"/>
        </w:rPr>
        <w:t>upregulated</w:t>
      </w:r>
      <w:proofErr w:type="spellEnd"/>
      <w:r w:rsidRPr="0003684E">
        <w:rPr>
          <w:rFonts w:ascii="Arial Narrow" w:hAnsi="Arial Narrow"/>
          <w:sz w:val="22"/>
          <w:szCs w:val="22"/>
        </w:rPr>
        <w:t xml:space="preserve"> is debated. These represent a possibly very significant positive feedback loop that may either prime the immune system for subsequent infection or amplify the response. </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Endogenous </w:t>
      </w:r>
      <w:commentRangeStart w:id="4"/>
      <w:r w:rsidRPr="0003684E">
        <w:rPr>
          <w:rFonts w:ascii="Arial Narrow" w:hAnsi="Arial Narrow"/>
          <w:sz w:val="22"/>
          <w:szCs w:val="22"/>
        </w:rPr>
        <w:t>mechanisms</w:t>
      </w:r>
      <w:commentRangeEnd w:id="4"/>
      <w:r w:rsidRPr="0003684E">
        <w:rPr>
          <w:rStyle w:val="Marquedannotation"/>
          <w:rFonts w:ascii="Arial Narrow" w:hAnsi="Arial Narrow"/>
          <w:sz w:val="22"/>
          <w:szCs w:val="22"/>
        </w:rPr>
        <w:commentReference w:id="4"/>
      </w:r>
      <w:r w:rsidRPr="0003684E">
        <w:rPr>
          <w:rFonts w:ascii="Arial Narrow" w:hAnsi="Arial Narrow"/>
          <w:sz w:val="22"/>
          <w:szCs w:val="22"/>
        </w:rPr>
        <w:t xml:space="preserve"> exist that inhibit TLR signaling, including soluble TLR receptors that may compete for ligand and
intracellular inhibitory mechanisms (</w:t>
      </w:r>
      <w:commentRangeStart w:id="5"/>
      <w:r w:rsidRPr="0003684E">
        <w:rPr>
          <w:rFonts w:ascii="Arial Narrow" w:hAnsi="Arial Narrow"/>
          <w:sz w:val="22"/>
          <w:szCs w:val="22"/>
        </w:rPr>
        <w:t>MyD88s</w:t>
      </w:r>
      <w:commentRangeEnd w:id="5"/>
      <w:r w:rsidRPr="0003684E">
        <w:rPr>
          <w:rStyle w:val="Marquedannotation"/>
          <w:rFonts w:ascii="Arial Narrow" w:hAnsi="Arial Narrow"/>
          <w:sz w:val="22"/>
          <w:szCs w:val="22"/>
        </w:rPr>
        <w:commentReference w:id="5"/>
      </w:r>
      <w:r w:rsidRPr="0003684E">
        <w:rPr>
          <w:rFonts w:ascii="Arial Narrow" w:hAnsi="Arial Narrow"/>
          <w:sz w:val="22"/>
          <w:szCs w:val="22"/>
        </w:rPr>
        <w:t>, IRAKM, A20, ST2L - these target the adaptor proteins to attenuate TLR signaling. Many are induced over a period of hours after LPS stimulation of monocytes and/or macrophages]; others are expressed constitutively)</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03684E">
        <w:rPr>
          <w:rFonts w:ascii="Arial Narrow" w:hAnsi="Arial Narrow"/>
          <w:sz w:val="22"/>
          <w:szCs w:val="22"/>
        </w:rPr>
        <w:t>Polymorphisms within TLR genes may influence a
patient’s susceptibility to bacterial infection.</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i/>
          <w:sz w:val="22"/>
          <w:szCs w:val="22"/>
        </w:rPr>
      </w:pPr>
      <w:r w:rsidRPr="0003684E">
        <w:rPr>
          <w:rFonts w:ascii="Arial Narrow" w:hAnsi="Arial Narrow"/>
          <w:i/>
          <w:sz w:val="22"/>
          <w:szCs w:val="22"/>
        </w:rPr>
        <w:t>Fungal sepsis:</w:t>
      </w: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Many fungal structures are recognized by TLR4 and TLR2 (and TLR1 and TLR2). Several of these PAMPS are based on the polysaccharides chitin and </w:t>
      </w:r>
      <w:proofErr w:type="spellStart"/>
      <w:r w:rsidRPr="0003684E">
        <w:rPr>
          <w:rFonts w:ascii="Arial Narrow" w:hAnsi="Arial Narrow"/>
          <w:sz w:val="22"/>
          <w:szCs w:val="22"/>
        </w:rPr>
        <w:t>mannan</w:t>
      </w:r>
      <w:proofErr w:type="spellEnd"/>
      <w:r w:rsidRPr="0003684E">
        <w:rPr>
          <w:rFonts w:ascii="Arial Narrow" w:hAnsi="Arial Narrow"/>
          <w:sz w:val="22"/>
          <w:szCs w:val="22"/>
        </w:rPr>
        <w:t xml:space="preserve">. </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i/>
          <w:sz w:val="22"/>
          <w:szCs w:val="22"/>
        </w:rPr>
      </w:pPr>
      <w:r w:rsidRPr="0003684E">
        <w:rPr>
          <w:rFonts w:ascii="Arial Narrow" w:hAnsi="Arial Narrow"/>
          <w:i/>
          <w:sz w:val="22"/>
          <w:szCs w:val="22"/>
        </w:rPr>
        <w:t>Protozoan sepsis:</w:t>
      </w:r>
    </w:p>
    <w:p w:rsidR="00745548" w:rsidRPr="0003684E" w:rsidRDefault="00745548" w:rsidP="00745548">
      <w:pPr>
        <w:rPr>
          <w:rFonts w:ascii="Arial Narrow" w:hAnsi="Arial Narrow"/>
          <w:sz w:val="22"/>
          <w:szCs w:val="22"/>
        </w:rPr>
      </w:pPr>
      <w:r w:rsidRPr="0003684E">
        <w:rPr>
          <w:rFonts w:ascii="Arial Narrow" w:hAnsi="Arial Narrow"/>
          <w:sz w:val="22"/>
          <w:szCs w:val="22"/>
        </w:rPr>
        <w:t>Malaria (</w:t>
      </w:r>
      <w:r w:rsidRPr="0003684E">
        <w:rPr>
          <w:rFonts w:ascii="Arial Narrow" w:hAnsi="Arial Narrow"/>
          <w:i/>
          <w:sz w:val="22"/>
          <w:szCs w:val="22"/>
        </w:rPr>
        <w:t>Plasmodium falciparum</w:t>
      </w:r>
      <w:r w:rsidRPr="0003684E">
        <w:rPr>
          <w:rFonts w:ascii="Arial Narrow" w:hAnsi="Arial Narrow"/>
          <w:sz w:val="22"/>
          <w:szCs w:val="22"/>
        </w:rPr>
        <w:t xml:space="preserve">): TLR2, TLR4, </w:t>
      </w:r>
      <w:commentRangeStart w:id="6"/>
      <w:r w:rsidRPr="0003684E">
        <w:rPr>
          <w:rFonts w:ascii="Arial Narrow" w:hAnsi="Arial Narrow"/>
          <w:sz w:val="22"/>
          <w:szCs w:val="22"/>
        </w:rPr>
        <w:t>TLR9</w:t>
      </w:r>
      <w:commentRangeEnd w:id="6"/>
      <w:r w:rsidRPr="0003684E">
        <w:rPr>
          <w:rStyle w:val="Marquedannotation"/>
          <w:rFonts w:ascii="Arial Narrow" w:hAnsi="Arial Narrow"/>
          <w:sz w:val="22"/>
          <w:szCs w:val="22"/>
        </w:rPr>
        <w:commentReference w:id="6"/>
      </w: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It is possible that </w:t>
      </w:r>
      <w:proofErr w:type="spellStart"/>
      <w:r w:rsidRPr="0003684E">
        <w:rPr>
          <w:rFonts w:ascii="Arial Narrow" w:hAnsi="Arial Narrow"/>
          <w:sz w:val="22"/>
          <w:szCs w:val="22"/>
        </w:rPr>
        <w:t>overactivity</w:t>
      </w:r>
      <w:proofErr w:type="spellEnd"/>
      <w:r w:rsidRPr="0003684E">
        <w:rPr>
          <w:rFonts w:ascii="Arial Narrow" w:hAnsi="Arial Narrow"/>
          <w:sz w:val="22"/>
          <w:szCs w:val="22"/>
        </w:rPr>
        <w:t xml:space="preserve"> of some or all of these TLR
pathways account for the clinically more severe course.</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i/>
          <w:sz w:val="22"/>
          <w:szCs w:val="22"/>
        </w:rPr>
      </w:pPr>
      <w:r w:rsidRPr="0003684E">
        <w:rPr>
          <w:rFonts w:ascii="Arial Narrow" w:hAnsi="Arial Narrow"/>
          <w:i/>
          <w:sz w:val="22"/>
          <w:szCs w:val="22"/>
        </w:rPr>
        <w:t>Viral sepsis:</w:t>
      </w: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TLR2 and TLR4 are expressed on cell surfaces where they </w:t>
      </w:r>
      <w:proofErr w:type="spellStart"/>
      <w:r w:rsidRPr="0003684E">
        <w:rPr>
          <w:rFonts w:ascii="Arial Narrow" w:hAnsi="Arial Narrow"/>
          <w:sz w:val="22"/>
          <w:szCs w:val="22"/>
        </w:rPr>
        <w:t>recognise</w:t>
      </w:r>
      <w:proofErr w:type="spellEnd"/>
      <w:r w:rsidRPr="0003684E">
        <w:rPr>
          <w:rFonts w:ascii="Arial Narrow" w:hAnsi="Arial Narrow"/>
          <w:sz w:val="22"/>
          <w:szCs w:val="22"/>
        </w:rPr>
        <w:t xml:space="preserve"> viral surface proteins on entry
into the cell. By contrast, TLR7, TLR8 and TLR9 are
expressed on endosomes where they encounter viral nucleic
acid after viral </w:t>
      </w:r>
      <w:proofErr w:type="spellStart"/>
      <w:r w:rsidRPr="0003684E">
        <w:rPr>
          <w:rFonts w:ascii="Arial Narrow" w:hAnsi="Arial Narrow"/>
          <w:sz w:val="22"/>
          <w:szCs w:val="22"/>
        </w:rPr>
        <w:t>uncoating</w:t>
      </w:r>
      <w:proofErr w:type="spellEnd"/>
      <w:r w:rsidRPr="0003684E">
        <w:rPr>
          <w:rFonts w:ascii="Arial Narrow" w:hAnsi="Arial Narrow"/>
          <w:sz w:val="22"/>
          <w:szCs w:val="22"/>
        </w:rPr>
        <w:t xml:space="preserve">. Thus, viral PAMPS activate a
number of TLR either intra or extracellular. </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sidRPr="0003684E">
        <w:rPr>
          <w:rFonts w:ascii="Arial Narrow" w:hAnsi="Arial Narrow"/>
          <w:sz w:val="22"/>
          <w:szCs w:val="22"/>
        </w:rPr>
        <w:t xml:space="preserve">Responses also
vary according to host cell type, with RIG-1 being important after infection of conventional dendritic cells and
fibroblasts by </w:t>
      </w:r>
      <w:proofErr w:type="spellStart"/>
      <w:r w:rsidRPr="0003684E">
        <w:rPr>
          <w:rFonts w:ascii="Arial Narrow" w:hAnsi="Arial Narrow"/>
          <w:sz w:val="22"/>
          <w:szCs w:val="22"/>
        </w:rPr>
        <w:t>RNAviruses</w:t>
      </w:r>
      <w:proofErr w:type="spellEnd"/>
      <w:r w:rsidRPr="0003684E">
        <w:rPr>
          <w:rFonts w:ascii="Arial Narrow" w:hAnsi="Arial Narrow"/>
          <w:sz w:val="22"/>
          <w:szCs w:val="22"/>
        </w:rPr>
        <w:t xml:space="preserve">, whereas TLRs are more critical
in </w:t>
      </w:r>
      <w:proofErr w:type="spellStart"/>
      <w:r w:rsidRPr="0003684E">
        <w:rPr>
          <w:rFonts w:ascii="Arial Narrow" w:hAnsi="Arial Narrow"/>
          <w:sz w:val="22"/>
          <w:szCs w:val="22"/>
        </w:rPr>
        <w:t>plasmacytoid</w:t>
      </w:r>
      <w:proofErr w:type="spellEnd"/>
      <w:r w:rsidRPr="0003684E">
        <w:rPr>
          <w:rFonts w:ascii="Arial Narrow" w:hAnsi="Arial Narrow"/>
          <w:sz w:val="22"/>
          <w:szCs w:val="22"/>
        </w:rPr>
        <w:t xml:space="preserve"> dendritic cells in blood. The various
TLR, RIG-1 and NOD cascades converge on the induction
of type I </w:t>
      </w:r>
      <w:proofErr w:type="spellStart"/>
      <w:r w:rsidRPr="0003684E">
        <w:rPr>
          <w:rFonts w:ascii="Arial Narrow" w:hAnsi="Arial Narrow"/>
          <w:sz w:val="22"/>
          <w:szCs w:val="22"/>
        </w:rPr>
        <w:t>interferons</w:t>
      </w:r>
      <w:proofErr w:type="spellEnd"/>
      <w:r w:rsidRPr="0003684E">
        <w:rPr>
          <w:rFonts w:ascii="Arial Narrow" w:hAnsi="Arial Narrow"/>
          <w:sz w:val="22"/>
          <w:szCs w:val="22"/>
        </w:rPr>
        <w:t xml:space="preserve"> and other cytokines that mediate
antiviral </w:t>
      </w:r>
      <w:proofErr w:type="spellStart"/>
      <w:r w:rsidRPr="0003684E">
        <w:rPr>
          <w:rFonts w:ascii="Arial Narrow" w:hAnsi="Arial Narrow"/>
          <w:sz w:val="22"/>
          <w:szCs w:val="22"/>
        </w:rPr>
        <w:t>defences</w:t>
      </w:r>
      <w:proofErr w:type="spellEnd"/>
      <w:r w:rsidRPr="0003684E">
        <w:rPr>
          <w:rFonts w:ascii="Arial Narrow" w:hAnsi="Arial Narrow"/>
          <w:sz w:val="22"/>
          <w:szCs w:val="22"/>
        </w:rPr>
        <w:t>.</w:t>
      </w:r>
    </w:p>
    <w:p w:rsidR="00745548" w:rsidRPr="0003684E" w:rsidRDefault="00745548" w:rsidP="00745548">
      <w:pPr>
        <w:rPr>
          <w:rFonts w:ascii="Arial Narrow" w:hAnsi="Arial Narrow"/>
          <w:sz w:val="22"/>
          <w:szCs w:val="22"/>
        </w:rPr>
      </w:pPr>
    </w:p>
    <w:p w:rsidR="00745548" w:rsidRPr="0003684E" w:rsidRDefault="00745548" w:rsidP="00745548">
      <w:pPr>
        <w:rPr>
          <w:rFonts w:ascii="Arial Narrow" w:hAnsi="Arial Narrow"/>
          <w:sz w:val="22"/>
          <w:szCs w:val="22"/>
        </w:rPr>
      </w:pPr>
      <w:r>
        <w:rPr>
          <w:rFonts w:ascii="Arial Narrow" w:hAnsi="Arial Narrow"/>
          <w:sz w:val="22"/>
          <w:szCs w:val="22"/>
        </w:rPr>
        <w:t xml:space="preserve">
TLR3 is unique in func</w:t>
      </w:r>
      <w:r w:rsidRPr="0003684E">
        <w:rPr>
          <w:rFonts w:ascii="Arial Narrow" w:hAnsi="Arial Narrow"/>
          <w:sz w:val="22"/>
          <w:szCs w:val="22"/>
        </w:rPr>
        <w:t>tioning independently from the adaptor protein MyD88 and
using only TIR-domain-containing adapter-inducing inter-</w:t>
      </w:r>
      <w:proofErr w:type="spellStart"/>
      <w:r w:rsidRPr="0003684E">
        <w:rPr>
          <w:rFonts w:ascii="Arial Narrow" w:hAnsi="Arial Narrow"/>
          <w:sz w:val="22"/>
          <w:szCs w:val="22"/>
        </w:rPr>
        <w:t>feron</w:t>
      </w:r>
      <w:proofErr w:type="spellEnd"/>
      <w:r w:rsidRPr="0003684E">
        <w:rPr>
          <w:rFonts w:ascii="Arial Narrow" w:hAnsi="Arial Narrow"/>
          <w:sz w:val="22"/>
          <w:szCs w:val="22"/>
        </w:rPr>
        <w:t xml:space="preserve">-β (TRIF) instead. TRIF is also used by TLR4, and
this may account for some of the similarities observed
between the pathophysiology of severe systemic viral </w:t>
      </w:r>
      <w:proofErr w:type="spellStart"/>
      <w:r w:rsidRPr="0003684E">
        <w:rPr>
          <w:rFonts w:ascii="Arial Narrow" w:hAnsi="Arial Narrow"/>
          <w:sz w:val="22"/>
          <w:szCs w:val="22"/>
        </w:rPr>
        <w:t>infec-tion</w:t>
      </w:r>
      <w:proofErr w:type="spellEnd"/>
      <w:r w:rsidRPr="0003684E">
        <w:rPr>
          <w:rFonts w:ascii="Arial Narrow" w:hAnsi="Arial Narrow"/>
          <w:sz w:val="22"/>
          <w:szCs w:val="22"/>
        </w:rPr>
        <w:t xml:space="preserve"> and that of the inflammatory response to LPS</w:t>
      </w:r>
    </w:p>
    <w:p w:rsidR="00745548" w:rsidRPr="0003684E" w:rsidRDefault="00745548" w:rsidP="00745548">
      <w:pPr>
        <w:rPr>
          <w:rFonts w:ascii="Arial Narrow" w:hAnsi="Arial Narrow"/>
          <w:sz w:val="22"/>
          <w:szCs w:val="22"/>
        </w:rPr>
      </w:pPr>
    </w:p>
    <w:p w:rsidR="00745548" w:rsidRDefault="00745548" w:rsidP="00745548">
      <w:pPr>
        <w:rPr>
          <w:rFonts w:ascii="Arial Narrow" w:hAnsi="Arial Narrow"/>
          <w:sz w:val="22"/>
          <w:szCs w:val="22"/>
        </w:rPr>
      </w:pPr>
      <w:r w:rsidRPr="0003684E">
        <w:rPr>
          <w:rFonts w:ascii="Arial Narrow" w:hAnsi="Arial Narrow"/>
          <w:sz w:val="22"/>
          <w:szCs w:val="22"/>
        </w:rPr>
        <w:t xml:space="preserve">
Viral proteins may exploit or disable TLR for their own
benefit to gain cell entry or replicate.</w:t>
      </w:r>
    </w:p>
    <w:p w:rsidR="00745548" w:rsidRDefault="00745548" w:rsidP="00745548">
      <w:pPr>
        <w:rPr>
          <w:rFonts w:ascii="Arial Narrow" w:hAnsi="Arial Narrow"/>
          <w:sz w:val="22"/>
          <w:szCs w:val="22"/>
        </w:rPr>
      </w:pPr>
    </w:p>
    <w:p w:rsidR="00745548" w:rsidRDefault="00745548" w:rsidP="00745548">
      <w:pPr>
        <w:rPr>
          <w:rFonts w:ascii="Arial Narrow" w:hAnsi="Arial Narrow"/>
          <w:sz w:val="22"/>
          <w:szCs w:val="22"/>
        </w:rPr>
      </w:pPr>
      <w:r>
        <w:rPr>
          <w:rFonts w:ascii="Arial Narrow" w:hAnsi="Arial Narrow"/>
          <w:sz w:val="22"/>
          <w:szCs w:val="22"/>
        </w:rPr>
        <w:t>Therapeutic opportunities</w:t>
      </w:r>
    </w:p>
    <w:p w:rsidR="00745548" w:rsidRDefault="00745548" w:rsidP="00745548">
      <w:pPr>
        <w:rPr>
          <w:rFonts w:ascii="Arial Narrow" w:hAnsi="Arial Narrow"/>
          <w:sz w:val="22"/>
          <w:szCs w:val="22"/>
        </w:rPr>
      </w:pPr>
    </w:p>
    <w:p w:rsidR="00745548" w:rsidRDefault="00745548" w:rsidP="00745548">
      <w:pPr>
        <w:rPr>
          <w:rFonts w:ascii="Arial Narrow" w:hAnsi="Arial Narrow"/>
          <w:sz w:val="22"/>
          <w:szCs w:val="22"/>
        </w:rPr>
      </w:pPr>
      <w:r w:rsidRPr="0095326D">
        <w:rPr>
          <w:rFonts w:ascii="Arial Narrow" w:hAnsi="Arial Narrow"/>
          <w:sz w:val="22"/>
          <w:szCs w:val="22"/>
        </w:rPr>
        <w:t>Targeting single
cytokines such as TNF-α or IL-1</w:t>
      </w:r>
      <w:r>
        <w:rPr>
          <w:rFonts w:ascii="Arial Narrow" w:hAnsi="Arial Narrow"/>
          <w:sz w:val="22"/>
          <w:szCs w:val="22"/>
        </w:rPr>
        <w:t xml:space="preserve"> has not been effective</w:t>
      </w:r>
      <w:r w:rsidRPr="0095326D">
        <w:rPr>
          <w:rFonts w:ascii="Arial Narrow" w:hAnsi="Arial Narrow"/>
          <w:sz w:val="22"/>
          <w:szCs w:val="22"/>
        </w:rPr>
        <w:t>. By contrast, supra-physiological doses of recombinant
activated protein C (</w:t>
      </w:r>
      <w:proofErr w:type="spellStart"/>
      <w:r w:rsidRPr="0095326D">
        <w:rPr>
          <w:rFonts w:ascii="Arial Narrow" w:hAnsi="Arial Narrow"/>
          <w:sz w:val="22"/>
          <w:szCs w:val="22"/>
        </w:rPr>
        <w:t>drotecogin</w:t>
      </w:r>
      <w:proofErr w:type="spellEnd"/>
      <w:r w:rsidRPr="0095326D">
        <w:rPr>
          <w:rFonts w:ascii="Arial Narrow" w:hAnsi="Arial Narrow"/>
          <w:sz w:val="22"/>
          <w:szCs w:val="22"/>
        </w:rPr>
        <w:t xml:space="preserve"> </w:t>
      </w:r>
      <w:proofErr w:type="spellStart"/>
      <w:r w:rsidRPr="0095326D">
        <w:rPr>
          <w:rFonts w:ascii="Arial Narrow" w:hAnsi="Arial Narrow"/>
          <w:sz w:val="22"/>
          <w:szCs w:val="22"/>
        </w:rPr>
        <w:t>alfa</w:t>
      </w:r>
      <w:proofErr w:type="spellEnd"/>
      <w:r w:rsidRPr="0095326D">
        <w:rPr>
          <w:rFonts w:ascii="Arial Narrow" w:hAnsi="Arial Narrow"/>
          <w:sz w:val="22"/>
          <w:szCs w:val="22"/>
        </w:rPr>
        <w:t>, Eli Lilly) have been
shown to reduce mortality, possibly because its effect is
directed proximally in the inflammatory process and at a
point on a positive feedback loop.</w:t>
      </w:r>
    </w:p>
    <w:p w:rsidR="00745548" w:rsidRDefault="00745548" w:rsidP="00745548">
      <w:pPr>
        <w:rPr>
          <w:rFonts w:ascii="Arial Narrow" w:hAnsi="Arial Narrow"/>
          <w:sz w:val="22"/>
          <w:szCs w:val="22"/>
        </w:rPr>
      </w:pPr>
    </w:p>
    <w:p w:rsidR="00745548" w:rsidRDefault="00745548" w:rsidP="00745548">
      <w:pPr>
        <w:rPr>
          <w:rFonts w:ascii="Arial Narrow" w:hAnsi="Arial Narrow"/>
          <w:sz w:val="22"/>
          <w:szCs w:val="22"/>
        </w:rPr>
      </w:pPr>
      <w:r>
        <w:rPr>
          <w:rFonts w:ascii="Arial Narrow" w:hAnsi="Arial Narrow"/>
          <w:sz w:val="22"/>
          <w:szCs w:val="22"/>
        </w:rPr>
        <w:t xml:space="preserve">INHIBITION: </w:t>
      </w:r>
      <w:r w:rsidRPr="0095326D">
        <w:rPr>
          <w:rFonts w:ascii="Arial Narrow" w:hAnsi="Arial Narrow"/>
          <w:sz w:val="22"/>
          <w:szCs w:val="22"/>
        </w:rPr>
        <w:t xml:space="preserve">
Possible approaches include
the advent of small molecules that can block pro</w:t>
      </w:r>
      <w:r>
        <w:rPr>
          <w:rFonts w:ascii="Arial Narrow" w:hAnsi="Arial Narrow"/>
          <w:sz w:val="22"/>
          <w:szCs w:val="22"/>
        </w:rPr>
        <w:t>tein–
protein interactions,</w:t>
      </w:r>
      <w:r w:rsidRPr="0095326D">
        <w:rPr>
          <w:rFonts w:ascii="Arial Narrow" w:hAnsi="Arial Narrow"/>
          <w:sz w:val="22"/>
          <w:szCs w:val="22"/>
        </w:rPr>
        <w:t xml:space="preserve"> the use of monoclonal antibodies
against TLR or augment</w:t>
      </w:r>
      <w:r>
        <w:rPr>
          <w:rFonts w:ascii="Arial Narrow" w:hAnsi="Arial Narrow"/>
          <w:sz w:val="22"/>
          <w:szCs w:val="22"/>
        </w:rPr>
        <w:t>ing endogenous inhibitory mecha</w:t>
      </w:r>
      <w:r w:rsidRPr="0095326D">
        <w:rPr>
          <w:rFonts w:ascii="Arial Narrow" w:hAnsi="Arial Narrow"/>
          <w:sz w:val="22"/>
          <w:szCs w:val="22"/>
        </w:rPr>
        <w:t>nisms</w:t>
      </w:r>
    </w:p>
    <w:p w:rsidR="00745548" w:rsidRDefault="00745548" w:rsidP="00745548">
      <w:pPr>
        <w:rPr>
          <w:rFonts w:ascii="Arial Narrow" w:hAnsi="Arial Narrow"/>
          <w:sz w:val="22"/>
          <w:szCs w:val="22"/>
        </w:rPr>
      </w:pPr>
    </w:p>
    <w:p w:rsidR="00745548" w:rsidRDefault="00745548" w:rsidP="00745548">
      <w:pPr>
        <w:rPr>
          <w:rFonts w:ascii="Arial Narrow" w:hAnsi="Arial Narrow"/>
          <w:sz w:val="22"/>
          <w:szCs w:val="22"/>
        </w:rPr>
      </w:pPr>
      <w:r>
        <w:rPr>
          <w:rFonts w:ascii="Arial Narrow" w:hAnsi="Arial Narrow"/>
          <w:sz w:val="22"/>
          <w:szCs w:val="22"/>
        </w:rPr>
        <w:t xml:space="preserve">AUGMENTATION: </w:t>
      </w:r>
      <w:r w:rsidRPr="0095326D">
        <w:rPr>
          <w:rFonts w:ascii="Arial Narrow" w:hAnsi="Arial Narrow"/>
          <w:sz w:val="22"/>
          <w:szCs w:val="22"/>
        </w:rPr>
        <w:t xml:space="preserve">It has been proposed that activating TLR </w:t>
      </w:r>
      <w:proofErr w:type="spellStart"/>
      <w:r w:rsidRPr="0095326D">
        <w:rPr>
          <w:rFonts w:ascii="Arial Narrow" w:hAnsi="Arial Narrow"/>
          <w:sz w:val="22"/>
          <w:szCs w:val="22"/>
        </w:rPr>
        <w:t>signalling</w:t>
      </w:r>
      <w:proofErr w:type="spellEnd"/>
      <w:r w:rsidRPr="0095326D">
        <w:rPr>
          <w:rFonts w:ascii="Arial Narrow" w:hAnsi="Arial Narrow"/>
          <w:sz w:val="22"/>
          <w:szCs w:val="22"/>
        </w:rPr>
        <w:t xml:space="preserve"> may
help in situations where mic</w:t>
      </w:r>
      <w:r>
        <w:rPr>
          <w:rFonts w:ascii="Arial Narrow" w:hAnsi="Arial Narrow"/>
          <w:sz w:val="22"/>
          <w:szCs w:val="22"/>
        </w:rPr>
        <w:t>robial infection appears to cir</w:t>
      </w:r>
      <w:r w:rsidRPr="0095326D">
        <w:rPr>
          <w:rFonts w:ascii="Arial Narrow" w:hAnsi="Arial Narrow"/>
          <w:sz w:val="22"/>
          <w:szCs w:val="22"/>
        </w:rPr>
        <w:t>cumvent the immune system and enter a phase of chronic
sepsis. It is possible in this setting that the TLR activation
and the subsequent immune response was inadequate on
initial infection.</w:t>
      </w:r>
      <w:r>
        <w:rPr>
          <w:rFonts w:ascii="Arial Narrow" w:hAnsi="Arial Narrow"/>
          <w:sz w:val="22"/>
          <w:szCs w:val="22"/>
        </w:rPr>
        <w:t xml:space="preserve"> </w:t>
      </w:r>
      <w:r w:rsidRPr="00FD7B36">
        <w:rPr>
          <w:rFonts w:ascii="Arial Narrow" w:hAnsi="Arial Narrow"/>
          <w:sz w:val="22"/>
          <w:szCs w:val="22"/>
        </w:rPr>
        <w:t xml:space="preserve">
Moreover, some patients, often those who have
been admitted for a prolonged time, appear to develop
an </w:t>
      </w:r>
      <w:proofErr w:type="spellStart"/>
      <w:r w:rsidRPr="00FD7B36">
        <w:rPr>
          <w:rFonts w:ascii="Arial Narrow" w:hAnsi="Arial Narrow"/>
          <w:sz w:val="22"/>
          <w:szCs w:val="22"/>
        </w:rPr>
        <w:t>anergy</w:t>
      </w:r>
      <w:proofErr w:type="spellEnd"/>
      <w:r w:rsidRPr="00FD7B36">
        <w:rPr>
          <w:rFonts w:ascii="Arial Narrow" w:hAnsi="Arial Narrow"/>
          <w:sz w:val="22"/>
          <w:szCs w:val="22"/>
        </w:rPr>
        <w:t xml:space="preserve"> to new infectious stimuli. This has been termed
the compensatory anti-inflammatory response syndrome.</w:t>
      </w:r>
      <w:r>
        <w:rPr>
          <w:rFonts w:ascii="Arial Narrow" w:hAnsi="Arial Narrow"/>
          <w:sz w:val="22"/>
          <w:szCs w:val="22"/>
        </w:rPr>
        <w:t xml:space="preserve"> 
C</w:t>
      </w:r>
      <w:r w:rsidRPr="00FD7B36">
        <w:rPr>
          <w:rFonts w:ascii="Arial Narrow" w:hAnsi="Arial Narrow"/>
          <w:sz w:val="22"/>
          <w:szCs w:val="22"/>
        </w:rPr>
        <w:t>onsiderable interest has
focused on the use of TLR agonists as adjuvants to increase
the efficacy of vaccines.</w:t>
      </w:r>
    </w:p>
    <w:p w:rsidR="00745548" w:rsidRDefault="00745548" w:rsidP="00745548">
      <w:pPr>
        <w:rPr>
          <w:rFonts w:ascii="Arial Narrow" w:hAnsi="Arial Narrow"/>
          <w:sz w:val="22"/>
          <w:szCs w:val="22"/>
        </w:rPr>
      </w:pPr>
    </w:p>
    <w:tbl>
      <w:tblPr>
        <w:tblStyle w:val="Grille"/>
        <w:tblW w:w="0" w:type="auto"/>
        <w:tblLook w:val="04A0" w:firstRow="1" w:lastRow="0" w:firstColumn="1" w:lastColumn="0" w:noHBand="0" w:noVBand="1"/>
      </w:tblPr>
      <w:tblGrid>
        <w:gridCol w:w="4750"/>
        <w:gridCol w:w="4750"/>
      </w:tblGrid>
      <w:tr w:rsidR="00745548" w:rsidTr="00745548">
        <w:tc>
          <w:tcPr>
            <w:tcW w:w="4750" w:type="dxa"/>
          </w:tcPr>
          <w:p w:rsidR="00745548" w:rsidRDefault="00745548" w:rsidP="00745548">
            <w:pPr>
              <w:rPr>
                <w:rFonts w:ascii="Arial Narrow" w:hAnsi="Arial Narrow"/>
                <w:sz w:val="22"/>
                <w:szCs w:val="22"/>
              </w:rPr>
            </w:pPr>
            <w:r>
              <w:rPr>
                <w:rFonts w:ascii="Arial Narrow" w:hAnsi="Arial Narrow"/>
                <w:sz w:val="22"/>
                <w:szCs w:val="22"/>
              </w:rPr>
              <w:t>INHIBITION of TLR signaling</w:t>
            </w:r>
          </w:p>
        </w:tc>
        <w:tc>
          <w:tcPr>
            <w:tcW w:w="4750" w:type="dxa"/>
          </w:tcPr>
          <w:p w:rsidR="00745548" w:rsidRDefault="00745548" w:rsidP="00745548">
            <w:pPr>
              <w:rPr>
                <w:rFonts w:ascii="Arial Narrow" w:hAnsi="Arial Narrow"/>
                <w:sz w:val="22"/>
                <w:szCs w:val="22"/>
              </w:rPr>
            </w:pPr>
            <w:r>
              <w:rPr>
                <w:rFonts w:ascii="Arial Narrow" w:hAnsi="Arial Narrow"/>
                <w:sz w:val="22"/>
                <w:szCs w:val="22"/>
              </w:rPr>
              <w:t>AUGMENTATION of TLR signaling</w:t>
            </w:r>
          </w:p>
        </w:tc>
      </w:tr>
      <w:tr w:rsidR="00745548" w:rsidTr="00745548">
        <w:tc>
          <w:tcPr>
            <w:tcW w:w="4750" w:type="dxa"/>
          </w:tcPr>
          <w:p w:rsidR="00745548" w:rsidRDefault="00745548" w:rsidP="00745548">
            <w:pPr>
              <w:rPr>
                <w:rFonts w:ascii="Arial Narrow" w:hAnsi="Arial Narrow"/>
                <w:sz w:val="22"/>
                <w:szCs w:val="22"/>
              </w:rPr>
            </w:pPr>
            <w:r w:rsidRPr="0095326D">
              <w:rPr>
                <w:rFonts w:ascii="Arial Narrow" w:hAnsi="Arial Narrow"/>
                <w:sz w:val="22"/>
                <w:szCs w:val="22"/>
              </w:rPr>
              <w:t xml:space="preserve">
TAK242 is a novel small molecule antagonist that sup-presses production of nitric oxide, IL-1β, IL-6 and TNF-α
by human blood mononuclear cells in response to LPS</w:t>
            </w:r>
            <w:r>
              <w:rPr>
                <w:rFonts w:ascii="Arial Narrow" w:hAnsi="Arial Narrow"/>
                <w:sz w:val="22"/>
                <w:szCs w:val="22"/>
              </w:rPr>
              <w:t xml:space="preserve"> - </w:t>
            </w:r>
            <w:r w:rsidRPr="0095326D">
              <w:rPr>
                <w:rFonts w:ascii="Arial Narrow" w:hAnsi="Arial Narrow"/>
                <w:sz w:val="22"/>
                <w:szCs w:val="22"/>
              </w:rPr>
              <w:t xml:space="preserve">
it is likely that TAK242 acts very proximally
and selectively on the TLR4 pathway.</w:t>
            </w:r>
          </w:p>
        </w:tc>
        <w:tc>
          <w:tcPr>
            <w:tcW w:w="4750" w:type="dxa"/>
          </w:tcPr>
          <w:p w:rsidR="00745548" w:rsidRDefault="00745548" w:rsidP="00745548">
            <w:pPr>
              <w:rPr>
                <w:rFonts w:ascii="Arial Narrow" w:hAnsi="Arial Narrow"/>
                <w:sz w:val="22"/>
                <w:szCs w:val="22"/>
              </w:rPr>
            </w:pPr>
            <w:r w:rsidRPr="00FD7B36">
              <w:rPr>
                <w:rFonts w:ascii="Arial Narrow" w:hAnsi="Arial Narrow"/>
                <w:sz w:val="22"/>
                <w:szCs w:val="22"/>
              </w:rPr>
              <w:t xml:space="preserve">
TLR3 agonists such as the synthetic compound Po</w:t>
            </w:r>
            <w:r>
              <w:rPr>
                <w:rFonts w:ascii="Arial Narrow" w:hAnsi="Arial Narrow"/>
                <w:sz w:val="22"/>
                <w:szCs w:val="22"/>
              </w:rPr>
              <w:t>ly
I</w:t>
            </w:r>
            <w:proofErr w:type="gramStart"/>
            <w:r>
              <w:rPr>
                <w:rFonts w:ascii="Arial Narrow" w:hAnsi="Arial Narrow"/>
                <w:sz w:val="22"/>
                <w:szCs w:val="22"/>
              </w:rPr>
              <w:t>:C</w:t>
            </w:r>
            <w:proofErr w:type="gramEnd"/>
            <w:r>
              <w:rPr>
                <w:rFonts w:ascii="Arial Narrow" w:hAnsi="Arial Narrow"/>
                <w:sz w:val="22"/>
                <w:szCs w:val="22"/>
              </w:rPr>
              <w:t xml:space="preserve"> </w:t>
            </w:r>
            <w:r w:rsidRPr="00FD7B36">
              <w:rPr>
                <w:rFonts w:ascii="Arial Narrow" w:hAnsi="Arial Narrow"/>
                <w:sz w:val="22"/>
                <w:szCs w:val="22"/>
              </w:rPr>
              <w:t xml:space="preserve">may </w:t>
            </w:r>
            <w:proofErr w:type="spellStart"/>
            <w:r w:rsidRPr="00FD7B36">
              <w:rPr>
                <w:rFonts w:ascii="Arial Narrow" w:hAnsi="Arial Narrow"/>
                <w:sz w:val="22"/>
                <w:szCs w:val="22"/>
              </w:rPr>
              <w:t>hav</w:t>
            </w:r>
            <w:r>
              <w:rPr>
                <w:rFonts w:ascii="Arial Narrow" w:hAnsi="Arial Narrow"/>
                <w:sz w:val="22"/>
                <w:szCs w:val="22"/>
              </w:rPr>
              <w:t>T</w:t>
            </w:r>
            <w:r w:rsidRPr="00FD7B36">
              <w:rPr>
                <w:rFonts w:ascii="Arial Narrow" w:hAnsi="Arial Narrow"/>
                <w:sz w:val="22"/>
                <w:szCs w:val="22"/>
              </w:rPr>
              <w:t>e</w:t>
            </w:r>
            <w:proofErr w:type="spellEnd"/>
            <w:r w:rsidRPr="00FD7B36">
              <w:rPr>
                <w:rFonts w:ascii="Arial Narrow" w:hAnsi="Arial Narrow"/>
                <w:sz w:val="22"/>
                <w:szCs w:val="22"/>
              </w:rPr>
              <w:t xml:space="preserve"> a role in the treatment of genital herpes
infections caused by herpes simplex virus 2 (HSV-2). Indeed,
local application of </w:t>
            </w:r>
            <w:proofErr w:type="spellStart"/>
            <w:r w:rsidRPr="00FD7B36">
              <w:rPr>
                <w:rFonts w:ascii="Arial Narrow" w:hAnsi="Arial Narrow"/>
                <w:sz w:val="22"/>
                <w:szCs w:val="22"/>
              </w:rPr>
              <w:t>PolyI</w:t>
            </w:r>
            <w:proofErr w:type="gramStart"/>
            <w:r w:rsidRPr="00FD7B36">
              <w:rPr>
                <w:rFonts w:ascii="Arial Narrow" w:hAnsi="Arial Narrow"/>
                <w:sz w:val="22"/>
                <w:szCs w:val="22"/>
              </w:rPr>
              <w:t>:C</w:t>
            </w:r>
            <w:proofErr w:type="spellEnd"/>
            <w:proofErr w:type="gramEnd"/>
            <w:r w:rsidRPr="00FD7B36">
              <w:rPr>
                <w:rFonts w:ascii="Arial Narrow" w:hAnsi="Arial Narrow"/>
                <w:sz w:val="22"/>
                <w:szCs w:val="22"/>
              </w:rPr>
              <w:t xml:space="preserve"> provided protection against
genital Herp</w:t>
            </w:r>
            <w:r>
              <w:rPr>
                <w:rFonts w:ascii="Arial Narrow" w:hAnsi="Arial Narrow"/>
                <w:sz w:val="22"/>
                <w:szCs w:val="22"/>
              </w:rPr>
              <w:t>es simplex virus 2 in mice</w:t>
            </w:r>
            <w:r w:rsidRPr="00FD7B36">
              <w:rPr>
                <w:rFonts w:ascii="Arial Narrow" w:hAnsi="Arial Narrow"/>
                <w:sz w:val="22"/>
                <w:szCs w:val="22"/>
              </w:rPr>
              <w:t>. Unfortunately,
toxicity limits its clinical use</w:t>
            </w:r>
          </w:p>
        </w:tc>
      </w:tr>
      <w:tr w:rsidR="00745548" w:rsidTr="00745548">
        <w:tc>
          <w:tcPr>
            <w:tcW w:w="4750" w:type="dxa"/>
          </w:tcPr>
          <w:p w:rsidR="00745548" w:rsidRDefault="00745548" w:rsidP="00745548">
            <w:pPr>
              <w:rPr>
                <w:rFonts w:ascii="Arial Narrow" w:hAnsi="Arial Narrow"/>
                <w:sz w:val="22"/>
                <w:szCs w:val="22"/>
              </w:rPr>
            </w:pPr>
            <w:r w:rsidRPr="0095326D">
              <w:rPr>
                <w:rFonts w:ascii="Arial Narrow" w:hAnsi="Arial Narrow"/>
                <w:sz w:val="22"/>
                <w:szCs w:val="22"/>
              </w:rPr>
              <w:t xml:space="preserve">
E5564, or </w:t>
            </w:r>
            <w:proofErr w:type="spellStart"/>
            <w:r w:rsidRPr="0095326D">
              <w:rPr>
                <w:rFonts w:ascii="Arial Narrow" w:hAnsi="Arial Narrow"/>
                <w:sz w:val="22"/>
                <w:szCs w:val="22"/>
              </w:rPr>
              <w:t>Eritotran</w:t>
            </w:r>
            <w:proofErr w:type="spellEnd"/>
            <w:r w:rsidRPr="0095326D">
              <w:rPr>
                <w:rFonts w:ascii="Arial Narrow" w:hAnsi="Arial Narrow"/>
                <w:sz w:val="22"/>
                <w:szCs w:val="22"/>
              </w:rPr>
              <w:t xml:space="preserve">, is a synthetic </w:t>
            </w:r>
            <w:proofErr w:type="spellStart"/>
            <w:r w:rsidRPr="0095326D">
              <w:rPr>
                <w:rFonts w:ascii="Arial Narrow" w:hAnsi="Arial Narrow"/>
                <w:sz w:val="22"/>
                <w:szCs w:val="22"/>
              </w:rPr>
              <w:t>lipodisaccharide</w:t>
            </w:r>
            <w:proofErr w:type="spellEnd"/>
            <w:r w:rsidRPr="0095326D">
              <w:rPr>
                <w:rFonts w:ascii="Arial Narrow" w:hAnsi="Arial Narrow"/>
                <w:sz w:val="22"/>
                <w:szCs w:val="22"/>
              </w:rPr>
              <w:t xml:space="preserve"> that
</w:t>
            </w:r>
            <w:proofErr w:type="spellStart"/>
            <w:r w:rsidRPr="0095326D">
              <w:rPr>
                <w:rFonts w:ascii="Arial Narrow" w:hAnsi="Arial Narrow"/>
                <w:sz w:val="22"/>
                <w:szCs w:val="22"/>
              </w:rPr>
              <w:t>antagonis</w:t>
            </w:r>
            <w:r>
              <w:rPr>
                <w:rFonts w:ascii="Arial Narrow" w:hAnsi="Arial Narrow"/>
                <w:sz w:val="22"/>
                <w:szCs w:val="22"/>
              </w:rPr>
              <w:t>es</w:t>
            </w:r>
            <w:proofErr w:type="spellEnd"/>
            <w:r>
              <w:rPr>
                <w:rFonts w:ascii="Arial Narrow" w:hAnsi="Arial Narrow"/>
                <w:sz w:val="22"/>
                <w:szCs w:val="22"/>
              </w:rPr>
              <w:t xml:space="preserve"> the effects of endotoxin</w:t>
            </w:r>
            <w:r w:rsidRPr="0095326D">
              <w:rPr>
                <w:rFonts w:ascii="Arial Narrow" w:hAnsi="Arial Narrow"/>
                <w:sz w:val="22"/>
                <w:szCs w:val="22"/>
              </w:rPr>
              <w:t>. Specifically, it
reduces the release of TNF</w:t>
            </w:r>
            <w:r>
              <w:rPr>
                <w:rFonts w:ascii="Arial Narrow" w:hAnsi="Arial Narrow"/>
                <w:sz w:val="22"/>
                <w:szCs w:val="22"/>
              </w:rPr>
              <w:t>-α, IL-1β, IL-6, IL-8 and IL-10</w:t>
            </w:r>
            <w:r w:rsidRPr="0095326D">
              <w:rPr>
                <w:rFonts w:ascii="Arial Narrow" w:hAnsi="Arial Narrow"/>
                <w:sz w:val="22"/>
                <w:szCs w:val="22"/>
              </w:rPr>
              <w:t>.</w:t>
            </w:r>
          </w:p>
        </w:tc>
        <w:tc>
          <w:tcPr>
            <w:tcW w:w="4750" w:type="dxa"/>
          </w:tcPr>
          <w:p w:rsidR="00745548" w:rsidRDefault="00745548" w:rsidP="00745548">
            <w:pPr>
              <w:rPr>
                <w:rFonts w:ascii="Arial Narrow" w:hAnsi="Arial Narrow"/>
                <w:sz w:val="22"/>
                <w:szCs w:val="22"/>
              </w:rPr>
            </w:pPr>
            <w:r w:rsidRPr="00FD7B36">
              <w:rPr>
                <w:rFonts w:ascii="Arial Narrow" w:hAnsi="Arial Narrow"/>
                <w:sz w:val="22"/>
                <w:szCs w:val="22"/>
              </w:rPr>
              <w:t xml:space="preserve">
The </w:t>
            </w:r>
            <w:proofErr w:type="spellStart"/>
            <w:r w:rsidRPr="00FD7B36">
              <w:rPr>
                <w:rFonts w:ascii="Arial Narrow" w:hAnsi="Arial Narrow"/>
                <w:sz w:val="22"/>
                <w:szCs w:val="22"/>
              </w:rPr>
              <w:t>imidazoquinoline</w:t>
            </w:r>
            <w:proofErr w:type="spellEnd"/>
            <w:r w:rsidRPr="00FD7B36">
              <w:rPr>
                <w:rFonts w:ascii="Arial Narrow" w:hAnsi="Arial Narrow"/>
                <w:sz w:val="22"/>
                <w:szCs w:val="22"/>
              </w:rPr>
              <w:t xml:space="preserve"> drugs, </w:t>
            </w:r>
            <w:proofErr w:type="spellStart"/>
            <w:r w:rsidRPr="00FD7B36">
              <w:rPr>
                <w:rFonts w:ascii="Arial Narrow" w:hAnsi="Arial Narrow"/>
                <w:sz w:val="22"/>
                <w:szCs w:val="22"/>
              </w:rPr>
              <w:t>imiquimod</w:t>
            </w:r>
            <w:proofErr w:type="spellEnd"/>
            <w:r w:rsidRPr="00FD7B36">
              <w:rPr>
                <w:rFonts w:ascii="Arial Narrow" w:hAnsi="Arial Narrow"/>
                <w:sz w:val="22"/>
                <w:szCs w:val="22"/>
              </w:rPr>
              <w:t xml:space="preserve"> and </w:t>
            </w:r>
            <w:proofErr w:type="spellStart"/>
            <w:r w:rsidRPr="00FD7B36">
              <w:rPr>
                <w:rFonts w:ascii="Arial Narrow" w:hAnsi="Arial Narrow"/>
                <w:sz w:val="22"/>
                <w:szCs w:val="22"/>
              </w:rPr>
              <w:t>resiquimod</w:t>
            </w:r>
            <w:proofErr w:type="spellEnd"/>
            <w:r w:rsidRPr="00FD7B36">
              <w:rPr>
                <w:rFonts w:ascii="Arial Narrow" w:hAnsi="Arial Narrow"/>
                <w:sz w:val="22"/>
                <w:szCs w:val="22"/>
              </w:rPr>
              <w:t xml:space="preserve">
(R848), appear to mimic v</w:t>
            </w:r>
            <w:r>
              <w:rPr>
                <w:rFonts w:ascii="Arial Narrow" w:hAnsi="Arial Narrow"/>
                <w:sz w:val="22"/>
                <w:szCs w:val="22"/>
              </w:rPr>
              <w:t>iral nucleic acid and are recog</w:t>
            </w:r>
            <w:r w:rsidRPr="00FD7B36">
              <w:rPr>
                <w:rFonts w:ascii="Arial Narrow" w:hAnsi="Arial Narrow"/>
                <w:sz w:val="22"/>
                <w:szCs w:val="22"/>
              </w:rPr>
              <w:t>nized</w:t>
            </w:r>
            <w:r>
              <w:rPr>
                <w:rFonts w:ascii="Arial Narrow" w:hAnsi="Arial Narrow"/>
                <w:sz w:val="22"/>
                <w:szCs w:val="22"/>
              </w:rPr>
              <w:t xml:space="preserve"> by TLR7 and TLR8, resulting in the acti</w:t>
            </w:r>
            <w:r w:rsidRPr="00FD7B36">
              <w:rPr>
                <w:rFonts w:ascii="Arial Narrow" w:hAnsi="Arial Narrow"/>
                <w:sz w:val="22"/>
                <w:szCs w:val="22"/>
              </w:rPr>
              <w:t xml:space="preserve">vation of type I </w:t>
            </w:r>
            <w:proofErr w:type="spellStart"/>
            <w:r w:rsidRPr="00FD7B36">
              <w:rPr>
                <w:rFonts w:ascii="Arial Narrow" w:hAnsi="Arial Narrow"/>
                <w:sz w:val="22"/>
                <w:szCs w:val="22"/>
              </w:rPr>
              <w:t>interferons</w:t>
            </w:r>
            <w:proofErr w:type="spellEnd"/>
            <w:r w:rsidRPr="00FD7B36">
              <w:rPr>
                <w:rFonts w:ascii="Arial Narrow" w:hAnsi="Arial Narrow"/>
                <w:sz w:val="22"/>
                <w:szCs w:val="22"/>
              </w:rPr>
              <w:t xml:space="preserve">, thereby </w:t>
            </w:r>
            <w:r>
              <w:rPr>
                <w:rFonts w:ascii="Arial Narrow" w:hAnsi="Arial Narrow"/>
                <w:sz w:val="22"/>
                <w:szCs w:val="22"/>
              </w:rPr>
              <w:t>exerting an anti-viral
effect</w:t>
            </w:r>
            <w:r w:rsidRPr="00FD7B36">
              <w:rPr>
                <w:rFonts w:ascii="Arial Narrow" w:hAnsi="Arial Narrow"/>
                <w:sz w:val="22"/>
                <w:szCs w:val="22"/>
              </w:rPr>
              <w:t xml:space="preserve">. Indeed, these are the first TLR agonists
used clinically. </w:t>
            </w:r>
          </w:p>
        </w:tc>
      </w:tr>
      <w:tr w:rsidR="00745548" w:rsidTr="00745548">
        <w:tc>
          <w:tcPr>
            <w:tcW w:w="4750" w:type="dxa"/>
          </w:tcPr>
          <w:p w:rsidR="00745548" w:rsidRDefault="00745548" w:rsidP="00745548">
            <w:pPr>
              <w:rPr>
                <w:rFonts w:ascii="Arial Narrow" w:hAnsi="Arial Narrow"/>
                <w:sz w:val="22"/>
                <w:szCs w:val="22"/>
              </w:rPr>
            </w:pPr>
            <w:r w:rsidRPr="0095326D">
              <w:rPr>
                <w:rFonts w:ascii="Arial Narrow" w:hAnsi="Arial Narrow"/>
                <w:sz w:val="22"/>
                <w:szCs w:val="22"/>
              </w:rPr>
              <w:t xml:space="preserve">
CRX-526 is a synthetic lipid A mimetic molecule </w:t>
            </w:r>
            <w:proofErr w:type="gramStart"/>
            <w:r w:rsidRPr="0095326D">
              <w:rPr>
                <w:rFonts w:ascii="Arial Narrow" w:hAnsi="Arial Narrow"/>
                <w:sz w:val="22"/>
                <w:szCs w:val="22"/>
              </w:rPr>
              <w:t>which</w:t>
            </w:r>
            <w:proofErr w:type="gramEnd"/>
            <w:r w:rsidRPr="0095326D">
              <w:rPr>
                <w:rFonts w:ascii="Arial Narrow" w:hAnsi="Arial Narrow"/>
                <w:sz w:val="22"/>
                <w:szCs w:val="22"/>
              </w:rPr>
              <w:t xml:space="preserve">
</w:t>
            </w:r>
            <w:proofErr w:type="spellStart"/>
            <w:r w:rsidRPr="0095326D">
              <w:rPr>
                <w:rFonts w:ascii="Arial Narrow" w:hAnsi="Arial Narrow"/>
                <w:sz w:val="22"/>
                <w:szCs w:val="22"/>
              </w:rPr>
              <w:t>antagonises</w:t>
            </w:r>
            <w:proofErr w:type="spellEnd"/>
            <w:r w:rsidRPr="0095326D">
              <w:rPr>
                <w:rFonts w:ascii="Arial Narrow" w:hAnsi="Arial Narrow"/>
                <w:sz w:val="22"/>
                <w:szCs w:val="22"/>
              </w:rPr>
              <w:t xml:space="preserve"> TLR4.</w:t>
            </w:r>
          </w:p>
        </w:tc>
        <w:tc>
          <w:tcPr>
            <w:tcW w:w="4750" w:type="dxa"/>
          </w:tcPr>
          <w:p w:rsidR="00745548" w:rsidRDefault="00745548" w:rsidP="00745548">
            <w:pPr>
              <w:rPr>
                <w:rFonts w:ascii="Arial Narrow" w:hAnsi="Arial Narrow"/>
                <w:sz w:val="22"/>
                <w:szCs w:val="22"/>
              </w:rPr>
            </w:pPr>
            <w:r w:rsidRPr="00FD7B36">
              <w:rPr>
                <w:rFonts w:ascii="Arial Narrow" w:hAnsi="Arial Narrow"/>
                <w:sz w:val="22"/>
                <w:szCs w:val="22"/>
              </w:rPr>
              <w:t xml:space="preserve">TLR7/TLR8 agonist 3M-011 significantly inhibited </w:t>
            </w:r>
            <w:proofErr w:type="spellStart"/>
            <w:r w:rsidRPr="00FD7B36">
              <w:rPr>
                <w:rFonts w:ascii="Arial Narrow" w:hAnsi="Arial Narrow"/>
                <w:sz w:val="22"/>
                <w:szCs w:val="22"/>
              </w:rPr>
              <w:t>influ-enza</w:t>
            </w:r>
            <w:proofErr w:type="spellEnd"/>
            <w:r w:rsidRPr="00FD7B36">
              <w:rPr>
                <w:rFonts w:ascii="Arial Narrow" w:hAnsi="Arial Narrow"/>
                <w:sz w:val="22"/>
                <w:szCs w:val="22"/>
              </w:rPr>
              <w:t xml:space="preserve"> serotype H3N2 viral replication in the nasal passages
even when administered after inoculation in rats; this may
be a potential therapeutic agent in influenza</w:t>
            </w:r>
          </w:p>
        </w:tc>
      </w:tr>
      <w:tr w:rsidR="00745548" w:rsidTr="00745548">
        <w:tc>
          <w:tcPr>
            <w:tcW w:w="4750" w:type="dxa"/>
          </w:tcPr>
          <w:p w:rsidR="00745548" w:rsidRDefault="00745548" w:rsidP="00745548">
            <w:pPr>
              <w:rPr>
                <w:rFonts w:ascii="Arial Narrow" w:hAnsi="Arial Narrow"/>
                <w:sz w:val="22"/>
                <w:szCs w:val="22"/>
              </w:rPr>
            </w:pPr>
            <w:r w:rsidRPr="0095326D">
              <w:rPr>
                <w:rFonts w:ascii="Arial Narrow" w:hAnsi="Arial Narrow"/>
                <w:sz w:val="22"/>
                <w:szCs w:val="22"/>
              </w:rPr>
              <w:t xml:space="preserve">
An IgG1 anti-TLR2 monoclonal
antibody (T2.5) inhibits the TLR2-mediated release of TNF-α from primary murine macrophages and a human cell line.</w:t>
            </w:r>
          </w:p>
        </w:tc>
        <w:tc>
          <w:tcPr>
            <w:tcW w:w="4750" w:type="dxa"/>
          </w:tcPr>
          <w:p w:rsidR="00745548" w:rsidRDefault="00745548" w:rsidP="00745548">
            <w:pPr>
              <w:rPr>
                <w:rFonts w:ascii="Arial Narrow" w:hAnsi="Arial Narrow"/>
                <w:sz w:val="22"/>
                <w:szCs w:val="22"/>
              </w:rPr>
            </w:pPr>
            <w:r w:rsidRPr="00FD7B36">
              <w:rPr>
                <w:rFonts w:ascii="Arial Narrow" w:hAnsi="Arial Narrow"/>
                <w:sz w:val="22"/>
                <w:szCs w:val="22"/>
              </w:rPr>
              <w:t xml:space="preserve">
IMO-2125 (IMO-2125, </w:t>
            </w:r>
            <w:proofErr w:type="spellStart"/>
            <w:r w:rsidRPr="00FD7B36">
              <w:rPr>
                <w:rFonts w:ascii="Arial Narrow" w:hAnsi="Arial Narrow"/>
                <w:sz w:val="22"/>
                <w:szCs w:val="22"/>
              </w:rPr>
              <w:t>Idera</w:t>
            </w:r>
            <w:proofErr w:type="spellEnd"/>
            <w:r w:rsidRPr="00FD7B36">
              <w:rPr>
                <w:rFonts w:ascii="Arial Narrow" w:hAnsi="Arial Narrow"/>
                <w:sz w:val="22"/>
                <w:szCs w:val="22"/>
              </w:rPr>
              <w:t xml:space="preserve"> Pharmaceuticals, Cambridge,
MA, USA) is an oligonucleotide that is agonist at TLR9.
It is currently undergoing phase I evaluation as a potential
stimulus for IFN-α production and a therapy for hepatitis C
infection.</w:t>
            </w:r>
          </w:p>
        </w:tc>
      </w:tr>
    </w:tbl>
    <w:p w:rsidR="00745548" w:rsidRDefault="00745548" w:rsidP="00745548">
      <w:pPr>
        <w:pStyle w:val="Paragraphedeliste"/>
        <w:rPr>
          <w:rFonts w:ascii="Arial Narrow" w:hAnsi="Arial Narrow"/>
          <w:sz w:val="22"/>
          <w:szCs w:val="22"/>
        </w:rPr>
      </w:pPr>
    </w:p>
    <w:p w:rsidR="00745548" w:rsidRDefault="00745548" w:rsidP="00745548">
      <w:pPr>
        <w:pStyle w:val="Paragraphedeliste"/>
        <w:rPr>
          <w:rFonts w:ascii="Arial Narrow" w:hAnsi="Arial Narrow"/>
          <w:b/>
          <w:sz w:val="22"/>
          <w:szCs w:val="22"/>
        </w:rPr>
      </w:pPr>
    </w:p>
    <w:p w:rsidR="00745548" w:rsidRDefault="00745548" w:rsidP="00745548">
      <w:pPr>
        <w:pStyle w:val="Paragraphedeliste"/>
        <w:rPr>
          <w:rFonts w:ascii="Arial Narrow" w:hAnsi="Arial Narrow"/>
          <w:b/>
          <w:sz w:val="22"/>
          <w:szCs w:val="22"/>
        </w:rPr>
      </w:pPr>
    </w:p>
    <w:p w:rsidR="00745548" w:rsidRPr="00745548" w:rsidRDefault="00745548" w:rsidP="00745548">
      <w:pPr>
        <w:pStyle w:val="Paragraphedeliste"/>
        <w:ind w:left="0"/>
        <w:rPr>
          <w:rFonts w:ascii="Arial Narrow" w:hAnsi="Arial Narrow"/>
          <w:b/>
          <w:sz w:val="22"/>
          <w:szCs w:val="22"/>
        </w:rPr>
      </w:pPr>
    </w:p>
    <w:p w:rsidR="00643817" w:rsidRPr="00643817" w:rsidRDefault="00643817" w:rsidP="00643817">
      <w:pPr>
        <w:rPr>
          <w:rFonts w:ascii="Arial Narrow" w:hAnsi="Arial Narrow"/>
          <w:sz w:val="22"/>
          <w:szCs w:val="22"/>
        </w:rPr>
      </w:pPr>
    </w:p>
    <w:p w:rsidR="00764A40" w:rsidRPr="00380DC5" w:rsidRDefault="00764A40" w:rsidP="00380DC5">
      <w:pPr>
        <w:rPr>
          <w:rFonts w:ascii="Arial Narrow" w:hAnsi="Arial Narrow"/>
          <w:sz w:val="22"/>
          <w:szCs w:val="22"/>
        </w:rPr>
      </w:pPr>
    </w:p>
    <w:p w:rsidR="00380DC5" w:rsidRPr="00380DC5" w:rsidRDefault="00380DC5" w:rsidP="00380DC5">
      <w:pPr>
        <w:rPr>
          <w:rFonts w:ascii="Arial Narrow" w:hAnsi="Arial Narrow"/>
          <w:sz w:val="22"/>
          <w:szCs w:val="22"/>
        </w:rPr>
      </w:pPr>
    </w:p>
    <w:p w:rsidR="008D2EC2" w:rsidRPr="003804DF" w:rsidRDefault="008D2EC2" w:rsidP="003804DF">
      <w:pPr>
        <w:pStyle w:val="Paragraphedeliste"/>
        <w:rPr>
          <w:rFonts w:ascii="Arial Narrow" w:hAnsi="Arial Narrow"/>
          <w:b/>
          <w:sz w:val="22"/>
          <w:szCs w:val="22"/>
        </w:rPr>
      </w:pPr>
    </w:p>
    <w:sectPr w:rsidR="008D2EC2" w:rsidRPr="003804DF" w:rsidSect="00437961">
      <w:headerReference w:type="default" r:id="rId10"/>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o-Annie Letendre" w:date="2014-07-26T14:48:00Z" w:initials="JL">
    <w:p w:rsidR="00745548" w:rsidRDefault="00745548" w:rsidP="001C0843">
      <w:pPr>
        <w:pStyle w:val="Commentaire"/>
      </w:pPr>
      <w:r>
        <w:rPr>
          <w:rStyle w:val="Marquedannotation"/>
        </w:rPr>
        <w:annotationRef/>
      </w:r>
      <w:r>
        <w:t xml:space="preserve">Example: cytokine profiles differ according to the infecting organism.  Gram negative: more TNF-a and IL-6 than gram positive. </w:t>
      </w:r>
    </w:p>
  </w:comment>
  <w:comment w:id="2" w:author="Jo-Annie Letendre" w:date="2014-07-26T14:59:00Z" w:initials="JL">
    <w:p w:rsidR="00745548" w:rsidRDefault="00745548" w:rsidP="00745548">
      <w:pPr>
        <w:pStyle w:val="Commentaire"/>
      </w:pPr>
      <w:r>
        <w:rPr>
          <w:rStyle w:val="Marquedannotation"/>
        </w:rPr>
        <w:annotationRef/>
      </w:r>
      <w:r w:rsidRPr="003B4FF4">
        <w:t xml:space="preserve">
The TLR system represents an ingenious method of
activating the immune system in response to an enormous
range of infectious agents through a relatively few number
of receptors. This obviates the need for previous exposure
to an organism or many receptors encoded on the genome
such as occurs with VDJ recombination of T cell receptors.</w:t>
      </w:r>
    </w:p>
    <w:p w:rsidR="00745548" w:rsidRDefault="00745548" w:rsidP="00745548">
      <w:pPr>
        <w:pStyle w:val="Commentaire"/>
      </w:pPr>
    </w:p>
    <w:p w:rsidR="00745548" w:rsidRDefault="00745548" w:rsidP="00745548">
      <w:pPr>
        <w:pStyle w:val="Commentaire"/>
      </w:pPr>
    </w:p>
    <w:p w:rsidR="00745548" w:rsidRDefault="00745548" w:rsidP="00745548">
      <w:pPr>
        <w:pStyle w:val="Commentaire"/>
      </w:pPr>
      <w:r>
        <w:t xml:space="preserve">VDJ RECOMBINATION OF T CELL RECEPTORS: </w:t>
      </w:r>
      <w:r>
        <w:rPr>
          <w:rFonts w:eastAsia="Times New Roman" w:cs="Times New Roman"/>
          <w:b/>
          <w:bCs/>
        </w:rPr>
        <w:t>(</w:t>
      </w:r>
      <w:proofErr w:type="gramStart"/>
      <w:r>
        <w:rPr>
          <w:rFonts w:eastAsia="Times New Roman" w:cs="Times New Roman"/>
          <w:b/>
          <w:bCs/>
        </w:rPr>
        <w:t>D)J</w:t>
      </w:r>
      <w:proofErr w:type="gramEnd"/>
      <w:r>
        <w:rPr>
          <w:rFonts w:eastAsia="Times New Roman" w:cs="Times New Roman"/>
          <w:b/>
          <w:bCs/>
        </w:rPr>
        <w:t xml:space="preserve"> recombination</w:t>
      </w:r>
      <w:r>
        <w:rPr>
          <w:rFonts w:eastAsia="Times New Roman" w:cs="Times New Roman"/>
        </w:rPr>
        <w:t xml:space="preserve">, also known as </w:t>
      </w:r>
      <w:r>
        <w:rPr>
          <w:rFonts w:eastAsia="Times New Roman" w:cs="Times New Roman"/>
          <w:b/>
          <w:bCs/>
        </w:rPr>
        <w:t>somatic recombination</w:t>
      </w:r>
      <w:r>
        <w:rPr>
          <w:rFonts w:eastAsia="Times New Roman" w:cs="Times New Roman"/>
        </w:rPr>
        <w:t xml:space="preserve">, is a mechanism of </w:t>
      </w:r>
      <w:hyperlink r:id="rId1" w:tooltip="Genetic recombination" w:history="1">
        <w:r>
          <w:rPr>
            <w:rStyle w:val="Lienhypertexte"/>
            <w:rFonts w:eastAsia="Times New Roman" w:cs="Times New Roman"/>
          </w:rPr>
          <w:t>genetic recombination</w:t>
        </w:r>
      </w:hyperlink>
      <w:r>
        <w:rPr>
          <w:rFonts w:eastAsia="Times New Roman" w:cs="Times New Roman"/>
        </w:rPr>
        <w:t xml:space="preserve"> in the early stages of </w:t>
      </w:r>
      <w:hyperlink r:id="rId2" w:tooltip="Antibody" w:history="1">
        <w:r>
          <w:rPr>
            <w:rStyle w:val="Lienhypertexte"/>
            <w:rFonts w:eastAsia="Times New Roman" w:cs="Times New Roman"/>
          </w:rPr>
          <w:t>immunoglobulin</w:t>
        </w:r>
      </w:hyperlink>
      <w:r>
        <w:rPr>
          <w:rFonts w:eastAsia="Times New Roman" w:cs="Times New Roman"/>
        </w:rPr>
        <w:t xml:space="preserve"> (</w:t>
      </w:r>
      <w:proofErr w:type="spellStart"/>
      <w:r>
        <w:rPr>
          <w:rFonts w:eastAsia="Times New Roman" w:cs="Times New Roman"/>
        </w:rPr>
        <w:t>Ig</w:t>
      </w:r>
      <w:proofErr w:type="spellEnd"/>
      <w:r>
        <w:rPr>
          <w:rFonts w:eastAsia="Times New Roman" w:cs="Times New Roman"/>
        </w:rPr>
        <w:t xml:space="preserve">) and </w:t>
      </w:r>
      <w:hyperlink r:id="rId3" w:tooltip="T cell receptor" w:history="1">
        <w:r>
          <w:rPr>
            <w:rStyle w:val="Lienhypertexte"/>
            <w:rFonts w:eastAsia="Times New Roman" w:cs="Times New Roman"/>
          </w:rPr>
          <w:t>T cell receptors</w:t>
        </w:r>
      </w:hyperlink>
      <w:r>
        <w:rPr>
          <w:rFonts w:eastAsia="Times New Roman" w:cs="Times New Roman"/>
        </w:rPr>
        <w:t xml:space="preserve"> (TCR) production of the </w:t>
      </w:r>
      <w:hyperlink r:id="rId4" w:tooltip="Immune system" w:history="1">
        <w:r>
          <w:rPr>
            <w:rStyle w:val="Lienhypertexte"/>
            <w:rFonts w:eastAsia="Times New Roman" w:cs="Times New Roman"/>
          </w:rPr>
          <w:t>immune system</w:t>
        </w:r>
      </w:hyperlink>
      <w:r>
        <w:rPr>
          <w:rFonts w:eastAsia="Times New Roman" w:cs="Times New Roman"/>
        </w:rPr>
        <w:t xml:space="preserve">. </w:t>
      </w:r>
      <w:proofErr w:type="gramStart"/>
      <w:r>
        <w:rPr>
          <w:rFonts w:eastAsia="Times New Roman" w:cs="Times New Roman"/>
        </w:rPr>
        <w:t>V(</w:t>
      </w:r>
      <w:proofErr w:type="gramEnd"/>
      <w:r>
        <w:rPr>
          <w:rFonts w:eastAsia="Times New Roman" w:cs="Times New Roman"/>
        </w:rPr>
        <w:t xml:space="preserve">D)J recombination takes place in the primary lymphoid tissue (the </w:t>
      </w:r>
      <w:hyperlink r:id="rId5" w:tooltip="Bone marrow" w:history="1">
        <w:r>
          <w:rPr>
            <w:rStyle w:val="Lienhypertexte"/>
            <w:rFonts w:eastAsia="Times New Roman" w:cs="Times New Roman"/>
          </w:rPr>
          <w:t>bone marrow</w:t>
        </w:r>
      </w:hyperlink>
      <w:r>
        <w:rPr>
          <w:rFonts w:eastAsia="Times New Roman" w:cs="Times New Roman"/>
        </w:rPr>
        <w:t xml:space="preserve"> for </w:t>
      </w:r>
      <w:hyperlink r:id="rId6" w:tooltip="B cells" w:history="1">
        <w:r>
          <w:rPr>
            <w:rStyle w:val="Lienhypertexte"/>
            <w:rFonts w:eastAsia="Times New Roman" w:cs="Times New Roman"/>
          </w:rPr>
          <w:t>B cells</w:t>
        </w:r>
      </w:hyperlink>
      <w:r>
        <w:rPr>
          <w:rFonts w:eastAsia="Times New Roman" w:cs="Times New Roman"/>
        </w:rPr>
        <w:t xml:space="preserve">, and </w:t>
      </w:r>
      <w:hyperlink r:id="rId7" w:tooltip="Thymus" w:history="1">
        <w:r>
          <w:rPr>
            <w:rStyle w:val="Lienhypertexte"/>
            <w:rFonts w:eastAsia="Times New Roman" w:cs="Times New Roman"/>
          </w:rPr>
          <w:t>Thymus</w:t>
        </w:r>
      </w:hyperlink>
      <w:r>
        <w:rPr>
          <w:rFonts w:eastAsia="Times New Roman" w:cs="Times New Roman"/>
        </w:rPr>
        <w:t xml:space="preserve"> for </w:t>
      </w:r>
      <w:hyperlink r:id="rId8" w:tooltip="T cells" w:history="1">
        <w:r>
          <w:rPr>
            <w:rStyle w:val="Lienhypertexte"/>
            <w:rFonts w:eastAsia="Times New Roman" w:cs="Times New Roman"/>
          </w:rPr>
          <w:t>T cells</w:t>
        </w:r>
      </w:hyperlink>
      <w:r>
        <w:rPr>
          <w:rFonts w:eastAsia="Times New Roman" w:cs="Times New Roman"/>
        </w:rPr>
        <w:t xml:space="preserve">). </w:t>
      </w:r>
      <w:proofErr w:type="gramStart"/>
      <w:r>
        <w:rPr>
          <w:rFonts w:eastAsia="Times New Roman" w:cs="Times New Roman"/>
        </w:rPr>
        <w:t>V(</w:t>
      </w:r>
      <w:proofErr w:type="gramEnd"/>
      <w:r>
        <w:rPr>
          <w:rFonts w:eastAsia="Times New Roman" w:cs="Times New Roman"/>
        </w:rPr>
        <w:t xml:space="preserve">D)J recombination nearly randomly combines </w:t>
      </w:r>
      <w:r>
        <w:rPr>
          <w:rFonts w:eastAsia="Times New Roman" w:cs="Times New Roman"/>
          <w:b/>
          <w:bCs/>
        </w:rPr>
        <w:t>V</w:t>
      </w:r>
      <w:r>
        <w:rPr>
          <w:rFonts w:eastAsia="Times New Roman" w:cs="Times New Roman"/>
        </w:rPr>
        <w:t xml:space="preserve">ariable, </w:t>
      </w:r>
      <w:r>
        <w:rPr>
          <w:rFonts w:eastAsia="Times New Roman" w:cs="Times New Roman"/>
          <w:b/>
          <w:bCs/>
        </w:rPr>
        <w:t>D</w:t>
      </w:r>
      <w:r>
        <w:rPr>
          <w:rFonts w:eastAsia="Times New Roman" w:cs="Times New Roman"/>
        </w:rPr>
        <w:t xml:space="preserve">iverse, and </w:t>
      </w:r>
      <w:r>
        <w:rPr>
          <w:rFonts w:eastAsia="Times New Roman" w:cs="Times New Roman"/>
          <w:b/>
          <w:bCs/>
        </w:rPr>
        <w:t>J</w:t>
      </w:r>
      <w:r>
        <w:rPr>
          <w:rFonts w:eastAsia="Times New Roman" w:cs="Times New Roman"/>
        </w:rPr>
        <w:t xml:space="preserve">oining </w:t>
      </w:r>
      <w:hyperlink r:id="rId9" w:tooltip="Gene" w:history="1">
        <w:r>
          <w:rPr>
            <w:rStyle w:val="Lienhypertexte"/>
            <w:rFonts w:eastAsia="Times New Roman" w:cs="Times New Roman"/>
          </w:rPr>
          <w:t>gene</w:t>
        </w:r>
      </w:hyperlink>
      <w:r>
        <w:rPr>
          <w:rFonts w:eastAsia="Times New Roman" w:cs="Times New Roman"/>
        </w:rPr>
        <w:t xml:space="preserve"> segments in </w:t>
      </w:r>
      <w:hyperlink r:id="rId10" w:tooltip="Vertebrate" w:history="1">
        <w:r>
          <w:rPr>
            <w:rStyle w:val="Lienhypertexte"/>
            <w:rFonts w:eastAsia="Times New Roman" w:cs="Times New Roman"/>
          </w:rPr>
          <w:t>vertebrate</w:t>
        </w:r>
      </w:hyperlink>
      <w:r>
        <w:rPr>
          <w:rFonts w:eastAsia="Times New Roman" w:cs="Times New Roman"/>
        </w:rPr>
        <w:t xml:space="preserve"> </w:t>
      </w:r>
      <w:hyperlink r:id="rId11" w:tooltip="Lymphocyte" w:history="1">
        <w:r>
          <w:rPr>
            <w:rStyle w:val="Lienhypertexte"/>
            <w:rFonts w:eastAsia="Times New Roman" w:cs="Times New Roman"/>
          </w:rPr>
          <w:t>lymphocytes</w:t>
        </w:r>
      </w:hyperlink>
      <w:r>
        <w:rPr>
          <w:rFonts w:eastAsia="Times New Roman" w:cs="Times New Roman"/>
        </w:rPr>
        <w:t xml:space="preserve">, and because of its randomness in choosing different genes, is able to diversely encode proteins to match </w:t>
      </w:r>
      <w:hyperlink r:id="rId12" w:tooltip="Antigen" w:history="1">
        <w:r>
          <w:rPr>
            <w:rStyle w:val="Lienhypertexte"/>
            <w:rFonts w:eastAsia="Times New Roman" w:cs="Times New Roman"/>
          </w:rPr>
          <w:t>antigens</w:t>
        </w:r>
      </w:hyperlink>
      <w:r>
        <w:rPr>
          <w:rFonts w:eastAsia="Times New Roman" w:cs="Times New Roman"/>
        </w:rPr>
        <w:t xml:space="preserve"> from </w:t>
      </w:r>
      <w:hyperlink r:id="rId13" w:tooltip="Bacteria" w:history="1">
        <w:r>
          <w:rPr>
            <w:rStyle w:val="Lienhypertexte"/>
            <w:rFonts w:eastAsia="Times New Roman" w:cs="Times New Roman"/>
          </w:rPr>
          <w:t>bacteria</w:t>
        </w:r>
      </w:hyperlink>
      <w:r>
        <w:rPr>
          <w:rFonts w:eastAsia="Times New Roman" w:cs="Times New Roman"/>
        </w:rPr>
        <w:t xml:space="preserve">, </w:t>
      </w:r>
      <w:hyperlink r:id="rId14" w:tooltip="Virus" w:history="1">
        <w:r>
          <w:rPr>
            <w:rStyle w:val="Lienhypertexte"/>
            <w:rFonts w:eastAsia="Times New Roman" w:cs="Times New Roman"/>
          </w:rPr>
          <w:t>viruses</w:t>
        </w:r>
      </w:hyperlink>
      <w:r>
        <w:rPr>
          <w:rFonts w:eastAsia="Times New Roman" w:cs="Times New Roman"/>
        </w:rPr>
        <w:t xml:space="preserve">, </w:t>
      </w:r>
      <w:hyperlink r:id="rId15" w:tooltip="Parasite" w:history="1">
        <w:r>
          <w:rPr>
            <w:rStyle w:val="Lienhypertexte"/>
            <w:rFonts w:eastAsia="Times New Roman" w:cs="Times New Roman"/>
          </w:rPr>
          <w:t>parasites</w:t>
        </w:r>
      </w:hyperlink>
      <w:r>
        <w:rPr>
          <w:rFonts w:eastAsia="Times New Roman" w:cs="Times New Roman"/>
        </w:rPr>
        <w:t xml:space="preserve">, dysfunctional cells such as </w:t>
      </w:r>
      <w:hyperlink r:id="rId16" w:tooltip="Tumor" w:history="1">
        <w:r>
          <w:rPr>
            <w:rStyle w:val="Lienhypertexte"/>
            <w:rFonts w:eastAsia="Times New Roman" w:cs="Times New Roman"/>
          </w:rPr>
          <w:t>tumor</w:t>
        </w:r>
      </w:hyperlink>
      <w:r>
        <w:rPr>
          <w:rFonts w:eastAsia="Times New Roman" w:cs="Times New Roman"/>
        </w:rPr>
        <w:t xml:space="preserve"> cells,</w:t>
      </w:r>
      <w:hyperlink r:id="rId17" w:anchor="cite_note-Abbas_2003-1" w:history="1">
        <w:r>
          <w:rPr>
            <w:rStyle w:val="Lienhypertexte"/>
            <w:rFonts w:eastAsia="Times New Roman" w:cs="Times New Roman"/>
            <w:vertAlign w:val="superscript"/>
          </w:rPr>
          <w:t>[1]</w:t>
        </w:r>
      </w:hyperlink>
      <w:r>
        <w:rPr>
          <w:rFonts w:eastAsia="Times New Roman" w:cs="Times New Roman"/>
        </w:rPr>
        <w:t xml:space="preserve"> and </w:t>
      </w:r>
      <w:hyperlink r:id="rId18" w:tooltip="Pollen" w:history="1">
        <w:r>
          <w:rPr>
            <w:rStyle w:val="Lienhypertexte"/>
            <w:rFonts w:eastAsia="Times New Roman" w:cs="Times New Roman"/>
          </w:rPr>
          <w:t>pollens</w:t>
        </w:r>
      </w:hyperlink>
      <w:r>
        <w:rPr>
          <w:rFonts w:eastAsia="Times New Roman" w:cs="Times New Roman"/>
        </w:rPr>
        <w:t>. (From Wikipedia)</w:t>
      </w:r>
    </w:p>
  </w:comment>
  <w:comment w:id="3" w:author="Jo-Annie Letendre" w:date="2014-07-26T14:59:00Z" w:initials="JL">
    <w:p w:rsidR="00745548" w:rsidRDefault="00745548" w:rsidP="00745548">
      <w:pPr>
        <w:pStyle w:val="Commentaire"/>
      </w:pPr>
      <w:r>
        <w:rPr>
          <w:rStyle w:val="Marquedannotation"/>
        </w:rPr>
        <w:annotationRef/>
      </w:r>
      <w:r>
        <w:t xml:space="preserve">Example: cytokine profiles differ according to the infecting organism.  Gram negative: more TNF-a and IL-6 than gram positive. </w:t>
      </w:r>
    </w:p>
  </w:comment>
  <w:comment w:id="4" w:author="Jo-Annie Letendre" w:date="2014-07-26T14:59:00Z" w:initials="JL">
    <w:p w:rsidR="00745548" w:rsidRDefault="00745548" w:rsidP="00745548">
      <w:pPr>
        <w:pStyle w:val="Commentaire"/>
      </w:pPr>
      <w:r>
        <w:rPr>
          <w:rStyle w:val="Marquedannotation"/>
        </w:rPr>
        <w:annotationRef/>
      </w:r>
      <w:r>
        <w:t>To provide a brake to excessive inflammation</w:t>
      </w:r>
    </w:p>
  </w:comment>
  <w:comment w:id="5" w:author="Jo-Annie Letendre" w:date="2014-07-26T14:59:00Z" w:initials="JL">
    <w:p w:rsidR="00745548" w:rsidRDefault="00745548" w:rsidP="00745548">
      <w:pPr>
        <w:pStyle w:val="Commentaire"/>
      </w:pPr>
      <w:r>
        <w:rPr>
          <w:rStyle w:val="Marquedannotation"/>
        </w:rPr>
        <w:annotationRef/>
      </w:r>
      <w:r>
        <w:t>Appears to have an effect on NF-KB</w:t>
      </w:r>
    </w:p>
  </w:comment>
  <w:comment w:id="6" w:author="Jo-Annie Letendre" w:date="2014-07-26T14:59:00Z" w:initials="JL">
    <w:p w:rsidR="00745548" w:rsidRDefault="00745548" w:rsidP="00745548">
      <w:pPr>
        <w:pStyle w:val="Commentaire"/>
      </w:pPr>
      <w:r>
        <w:rPr>
          <w:rStyle w:val="Marquedannotation"/>
        </w:rPr>
        <w:annotationRef/>
      </w:r>
      <w:r>
        <w:t xml:space="preserve">Inhibited by </w:t>
      </w:r>
      <w:proofErr w:type="spellStart"/>
      <w:r>
        <w:t>chloroquine</w:t>
      </w:r>
      <w:proofErr w:type="spellEnd"/>
      <w:r>
        <w:t xml:space="preserve"> = anti-malaria drug</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548" w:rsidRDefault="00745548" w:rsidP="00C50C60">
      <w:r>
        <w:separator/>
      </w:r>
    </w:p>
  </w:endnote>
  <w:endnote w:type="continuationSeparator" w:id="0">
    <w:p w:rsidR="00745548" w:rsidRDefault="00745548" w:rsidP="00C5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548" w:rsidRDefault="00745548" w:rsidP="00C50C60">
      <w:r>
        <w:separator/>
      </w:r>
    </w:p>
  </w:footnote>
  <w:footnote w:type="continuationSeparator" w:id="0">
    <w:p w:rsidR="00745548" w:rsidRDefault="00745548" w:rsidP="00C50C6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548" w:rsidRPr="002D4263" w:rsidRDefault="00745548">
    <w:pPr>
      <w:pStyle w:val="En-tte"/>
      <w:rPr>
        <w:sz w:val="20"/>
        <w:szCs w:val="20"/>
      </w:rPr>
    </w:pPr>
    <w:proofErr w:type="spellStart"/>
    <w:r w:rsidRPr="002D4263">
      <w:rPr>
        <w:sz w:val="20"/>
        <w:szCs w:val="20"/>
      </w:rPr>
      <w:t>Gao</w:t>
    </w:r>
    <w:proofErr w:type="spellEnd"/>
    <w:r w:rsidRPr="002D4263">
      <w:rPr>
        <w:sz w:val="20"/>
        <w:szCs w:val="20"/>
      </w:rPr>
      <w:t xml:space="preserve">, H., Leaver, S. K., Burke-Gaffney, A., &amp; Finney, S. J. (2008). Severe sepsis and Toll-like receptors. </w:t>
    </w:r>
    <w:r w:rsidRPr="002D4263">
      <w:rPr>
        <w:i/>
        <w:iCs/>
        <w:sz w:val="20"/>
        <w:szCs w:val="20"/>
      </w:rPr>
      <w:t>Seminars in Immunopathology</w:t>
    </w:r>
    <w:r w:rsidRPr="002D4263">
      <w:rPr>
        <w:sz w:val="20"/>
        <w:szCs w:val="20"/>
      </w:rPr>
      <w:t xml:space="preserve">, </w:t>
    </w:r>
    <w:r w:rsidRPr="002D4263">
      <w:rPr>
        <w:i/>
        <w:iCs/>
        <w:sz w:val="20"/>
        <w:szCs w:val="20"/>
      </w:rPr>
      <w:t>30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11970"/>
    <w:multiLevelType w:val="hybridMultilevel"/>
    <w:tmpl w:val="33604C4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19F12C3"/>
    <w:multiLevelType w:val="hybridMultilevel"/>
    <w:tmpl w:val="33604C4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5050683"/>
    <w:multiLevelType w:val="hybridMultilevel"/>
    <w:tmpl w:val="0D2490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C60"/>
    <w:rsid w:val="0003684E"/>
    <w:rsid w:val="00186695"/>
    <w:rsid w:val="001C0843"/>
    <w:rsid w:val="002C4D29"/>
    <w:rsid w:val="002D4263"/>
    <w:rsid w:val="003804DF"/>
    <w:rsid w:val="00380DC5"/>
    <w:rsid w:val="003B4FF4"/>
    <w:rsid w:val="00437961"/>
    <w:rsid w:val="004662D9"/>
    <w:rsid w:val="00587DC8"/>
    <w:rsid w:val="00643817"/>
    <w:rsid w:val="00745548"/>
    <w:rsid w:val="00764A40"/>
    <w:rsid w:val="008D2EC2"/>
    <w:rsid w:val="0095326D"/>
    <w:rsid w:val="009C411F"/>
    <w:rsid w:val="00C50C60"/>
    <w:rsid w:val="00CF31A6"/>
    <w:rsid w:val="00D8492F"/>
    <w:rsid w:val="00FD7B36"/>
    <w:rsid w:val="00FE02C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50C60"/>
    <w:pPr>
      <w:tabs>
        <w:tab w:val="center" w:pos="4536"/>
        <w:tab w:val="right" w:pos="9072"/>
      </w:tabs>
    </w:pPr>
  </w:style>
  <w:style w:type="character" w:customStyle="1" w:styleId="En-tteCar">
    <w:name w:val="En-tête Car"/>
    <w:basedOn w:val="Policepardfaut"/>
    <w:link w:val="En-tte"/>
    <w:uiPriority w:val="99"/>
    <w:rsid w:val="00C50C60"/>
    <w:rPr>
      <w:lang w:val="en-US"/>
    </w:rPr>
  </w:style>
  <w:style w:type="paragraph" w:styleId="Pieddepage">
    <w:name w:val="footer"/>
    <w:basedOn w:val="Normal"/>
    <w:link w:val="PieddepageCar"/>
    <w:uiPriority w:val="99"/>
    <w:unhideWhenUsed/>
    <w:rsid w:val="00C50C60"/>
    <w:pPr>
      <w:tabs>
        <w:tab w:val="center" w:pos="4536"/>
        <w:tab w:val="right" w:pos="9072"/>
      </w:tabs>
    </w:pPr>
  </w:style>
  <w:style w:type="character" w:customStyle="1" w:styleId="PieddepageCar">
    <w:name w:val="Pied de page Car"/>
    <w:basedOn w:val="Policepardfaut"/>
    <w:link w:val="Pieddepage"/>
    <w:uiPriority w:val="99"/>
    <w:rsid w:val="00C50C60"/>
    <w:rPr>
      <w:lang w:val="en-US"/>
    </w:rPr>
  </w:style>
  <w:style w:type="paragraph" w:styleId="NormalWeb">
    <w:name w:val="Normal (Web)"/>
    <w:basedOn w:val="Normal"/>
    <w:uiPriority w:val="99"/>
    <w:semiHidden/>
    <w:unhideWhenUsed/>
    <w:rsid w:val="00C50C60"/>
    <w:pPr>
      <w:spacing w:before="100" w:beforeAutospacing="1" w:after="100" w:afterAutospacing="1"/>
    </w:pPr>
    <w:rPr>
      <w:rFonts w:ascii="Times" w:hAnsi="Times" w:cs="Times New Roman"/>
      <w:sz w:val="20"/>
      <w:szCs w:val="20"/>
      <w:lang w:val="fr-FR"/>
    </w:rPr>
  </w:style>
  <w:style w:type="character" w:styleId="Marquedannotation">
    <w:name w:val="annotation reference"/>
    <w:basedOn w:val="Policepardfaut"/>
    <w:uiPriority w:val="99"/>
    <w:semiHidden/>
    <w:unhideWhenUsed/>
    <w:rsid w:val="003B4FF4"/>
    <w:rPr>
      <w:sz w:val="18"/>
      <w:szCs w:val="18"/>
    </w:rPr>
  </w:style>
  <w:style w:type="paragraph" w:styleId="Commentaire">
    <w:name w:val="annotation text"/>
    <w:basedOn w:val="Normal"/>
    <w:link w:val="CommentaireCar"/>
    <w:uiPriority w:val="99"/>
    <w:semiHidden/>
    <w:unhideWhenUsed/>
    <w:rsid w:val="003B4FF4"/>
  </w:style>
  <w:style w:type="character" w:customStyle="1" w:styleId="CommentaireCar">
    <w:name w:val="Commentaire Car"/>
    <w:basedOn w:val="Policepardfaut"/>
    <w:link w:val="Commentaire"/>
    <w:uiPriority w:val="99"/>
    <w:semiHidden/>
    <w:rsid w:val="003B4FF4"/>
    <w:rPr>
      <w:lang w:val="en-US"/>
    </w:rPr>
  </w:style>
  <w:style w:type="paragraph" w:styleId="Objetducommentaire">
    <w:name w:val="annotation subject"/>
    <w:basedOn w:val="Commentaire"/>
    <w:next w:val="Commentaire"/>
    <w:link w:val="ObjetducommentaireCar"/>
    <w:uiPriority w:val="99"/>
    <w:semiHidden/>
    <w:unhideWhenUsed/>
    <w:rsid w:val="003B4FF4"/>
    <w:rPr>
      <w:b/>
      <w:bCs/>
      <w:sz w:val="20"/>
      <w:szCs w:val="20"/>
    </w:rPr>
  </w:style>
  <w:style w:type="character" w:customStyle="1" w:styleId="ObjetducommentaireCar">
    <w:name w:val="Objet du commentaire Car"/>
    <w:basedOn w:val="CommentaireCar"/>
    <w:link w:val="Objetducommentaire"/>
    <w:uiPriority w:val="99"/>
    <w:semiHidden/>
    <w:rsid w:val="003B4FF4"/>
    <w:rPr>
      <w:b/>
      <w:bCs/>
      <w:sz w:val="20"/>
      <w:szCs w:val="20"/>
      <w:lang w:val="en-US"/>
    </w:rPr>
  </w:style>
  <w:style w:type="paragraph" w:styleId="Textedebulles">
    <w:name w:val="Balloon Text"/>
    <w:basedOn w:val="Normal"/>
    <w:link w:val="TextedebullesCar"/>
    <w:uiPriority w:val="99"/>
    <w:semiHidden/>
    <w:unhideWhenUsed/>
    <w:rsid w:val="003B4FF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B4FF4"/>
    <w:rPr>
      <w:rFonts w:ascii="Lucida Grande" w:hAnsi="Lucida Grande" w:cs="Lucida Grande"/>
      <w:sz w:val="18"/>
      <w:szCs w:val="18"/>
      <w:lang w:val="en-US"/>
    </w:rPr>
  </w:style>
  <w:style w:type="character" w:styleId="Lienhypertexte">
    <w:name w:val="Hyperlink"/>
    <w:basedOn w:val="Policepardfaut"/>
    <w:uiPriority w:val="99"/>
    <w:semiHidden/>
    <w:unhideWhenUsed/>
    <w:rsid w:val="003B4FF4"/>
    <w:rPr>
      <w:color w:val="0000FF"/>
      <w:u w:val="single"/>
    </w:rPr>
  </w:style>
  <w:style w:type="table" w:styleId="Grille">
    <w:name w:val="Table Grid"/>
    <w:basedOn w:val="TableauNormal"/>
    <w:uiPriority w:val="59"/>
    <w:rsid w:val="00953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D7B3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50C60"/>
    <w:pPr>
      <w:tabs>
        <w:tab w:val="center" w:pos="4536"/>
        <w:tab w:val="right" w:pos="9072"/>
      </w:tabs>
    </w:pPr>
  </w:style>
  <w:style w:type="character" w:customStyle="1" w:styleId="En-tteCar">
    <w:name w:val="En-tête Car"/>
    <w:basedOn w:val="Policepardfaut"/>
    <w:link w:val="En-tte"/>
    <w:uiPriority w:val="99"/>
    <w:rsid w:val="00C50C60"/>
    <w:rPr>
      <w:lang w:val="en-US"/>
    </w:rPr>
  </w:style>
  <w:style w:type="paragraph" w:styleId="Pieddepage">
    <w:name w:val="footer"/>
    <w:basedOn w:val="Normal"/>
    <w:link w:val="PieddepageCar"/>
    <w:uiPriority w:val="99"/>
    <w:unhideWhenUsed/>
    <w:rsid w:val="00C50C60"/>
    <w:pPr>
      <w:tabs>
        <w:tab w:val="center" w:pos="4536"/>
        <w:tab w:val="right" w:pos="9072"/>
      </w:tabs>
    </w:pPr>
  </w:style>
  <w:style w:type="character" w:customStyle="1" w:styleId="PieddepageCar">
    <w:name w:val="Pied de page Car"/>
    <w:basedOn w:val="Policepardfaut"/>
    <w:link w:val="Pieddepage"/>
    <w:uiPriority w:val="99"/>
    <w:rsid w:val="00C50C60"/>
    <w:rPr>
      <w:lang w:val="en-US"/>
    </w:rPr>
  </w:style>
  <w:style w:type="paragraph" w:styleId="NormalWeb">
    <w:name w:val="Normal (Web)"/>
    <w:basedOn w:val="Normal"/>
    <w:uiPriority w:val="99"/>
    <w:semiHidden/>
    <w:unhideWhenUsed/>
    <w:rsid w:val="00C50C60"/>
    <w:pPr>
      <w:spacing w:before="100" w:beforeAutospacing="1" w:after="100" w:afterAutospacing="1"/>
    </w:pPr>
    <w:rPr>
      <w:rFonts w:ascii="Times" w:hAnsi="Times" w:cs="Times New Roman"/>
      <w:sz w:val="20"/>
      <w:szCs w:val="20"/>
      <w:lang w:val="fr-FR"/>
    </w:rPr>
  </w:style>
  <w:style w:type="character" w:styleId="Marquedannotation">
    <w:name w:val="annotation reference"/>
    <w:basedOn w:val="Policepardfaut"/>
    <w:uiPriority w:val="99"/>
    <w:semiHidden/>
    <w:unhideWhenUsed/>
    <w:rsid w:val="003B4FF4"/>
    <w:rPr>
      <w:sz w:val="18"/>
      <w:szCs w:val="18"/>
    </w:rPr>
  </w:style>
  <w:style w:type="paragraph" w:styleId="Commentaire">
    <w:name w:val="annotation text"/>
    <w:basedOn w:val="Normal"/>
    <w:link w:val="CommentaireCar"/>
    <w:uiPriority w:val="99"/>
    <w:semiHidden/>
    <w:unhideWhenUsed/>
    <w:rsid w:val="003B4FF4"/>
  </w:style>
  <w:style w:type="character" w:customStyle="1" w:styleId="CommentaireCar">
    <w:name w:val="Commentaire Car"/>
    <w:basedOn w:val="Policepardfaut"/>
    <w:link w:val="Commentaire"/>
    <w:uiPriority w:val="99"/>
    <w:semiHidden/>
    <w:rsid w:val="003B4FF4"/>
    <w:rPr>
      <w:lang w:val="en-US"/>
    </w:rPr>
  </w:style>
  <w:style w:type="paragraph" w:styleId="Objetducommentaire">
    <w:name w:val="annotation subject"/>
    <w:basedOn w:val="Commentaire"/>
    <w:next w:val="Commentaire"/>
    <w:link w:val="ObjetducommentaireCar"/>
    <w:uiPriority w:val="99"/>
    <w:semiHidden/>
    <w:unhideWhenUsed/>
    <w:rsid w:val="003B4FF4"/>
    <w:rPr>
      <w:b/>
      <w:bCs/>
      <w:sz w:val="20"/>
      <w:szCs w:val="20"/>
    </w:rPr>
  </w:style>
  <w:style w:type="character" w:customStyle="1" w:styleId="ObjetducommentaireCar">
    <w:name w:val="Objet du commentaire Car"/>
    <w:basedOn w:val="CommentaireCar"/>
    <w:link w:val="Objetducommentaire"/>
    <w:uiPriority w:val="99"/>
    <w:semiHidden/>
    <w:rsid w:val="003B4FF4"/>
    <w:rPr>
      <w:b/>
      <w:bCs/>
      <w:sz w:val="20"/>
      <w:szCs w:val="20"/>
      <w:lang w:val="en-US"/>
    </w:rPr>
  </w:style>
  <w:style w:type="paragraph" w:styleId="Textedebulles">
    <w:name w:val="Balloon Text"/>
    <w:basedOn w:val="Normal"/>
    <w:link w:val="TextedebullesCar"/>
    <w:uiPriority w:val="99"/>
    <w:semiHidden/>
    <w:unhideWhenUsed/>
    <w:rsid w:val="003B4FF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B4FF4"/>
    <w:rPr>
      <w:rFonts w:ascii="Lucida Grande" w:hAnsi="Lucida Grande" w:cs="Lucida Grande"/>
      <w:sz w:val="18"/>
      <w:szCs w:val="18"/>
      <w:lang w:val="en-US"/>
    </w:rPr>
  </w:style>
  <w:style w:type="character" w:styleId="Lienhypertexte">
    <w:name w:val="Hyperlink"/>
    <w:basedOn w:val="Policepardfaut"/>
    <w:uiPriority w:val="99"/>
    <w:semiHidden/>
    <w:unhideWhenUsed/>
    <w:rsid w:val="003B4FF4"/>
    <w:rPr>
      <w:color w:val="0000FF"/>
      <w:u w:val="single"/>
    </w:rPr>
  </w:style>
  <w:style w:type="table" w:styleId="Grille">
    <w:name w:val="Table Grid"/>
    <w:basedOn w:val="TableauNormal"/>
    <w:uiPriority w:val="59"/>
    <w:rsid w:val="00953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D7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93075">
      <w:bodyDiv w:val="1"/>
      <w:marLeft w:val="0"/>
      <w:marRight w:val="0"/>
      <w:marTop w:val="0"/>
      <w:marBottom w:val="0"/>
      <w:divBdr>
        <w:top w:val="none" w:sz="0" w:space="0" w:color="auto"/>
        <w:left w:val="none" w:sz="0" w:space="0" w:color="auto"/>
        <w:bottom w:val="none" w:sz="0" w:space="0" w:color="auto"/>
        <w:right w:val="none" w:sz="0" w:space="0" w:color="auto"/>
      </w:divBdr>
    </w:div>
    <w:div w:id="223222900">
      <w:bodyDiv w:val="1"/>
      <w:marLeft w:val="0"/>
      <w:marRight w:val="0"/>
      <w:marTop w:val="0"/>
      <w:marBottom w:val="0"/>
      <w:divBdr>
        <w:top w:val="none" w:sz="0" w:space="0" w:color="auto"/>
        <w:left w:val="none" w:sz="0" w:space="0" w:color="auto"/>
        <w:bottom w:val="none" w:sz="0" w:space="0" w:color="auto"/>
        <w:right w:val="none" w:sz="0" w:space="0" w:color="auto"/>
      </w:divBdr>
    </w:div>
    <w:div w:id="299850870">
      <w:bodyDiv w:val="1"/>
      <w:marLeft w:val="0"/>
      <w:marRight w:val="0"/>
      <w:marTop w:val="0"/>
      <w:marBottom w:val="0"/>
      <w:divBdr>
        <w:top w:val="none" w:sz="0" w:space="0" w:color="auto"/>
        <w:left w:val="none" w:sz="0" w:space="0" w:color="auto"/>
        <w:bottom w:val="none" w:sz="0" w:space="0" w:color="auto"/>
        <w:right w:val="none" w:sz="0" w:space="0" w:color="auto"/>
      </w:divBdr>
    </w:div>
    <w:div w:id="587813075">
      <w:bodyDiv w:val="1"/>
      <w:marLeft w:val="0"/>
      <w:marRight w:val="0"/>
      <w:marTop w:val="0"/>
      <w:marBottom w:val="0"/>
      <w:divBdr>
        <w:top w:val="none" w:sz="0" w:space="0" w:color="auto"/>
        <w:left w:val="none" w:sz="0" w:space="0" w:color="auto"/>
        <w:bottom w:val="none" w:sz="0" w:space="0" w:color="auto"/>
        <w:right w:val="none" w:sz="0" w:space="0" w:color="auto"/>
      </w:divBdr>
    </w:div>
    <w:div w:id="905382318">
      <w:bodyDiv w:val="1"/>
      <w:marLeft w:val="0"/>
      <w:marRight w:val="0"/>
      <w:marTop w:val="0"/>
      <w:marBottom w:val="0"/>
      <w:divBdr>
        <w:top w:val="none" w:sz="0" w:space="0" w:color="auto"/>
        <w:left w:val="none" w:sz="0" w:space="0" w:color="auto"/>
        <w:bottom w:val="none" w:sz="0" w:space="0" w:color="auto"/>
        <w:right w:val="none" w:sz="0" w:space="0" w:color="auto"/>
      </w:divBdr>
    </w:div>
    <w:div w:id="1159544112">
      <w:bodyDiv w:val="1"/>
      <w:marLeft w:val="0"/>
      <w:marRight w:val="0"/>
      <w:marTop w:val="0"/>
      <w:marBottom w:val="0"/>
      <w:divBdr>
        <w:top w:val="none" w:sz="0" w:space="0" w:color="auto"/>
        <w:left w:val="none" w:sz="0" w:space="0" w:color="auto"/>
        <w:bottom w:val="none" w:sz="0" w:space="0" w:color="auto"/>
        <w:right w:val="none" w:sz="0" w:space="0" w:color="auto"/>
      </w:divBdr>
    </w:div>
    <w:div w:id="1595431417">
      <w:bodyDiv w:val="1"/>
      <w:marLeft w:val="0"/>
      <w:marRight w:val="0"/>
      <w:marTop w:val="0"/>
      <w:marBottom w:val="0"/>
      <w:divBdr>
        <w:top w:val="none" w:sz="0" w:space="0" w:color="auto"/>
        <w:left w:val="none" w:sz="0" w:space="0" w:color="auto"/>
        <w:bottom w:val="none" w:sz="0" w:space="0" w:color="auto"/>
        <w:right w:val="none" w:sz="0" w:space="0" w:color="auto"/>
      </w:divBdr>
    </w:div>
    <w:div w:id="1665891756">
      <w:bodyDiv w:val="1"/>
      <w:marLeft w:val="0"/>
      <w:marRight w:val="0"/>
      <w:marTop w:val="0"/>
      <w:marBottom w:val="0"/>
      <w:divBdr>
        <w:top w:val="none" w:sz="0" w:space="0" w:color="auto"/>
        <w:left w:val="none" w:sz="0" w:space="0" w:color="auto"/>
        <w:bottom w:val="none" w:sz="0" w:space="0" w:color="auto"/>
        <w:right w:val="none" w:sz="0" w:space="0" w:color="auto"/>
      </w:divBdr>
    </w:div>
    <w:div w:id="1677805494">
      <w:bodyDiv w:val="1"/>
      <w:marLeft w:val="0"/>
      <w:marRight w:val="0"/>
      <w:marTop w:val="0"/>
      <w:marBottom w:val="0"/>
      <w:divBdr>
        <w:top w:val="none" w:sz="0" w:space="0" w:color="auto"/>
        <w:left w:val="none" w:sz="0" w:space="0" w:color="auto"/>
        <w:bottom w:val="none" w:sz="0" w:space="0" w:color="auto"/>
        <w:right w:val="none" w:sz="0" w:space="0" w:color="auto"/>
      </w:divBdr>
    </w:div>
    <w:div w:id="1926573572">
      <w:bodyDiv w:val="1"/>
      <w:marLeft w:val="0"/>
      <w:marRight w:val="0"/>
      <w:marTop w:val="0"/>
      <w:marBottom w:val="0"/>
      <w:divBdr>
        <w:top w:val="none" w:sz="0" w:space="0" w:color="auto"/>
        <w:left w:val="none" w:sz="0" w:space="0" w:color="auto"/>
        <w:bottom w:val="none" w:sz="0" w:space="0" w:color="auto"/>
        <w:right w:val="none" w:sz="0" w:space="0" w:color="auto"/>
      </w:divBdr>
    </w:div>
    <w:div w:id="1984462261">
      <w:bodyDiv w:val="1"/>
      <w:marLeft w:val="0"/>
      <w:marRight w:val="0"/>
      <w:marTop w:val="0"/>
      <w:marBottom w:val="0"/>
      <w:divBdr>
        <w:top w:val="none" w:sz="0" w:space="0" w:color="auto"/>
        <w:left w:val="none" w:sz="0" w:space="0" w:color="auto"/>
        <w:bottom w:val="none" w:sz="0" w:space="0" w:color="auto"/>
        <w:right w:val="none" w:sz="0" w:space="0" w:color="auto"/>
      </w:divBdr>
    </w:div>
    <w:div w:id="20660229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comments.xml.rels><?xml version="1.0" encoding="UTF-8" standalone="yes"?>
<Relationships xmlns="http://schemas.openxmlformats.org/package/2006/relationships"><Relationship Id="rId11" Type="http://schemas.openxmlformats.org/officeDocument/2006/relationships/hyperlink" Target="http://en.wikipedia.org/wiki/Lymphocyte" TargetMode="External"/><Relationship Id="rId12" Type="http://schemas.openxmlformats.org/officeDocument/2006/relationships/hyperlink" Target="http://en.wikipedia.org/wiki/Antigen" TargetMode="External"/><Relationship Id="rId13" Type="http://schemas.openxmlformats.org/officeDocument/2006/relationships/hyperlink" Target="http://en.wikipedia.org/wiki/Bacteria" TargetMode="External"/><Relationship Id="rId14" Type="http://schemas.openxmlformats.org/officeDocument/2006/relationships/hyperlink" Target="http://en.wikipedia.org/wiki/Virus" TargetMode="External"/><Relationship Id="rId15" Type="http://schemas.openxmlformats.org/officeDocument/2006/relationships/hyperlink" Target="http://en.wikipedia.org/wiki/Parasite" TargetMode="External"/><Relationship Id="rId16" Type="http://schemas.openxmlformats.org/officeDocument/2006/relationships/hyperlink" Target="http://en.wikipedia.org/wiki/Tumor" TargetMode="External"/><Relationship Id="rId17" Type="http://schemas.openxmlformats.org/officeDocument/2006/relationships/hyperlink" Target="http://en.wikipedia.org/wiki/V%28D%29J_recombination" TargetMode="External"/><Relationship Id="rId18" Type="http://schemas.openxmlformats.org/officeDocument/2006/relationships/hyperlink" Target="http://en.wikipedia.org/wiki/Pollen" TargetMode="External"/><Relationship Id="rId1" Type="http://schemas.openxmlformats.org/officeDocument/2006/relationships/hyperlink" Target="http://en.wikipedia.org/wiki/Genetic_recombination" TargetMode="External"/><Relationship Id="rId2" Type="http://schemas.openxmlformats.org/officeDocument/2006/relationships/hyperlink" Target="http://en.wikipedia.org/wiki/Antibody" TargetMode="External"/><Relationship Id="rId3" Type="http://schemas.openxmlformats.org/officeDocument/2006/relationships/hyperlink" Target="http://en.wikipedia.org/wiki/T_cell_receptor" TargetMode="External"/><Relationship Id="rId4" Type="http://schemas.openxmlformats.org/officeDocument/2006/relationships/hyperlink" Target="http://en.wikipedia.org/wiki/Immune_system" TargetMode="External"/><Relationship Id="rId5" Type="http://schemas.openxmlformats.org/officeDocument/2006/relationships/hyperlink" Target="http://en.wikipedia.org/wiki/Bone_marrow" TargetMode="External"/><Relationship Id="rId6" Type="http://schemas.openxmlformats.org/officeDocument/2006/relationships/hyperlink" Target="http://en.wikipedia.org/wiki/B_cells" TargetMode="External"/><Relationship Id="rId7" Type="http://schemas.openxmlformats.org/officeDocument/2006/relationships/hyperlink" Target="http://en.wikipedia.org/wiki/Thymus" TargetMode="External"/><Relationship Id="rId8" Type="http://schemas.openxmlformats.org/officeDocument/2006/relationships/hyperlink" Target="http://en.wikipedia.org/wiki/T_cells" TargetMode="External"/><Relationship Id="rId9" Type="http://schemas.openxmlformats.org/officeDocument/2006/relationships/hyperlink" Target="http://en.wikipedia.org/wiki/Gene" TargetMode="External"/><Relationship Id="rId10" Type="http://schemas.openxmlformats.org/officeDocument/2006/relationships/hyperlink" Target="http://en.wikipedia.org/wiki/Vertebrate" TargetMode="External"/></Relationship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6</Pages>
  <Words>1954</Words>
  <Characters>10748</Characters>
  <Application>Microsoft Macintosh Word</Application>
  <DocSecurity>0</DocSecurity>
  <Lines>89</Lines>
  <Paragraphs>25</Paragraphs>
  <ScaleCrop>false</ScaleCrop>
  <Company/>
  <LinksUpToDate>false</LinksUpToDate>
  <CharactersWithSpaces>12677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2014-07-26T17:34:00Z</dcterms:created>
  <dcterms:modified xsi:type="dcterms:W3CDTF">2014-07-27T03:15:00Z</dcterms:modified>
</cp:coreProperties>
</file>