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25" w:rsidRPr="00AE6385" w:rsidRDefault="00E64925">
      <w:pPr>
        <w:rPr>
          <w:sz w:val="28"/>
        </w:rPr>
      </w:pPr>
      <w:r w:rsidRPr="00AE6385">
        <w:rPr>
          <w:sz w:val="28"/>
        </w:rPr>
        <w:t xml:space="preserve">Comparison of </w:t>
      </w:r>
      <w:proofErr w:type="spellStart"/>
      <w:r w:rsidRPr="00AE6385">
        <w:rPr>
          <w:sz w:val="28"/>
        </w:rPr>
        <w:t>thermodilution</w:t>
      </w:r>
      <w:proofErr w:type="spellEnd"/>
      <w:r w:rsidRPr="00AE6385">
        <w:rPr>
          <w:sz w:val="28"/>
        </w:rPr>
        <w:t>, lithium dilution and pulse contour analysis for the measurement of cardiac output in 3 different hemodynamic states in dogs</w:t>
      </w:r>
      <w:r w:rsidR="00AE6385">
        <w:rPr>
          <w:sz w:val="28"/>
        </w:rPr>
        <w:t xml:space="preserve"> </w:t>
      </w:r>
      <w:proofErr w:type="spellStart"/>
      <w:r w:rsidR="00AE6385">
        <w:t>Mordaz</w:t>
      </w:r>
      <w:proofErr w:type="spellEnd"/>
      <w:r w:rsidR="00AE6385">
        <w:t xml:space="preserve"> et al JVECC 2014</w:t>
      </w:r>
    </w:p>
    <w:p w:rsidR="00E64925" w:rsidRDefault="00E64925">
      <w:r>
        <w:t>Prospective randomized study on 14 healthy beagles</w:t>
      </w:r>
    </w:p>
    <w:p w:rsidR="00E52B89" w:rsidRDefault="00E52B89">
      <w:r>
        <w:t xml:space="preserve">Objective: Evaluate PAC, </w:t>
      </w:r>
      <w:proofErr w:type="spellStart"/>
      <w:r>
        <w:t>LiDCO</w:t>
      </w:r>
      <w:proofErr w:type="spellEnd"/>
      <w:r>
        <w:t xml:space="preserve">, </w:t>
      </w:r>
      <w:proofErr w:type="spellStart"/>
      <w:proofErr w:type="gramStart"/>
      <w:r>
        <w:t>PiCCO</w:t>
      </w:r>
      <w:proofErr w:type="spellEnd"/>
      <w:proofErr w:type="gramEnd"/>
      <w:r>
        <w:t xml:space="preserve"> under three different sets of </w:t>
      </w:r>
      <w:proofErr w:type="spellStart"/>
      <w:r>
        <w:t>hemodynamicconditions</w:t>
      </w:r>
      <w:proofErr w:type="spellEnd"/>
      <w:r>
        <w:t xml:space="preserve"> in dogs. Also compare performance of continuous CO values by the </w:t>
      </w:r>
      <w:proofErr w:type="spellStart"/>
      <w:r>
        <w:t>PulseCO</w:t>
      </w:r>
      <w:proofErr w:type="spellEnd"/>
      <w:r>
        <w:t xml:space="preserve"> and </w:t>
      </w:r>
      <w:proofErr w:type="spellStart"/>
      <w:r>
        <w:t>PiCCOc</w:t>
      </w:r>
      <w:proofErr w:type="spellEnd"/>
      <w:r>
        <w:t>.</w:t>
      </w:r>
    </w:p>
    <w:p w:rsidR="00E64925" w:rsidRDefault="00E64925">
      <w:r>
        <w:t xml:space="preserve">Conclusions: </w:t>
      </w:r>
      <w:proofErr w:type="spellStart"/>
      <w:r>
        <w:t>LiDCO</w:t>
      </w:r>
      <w:proofErr w:type="spellEnd"/>
      <w:r>
        <w:t xml:space="preserve"> and </w:t>
      </w:r>
      <w:proofErr w:type="spellStart"/>
      <w:r>
        <w:t>PiCCOc</w:t>
      </w:r>
      <w:proofErr w:type="spellEnd"/>
      <w:r>
        <w:t xml:space="preserve"> agreed well with PAC-TD for the measurement of CO under different hemodynamic conditions. </w:t>
      </w:r>
      <w:proofErr w:type="spellStart"/>
      <w:r>
        <w:t>PiCCOc</w:t>
      </w:r>
      <w:proofErr w:type="spellEnd"/>
      <w:r>
        <w:t xml:space="preserve"> appears to be an accurate method for monitoring continuous CO in dos.</w:t>
      </w:r>
    </w:p>
    <w:p w:rsidR="00E64925" w:rsidRDefault="00E64925"/>
    <w:p w:rsidR="00E64925" w:rsidRDefault="00E64925">
      <w:r>
        <w:t>Introduction</w:t>
      </w:r>
    </w:p>
    <w:p w:rsidR="00E52B89" w:rsidRDefault="00E52B89">
      <w:r>
        <w:t xml:space="preserve">CO 125-200ml/kg/min normally. </w:t>
      </w:r>
    </w:p>
    <w:p w:rsidR="00E52B89" w:rsidRDefault="00E52B89">
      <w:proofErr w:type="spellStart"/>
      <w:r>
        <w:t>Thermodilution</w:t>
      </w:r>
      <w:proofErr w:type="spellEnd"/>
      <w:r>
        <w:t xml:space="preserve"> is reference standard in vet med currently, </w:t>
      </w:r>
      <w:proofErr w:type="spellStart"/>
      <w:r>
        <w:t>req</w:t>
      </w:r>
      <w:proofErr w:type="spellEnd"/>
      <w:r>
        <w:t xml:space="preserve"> use of a PAC. Cold fluid bolus into the RA, which is measured by the PAC. Can also measure </w:t>
      </w:r>
      <w:proofErr w:type="spellStart"/>
      <w:r>
        <w:t>pulm</w:t>
      </w:r>
      <w:proofErr w:type="spellEnd"/>
      <w:r>
        <w:t xml:space="preserve"> arterial pressure, CVP, PCWP. Complications include arrhythmias, heart block, knotting of the catheter, thrombosis, infection, air emboli (catheter rupture), PA rupture, inability to wedge the catheter, pulmonary infarction. </w:t>
      </w:r>
    </w:p>
    <w:p w:rsidR="00E52B89" w:rsidRDefault="00E52B89">
      <w:proofErr w:type="spellStart"/>
      <w:r>
        <w:t>LiDCO</w:t>
      </w:r>
      <w:proofErr w:type="spellEnd"/>
      <w:r>
        <w:t xml:space="preserve"> – IV administration of lithium and measurement of the blood concentration from an arterial catheter. </w:t>
      </w:r>
      <w:proofErr w:type="spellStart"/>
      <w:r>
        <w:t>Calc</w:t>
      </w:r>
      <w:proofErr w:type="spellEnd"/>
      <w:r>
        <w:t xml:space="preserve"> CO using the concentration-time curve (</w:t>
      </w:r>
      <w:proofErr w:type="spellStart"/>
      <w:r>
        <w:t>LiDCCOplus</w:t>
      </w:r>
      <w:proofErr w:type="spellEnd"/>
      <w:r>
        <w:t xml:space="preserve"> monitor). </w:t>
      </w:r>
      <w:proofErr w:type="spellStart"/>
      <w:r>
        <w:t>LiCCDO</w:t>
      </w:r>
      <w:proofErr w:type="spellEnd"/>
      <w:r>
        <w:t xml:space="preserve"> plus can also calculate CO by continuously performing pulse power analysis (Pulse CO). </w:t>
      </w:r>
    </w:p>
    <w:p w:rsidR="00E52B89" w:rsidRDefault="00E52B89">
      <w:proofErr w:type="spellStart"/>
      <w:r>
        <w:t>PiCCOplus</w:t>
      </w:r>
      <w:proofErr w:type="spellEnd"/>
      <w:r>
        <w:t xml:space="preserve"> – measures the CO using </w:t>
      </w:r>
      <w:proofErr w:type="spellStart"/>
      <w:r>
        <w:t>transpoulmonary</w:t>
      </w:r>
      <w:proofErr w:type="spellEnd"/>
      <w:r>
        <w:t xml:space="preserve"> </w:t>
      </w:r>
      <w:proofErr w:type="spellStart"/>
      <w:r>
        <w:t>thermodilution</w:t>
      </w:r>
      <w:proofErr w:type="spellEnd"/>
      <w:r>
        <w:t xml:space="preserve"> (</w:t>
      </w:r>
      <w:proofErr w:type="spellStart"/>
      <w:r>
        <w:t>PiCCOTD</w:t>
      </w:r>
      <w:proofErr w:type="spellEnd"/>
      <w:r>
        <w:t>) and can provide continuous pulse contour analysis (</w:t>
      </w:r>
      <w:proofErr w:type="spellStart"/>
      <w:r>
        <w:t>PiCCOc</w:t>
      </w:r>
      <w:proofErr w:type="spellEnd"/>
      <w:r>
        <w:t xml:space="preserve">). Uses the </w:t>
      </w:r>
      <w:proofErr w:type="spellStart"/>
      <w:r>
        <w:t>Wesseling</w:t>
      </w:r>
      <w:proofErr w:type="spellEnd"/>
      <w:r>
        <w:t xml:space="preserve"> model – stroke volume is related to the area under the systolic portion of the aortic pressure waveform on a beat-to-beat basis as well as aortic impedance.  </w:t>
      </w:r>
    </w:p>
    <w:p w:rsidR="00E52B89" w:rsidRDefault="00E52B89"/>
    <w:p w:rsidR="00E52B89" w:rsidRDefault="00E52B89">
      <w:r>
        <w:t>Materials and Methods</w:t>
      </w:r>
    </w:p>
    <w:p w:rsidR="00E52B89" w:rsidRDefault="00E52B89">
      <w:r>
        <w:t xml:space="preserve">Anesthetized beagles. Placed: </w:t>
      </w:r>
      <w:proofErr w:type="spellStart"/>
      <w:r>
        <w:t>PiCCO</w:t>
      </w:r>
      <w:proofErr w:type="spellEnd"/>
      <w:r>
        <w:t xml:space="preserve"> plus catheter into right femoral artery, standard art </w:t>
      </w:r>
      <w:proofErr w:type="spellStart"/>
      <w:r>
        <w:t>cath</w:t>
      </w:r>
      <w:proofErr w:type="spellEnd"/>
      <w:r>
        <w:t xml:space="preserve"> into left femoral artery. PAC into right jug, central venous catheter into left jug.</w:t>
      </w:r>
    </w:p>
    <w:p w:rsidR="00E52B89" w:rsidRDefault="00902A81">
      <w:r>
        <w:t xml:space="preserve">Randomized to order. </w:t>
      </w:r>
      <w:r w:rsidR="00E52B89">
        <w:t xml:space="preserve">Performed </w:t>
      </w:r>
      <w:proofErr w:type="spellStart"/>
      <w:r w:rsidR="00E52B89">
        <w:t>thermodilution</w:t>
      </w:r>
      <w:proofErr w:type="spellEnd"/>
      <w:r w:rsidR="00E52B89">
        <w:t xml:space="preserve"> (conventional and </w:t>
      </w:r>
      <w:proofErr w:type="spellStart"/>
      <w:r w:rsidR="00E52B89">
        <w:t>transpulmonary</w:t>
      </w:r>
      <w:proofErr w:type="spellEnd"/>
      <w:r w:rsidR="00E52B89">
        <w:t xml:space="preserve">) simultaneously. </w:t>
      </w:r>
      <w:r>
        <w:t xml:space="preserve">Lithium dilution. </w:t>
      </w:r>
    </w:p>
    <w:p w:rsidR="00902A81" w:rsidRDefault="00902A81">
      <w:r>
        <w:t>Produced three different sets of hemodynamic conditions (defined by BP).</w:t>
      </w:r>
    </w:p>
    <w:p w:rsidR="00902A81" w:rsidRDefault="00902A81">
      <w:proofErr w:type="spellStart"/>
      <w:r>
        <w:t>Normodynamic</w:t>
      </w:r>
      <w:proofErr w:type="spellEnd"/>
      <w:r>
        <w:t xml:space="preserve"> – MAP 70-90; </w:t>
      </w:r>
      <w:proofErr w:type="spellStart"/>
      <w:r>
        <w:t>Hypodynamic</w:t>
      </w:r>
      <w:proofErr w:type="spellEnd"/>
      <w:r>
        <w:t xml:space="preserve"> MAP &lt;60 (increased </w:t>
      </w:r>
      <w:proofErr w:type="spellStart"/>
      <w:r>
        <w:t>sevo</w:t>
      </w:r>
      <w:proofErr w:type="spellEnd"/>
      <w:r>
        <w:t xml:space="preserve">), </w:t>
      </w:r>
      <w:proofErr w:type="spellStart"/>
      <w:r>
        <w:t>hyperdynamic</w:t>
      </w:r>
      <w:proofErr w:type="spellEnd"/>
      <w:r>
        <w:t xml:space="preserve"> MAP &gt;110 (</w:t>
      </w:r>
      <w:proofErr w:type="spellStart"/>
      <w:r>
        <w:t>norepi</w:t>
      </w:r>
      <w:proofErr w:type="spellEnd"/>
      <w:r>
        <w:t xml:space="preserve"> administered).</w:t>
      </w:r>
    </w:p>
    <w:p w:rsidR="00902A81" w:rsidRDefault="00902A81"/>
    <w:p w:rsidR="00902A81" w:rsidRDefault="00902A81">
      <w:r>
        <w:t>Results</w:t>
      </w:r>
    </w:p>
    <w:p w:rsidR="00902A81" w:rsidRDefault="00902A81">
      <w:r>
        <w:t xml:space="preserve">Good concordance between monitors – better for </w:t>
      </w:r>
      <w:proofErr w:type="spellStart"/>
      <w:r>
        <w:t>PiCCOTD</w:t>
      </w:r>
      <w:proofErr w:type="spellEnd"/>
      <w:r>
        <w:t xml:space="preserve">/PAC than for </w:t>
      </w:r>
      <w:proofErr w:type="spellStart"/>
      <w:r>
        <w:t>LiDCO</w:t>
      </w:r>
      <w:proofErr w:type="spellEnd"/>
      <w:r>
        <w:t>/PAC (NSD)</w:t>
      </w:r>
    </w:p>
    <w:p w:rsidR="00902A81" w:rsidRDefault="00902A81">
      <w:r>
        <w:t>Conclusion that all methods were similar to the PAC results, and that both monitors are valid for measurement of CO in dogs.</w:t>
      </w:r>
    </w:p>
    <w:p w:rsidR="00902A81" w:rsidRDefault="00902A81">
      <w:proofErr w:type="spellStart"/>
      <w:r>
        <w:t>LiDCO</w:t>
      </w:r>
      <w:proofErr w:type="spellEnd"/>
      <w:r>
        <w:t xml:space="preserve"> and </w:t>
      </w:r>
      <w:proofErr w:type="spellStart"/>
      <w:r>
        <w:t>PiCCO</w:t>
      </w:r>
      <w:proofErr w:type="spellEnd"/>
      <w:r>
        <w:t xml:space="preserve"> tended to overestimate the value in </w:t>
      </w:r>
      <w:proofErr w:type="spellStart"/>
      <w:r>
        <w:t>hypodynamic</w:t>
      </w:r>
      <w:proofErr w:type="spellEnd"/>
      <w:r>
        <w:t xml:space="preserve"> phase and underestimate the value in the </w:t>
      </w:r>
      <w:proofErr w:type="spellStart"/>
      <w:r>
        <w:t>hyperdynamic</w:t>
      </w:r>
      <w:proofErr w:type="spellEnd"/>
      <w:r>
        <w:t xml:space="preserve"> phase, although the results were not significant. </w:t>
      </w:r>
    </w:p>
    <w:p w:rsidR="00AE6385" w:rsidRDefault="00AE6385">
      <w:r>
        <w:t xml:space="preserve">CO monitoring may be inaccurate in aortic regurgitation, severe arrhythmias, or contraindicated in </w:t>
      </w:r>
      <w:proofErr w:type="spellStart"/>
      <w:r>
        <w:t>coagulopathic</w:t>
      </w:r>
      <w:proofErr w:type="spellEnd"/>
      <w:r>
        <w:t xml:space="preserve"> animals. </w:t>
      </w:r>
    </w:p>
    <w:p w:rsidR="00AE6385" w:rsidRDefault="00AE6385"/>
    <w:p w:rsidR="00AE6385" w:rsidRDefault="00AE6385">
      <w:r w:rsidRPr="00AE6385">
        <w:rPr>
          <w:sz w:val="32"/>
        </w:rPr>
        <w:lastRenderedPageBreak/>
        <w:t>Effects of rapid IV 100% L-isomer LRS on plasma lactate in healthy dogs</w:t>
      </w:r>
      <w:r>
        <w:t xml:space="preserve">. </w:t>
      </w:r>
      <w:proofErr w:type="spellStart"/>
      <w:r>
        <w:t>Boysen</w:t>
      </w:r>
      <w:proofErr w:type="spellEnd"/>
      <w:r>
        <w:t xml:space="preserve"> and Dorval JVECC 2014</w:t>
      </w:r>
    </w:p>
    <w:p w:rsidR="00AE6385" w:rsidRDefault="00AE6385">
      <w:r>
        <w:t>Prospective crossover trial, 4 week washout, 6 healthy beagles</w:t>
      </w:r>
    </w:p>
    <w:p w:rsidR="00AE6385" w:rsidRDefault="00AE6385">
      <w:r>
        <w:t xml:space="preserve">Dogs received 180ml/kg over 1 hours of L-LRS, 4 week washout, then same dose 0.9% </w:t>
      </w:r>
      <w:proofErr w:type="spellStart"/>
      <w:r>
        <w:t>NaCl</w:t>
      </w:r>
      <w:proofErr w:type="spellEnd"/>
      <w:r>
        <w:t xml:space="preserve">. Measured baseline then q10min samples with handheld meter during fluid administration, then 1 hour after. Measured with blood gas analyzer </w:t>
      </w:r>
      <w:proofErr w:type="gramStart"/>
      <w:r>
        <w:t>at )</w:t>
      </w:r>
      <w:proofErr w:type="gramEnd"/>
      <w:r>
        <w:t>, 60, 120 also.</w:t>
      </w:r>
    </w:p>
    <w:p w:rsidR="00AE6385" w:rsidRDefault="00AE6385"/>
    <w:p w:rsidR="00AE6385" w:rsidRDefault="00AE6385">
      <w:r>
        <w:t xml:space="preserve">Lactated ringers – possibly pro-inflammatory, contributing to </w:t>
      </w:r>
      <w:proofErr w:type="spellStart"/>
      <w:r>
        <w:t>neut</w:t>
      </w:r>
      <w:proofErr w:type="spellEnd"/>
      <w:r>
        <w:t xml:space="preserve"> activation, adhesion molecule expression, migration, and apoptosis in lungs liver and intestines. Also blamed for production of ROS. Reports of D-lactic acidosis causing neuro impairment (encephalopathy, ataxia, delirium, confusion, weakness, coma) and alterations in cardiac rhythm (bradycardia, VPC, </w:t>
      </w:r>
      <w:proofErr w:type="spellStart"/>
      <w:r>
        <w:t>vfib</w:t>
      </w:r>
      <w:proofErr w:type="spellEnd"/>
      <w:r>
        <w:t xml:space="preserve">). Evidence suggests that the D-lactate isomer is the culprit. </w:t>
      </w:r>
    </w:p>
    <w:p w:rsidR="00431850" w:rsidRDefault="00431850">
      <w:r>
        <w:t>Standard monitors can only measure L-lactate.</w:t>
      </w:r>
    </w:p>
    <w:p w:rsidR="00431850" w:rsidRDefault="00431850">
      <w:r>
        <w:t xml:space="preserve">This study tests the </w:t>
      </w:r>
      <w:r w:rsidR="00DA4BEE">
        <w:t>use of L-</w:t>
      </w:r>
      <w:proofErr w:type="spellStart"/>
      <w:r w:rsidR="00DA4BEE">
        <w:t>lacate</w:t>
      </w:r>
      <w:proofErr w:type="spellEnd"/>
      <w:r w:rsidR="00DA4BEE">
        <w:t xml:space="preserve"> isomer LRS and if can increase the plasma lactate levels in healthy dogs. </w:t>
      </w:r>
    </w:p>
    <w:p w:rsidR="00DA4BEE" w:rsidRDefault="00DA4BEE">
      <w:r>
        <w:t xml:space="preserve">Results </w:t>
      </w:r>
    </w:p>
    <w:p w:rsidR="00DA4BEE" w:rsidRDefault="00DA4BEE">
      <w:r w:rsidRPr="00DA4BEE">
        <w:rPr>
          <w:noProof/>
        </w:rPr>
        <w:drawing>
          <wp:inline distT="0" distB="0" distL="0" distR="0">
            <wp:extent cx="3000375" cy="1905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2A81" w:rsidRPr="00E64925" w:rsidRDefault="00902A81"/>
    <w:sectPr w:rsidR="00902A81" w:rsidRPr="00E64925" w:rsidSect="00AE63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25"/>
    <w:rsid w:val="00431850"/>
    <w:rsid w:val="00902A81"/>
    <w:rsid w:val="00AE6385"/>
    <w:rsid w:val="00BC6668"/>
    <w:rsid w:val="00D56B39"/>
    <w:rsid w:val="00DA4BEE"/>
    <w:rsid w:val="00E52B89"/>
    <w:rsid w:val="00E6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FCD59-A8F8-4009-AB01-D6DD4212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</cp:revision>
  <dcterms:created xsi:type="dcterms:W3CDTF">2014-11-06T12:30:00Z</dcterms:created>
  <dcterms:modified xsi:type="dcterms:W3CDTF">2014-11-06T14:53:00Z</dcterms:modified>
</cp:coreProperties>
</file>