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2" w:rsidRDefault="000C542E">
      <w:pPr>
        <w:rPr>
          <w:rFonts w:asciiTheme="majorHAnsi" w:hAnsiTheme="majorHAnsi"/>
        </w:rPr>
      </w:pPr>
      <w:r>
        <w:rPr>
          <w:rFonts w:asciiTheme="majorHAnsi" w:hAnsiTheme="majorHAnsi"/>
        </w:rPr>
        <w:t>JVECC Evaluation of a transcutaneous blood gas monitoring system in critically ill dogs</w:t>
      </w:r>
    </w:p>
    <w:p w:rsidR="000C542E" w:rsidRDefault="000C542E">
      <w:pPr>
        <w:rPr>
          <w:rFonts w:asciiTheme="majorHAnsi" w:hAnsiTheme="majorHAnsi"/>
        </w:rPr>
      </w:pPr>
    </w:p>
    <w:p w:rsidR="000C542E" w:rsidRDefault="000C542E">
      <w:pPr>
        <w:rPr>
          <w:rFonts w:asciiTheme="majorHAnsi" w:hAnsiTheme="majorHAnsi"/>
        </w:rPr>
      </w:pPr>
      <w:r>
        <w:rPr>
          <w:rFonts w:asciiTheme="majorHAnsi" w:hAnsiTheme="majorHAnsi"/>
        </w:rPr>
        <w:t>Key points:</w:t>
      </w:r>
    </w:p>
    <w:p w:rsidR="000C542E" w:rsidRPr="007E7EBB" w:rsidRDefault="000C542E" w:rsidP="007E7EBB">
      <w:pPr>
        <w:pStyle w:val="ListParagraph"/>
        <w:numPr>
          <w:ilvl w:val="0"/>
          <w:numId w:val="1"/>
        </w:numPr>
        <w:rPr>
          <w:rFonts w:asciiTheme="majorHAnsi" w:hAnsiTheme="majorHAnsi"/>
        </w:rPr>
      </w:pPr>
      <w:r w:rsidRPr="007E7EBB">
        <w:rPr>
          <w:rFonts w:asciiTheme="majorHAnsi" w:hAnsiTheme="majorHAnsi"/>
        </w:rPr>
        <w:t xml:space="preserve">Transcutaneous blood gas monitors are used in human medicine to obtain noninvasive blood gas measurements during mechanical ventilation, bronchoscopy, and sleep apnea studies </w:t>
      </w:r>
      <w:proofErr w:type="spellStart"/>
      <w:proofErr w:type="gramStart"/>
      <w:r w:rsidRPr="007E7EBB">
        <w:rPr>
          <w:rFonts w:asciiTheme="majorHAnsi" w:hAnsiTheme="majorHAnsi"/>
        </w:rPr>
        <w:t>ot</w:t>
      </w:r>
      <w:proofErr w:type="spellEnd"/>
      <w:proofErr w:type="gramEnd"/>
      <w:r w:rsidRPr="007E7EBB">
        <w:rPr>
          <w:rFonts w:asciiTheme="majorHAnsi" w:hAnsiTheme="majorHAnsi"/>
        </w:rPr>
        <w:t xml:space="preserve"> pulmonary function studies. They enable assessment of adequacy of ventilation and oxygenation, tissue perfusion and the viability of skin flaps or ischemic limbs. PtcCO2 has been shown to be more accurate than ETCO2 in human studies. </w:t>
      </w:r>
    </w:p>
    <w:p w:rsidR="007E7EBB" w:rsidRDefault="007E7EBB" w:rsidP="007E7EBB">
      <w:pPr>
        <w:pStyle w:val="ListParagraph"/>
        <w:numPr>
          <w:ilvl w:val="0"/>
          <w:numId w:val="1"/>
        </w:numPr>
        <w:rPr>
          <w:rFonts w:asciiTheme="majorHAnsi" w:hAnsiTheme="majorHAnsi"/>
        </w:rPr>
      </w:pPr>
      <w:r>
        <w:rPr>
          <w:rFonts w:asciiTheme="majorHAnsi" w:hAnsiTheme="majorHAnsi"/>
        </w:rPr>
        <w:t xml:space="preserve">Measurements with the transcutaneous monitor did not correlate with blood gas measurements in this group of critically ill dogs. </w:t>
      </w:r>
      <w:r w:rsidR="00EF0307">
        <w:rPr>
          <w:rFonts w:asciiTheme="majorHAnsi" w:hAnsiTheme="majorHAnsi"/>
        </w:rPr>
        <w:t xml:space="preserve">Bland-Altman analyses revealed that the transcutaneous blood gas measurements had moderate agreement with arterial blood gas measurements. PtcO2 overestimated PaO2 by ~5 mmHg. PtcCO2 overestimated PaCO2 by ~9mmHg. However the measurements were often very different from ABG readings. </w:t>
      </w:r>
    </w:p>
    <w:p w:rsidR="00EF0307" w:rsidRDefault="00EF0307" w:rsidP="007E7EBB">
      <w:pPr>
        <w:pStyle w:val="ListParagraph"/>
        <w:numPr>
          <w:ilvl w:val="0"/>
          <w:numId w:val="1"/>
        </w:numPr>
        <w:rPr>
          <w:rFonts w:asciiTheme="majorHAnsi" w:hAnsiTheme="majorHAnsi"/>
        </w:rPr>
      </w:pPr>
      <w:r>
        <w:rPr>
          <w:rFonts w:asciiTheme="majorHAnsi" w:hAnsiTheme="majorHAnsi"/>
        </w:rPr>
        <w:t>Inaccuracies in transcutaneous blood gas measurements can occur for many reasons: inappropriate heating of sensor probe, improper calibration, trapped air bubbles underneath the sensor, leaks in the fixation device, damaged sensor. Hypoperfusion, vasoactive drugs, peripheral edema, or increased thickness of skin or SQ area with limited blood flow can lead to falsely decreased O2 and CO2 readings.</w:t>
      </w:r>
    </w:p>
    <w:p w:rsidR="00EF0307" w:rsidRDefault="00EF0307" w:rsidP="00EF0307">
      <w:pPr>
        <w:rPr>
          <w:rFonts w:asciiTheme="majorHAnsi" w:hAnsiTheme="majorHAnsi"/>
        </w:rPr>
      </w:pPr>
    </w:p>
    <w:p w:rsidR="00EF0307" w:rsidRDefault="00EF0307" w:rsidP="00EF0307">
      <w:pPr>
        <w:rPr>
          <w:rFonts w:asciiTheme="majorHAnsi" w:hAnsiTheme="majorHAnsi"/>
        </w:rPr>
      </w:pPr>
    </w:p>
    <w:p w:rsidR="00EF0307" w:rsidRDefault="00EF0307" w:rsidP="00EF0307">
      <w:pPr>
        <w:rPr>
          <w:rFonts w:asciiTheme="majorHAnsi" w:hAnsiTheme="majorHAnsi"/>
        </w:rPr>
      </w:pPr>
      <w:r>
        <w:rPr>
          <w:rFonts w:asciiTheme="majorHAnsi" w:hAnsiTheme="majorHAnsi"/>
        </w:rPr>
        <w:t xml:space="preserve">Questions: </w:t>
      </w:r>
    </w:p>
    <w:p w:rsidR="00EF0307" w:rsidRDefault="00EF0307" w:rsidP="00EF0307">
      <w:pPr>
        <w:rPr>
          <w:rFonts w:asciiTheme="majorHAnsi" w:hAnsiTheme="majorHAnsi"/>
        </w:rPr>
      </w:pPr>
    </w:p>
    <w:p w:rsidR="00EF0307" w:rsidRDefault="00EF0307" w:rsidP="00EF0307">
      <w:pPr>
        <w:pStyle w:val="ListParagraph"/>
        <w:numPr>
          <w:ilvl w:val="0"/>
          <w:numId w:val="2"/>
        </w:numPr>
        <w:rPr>
          <w:rFonts w:asciiTheme="majorHAnsi" w:hAnsiTheme="majorHAnsi"/>
        </w:rPr>
      </w:pPr>
      <w:r w:rsidRPr="00EF0307">
        <w:rPr>
          <w:rFonts w:asciiTheme="majorHAnsi" w:hAnsiTheme="majorHAnsi"/>
        </w:rPr>
        <w:t>True or False. This study indicated that transcutaneous blood gas monitoring was a reliable alternative to standard arterial blood gas monitoring.</w:t>
      </w:r>
    </w:p>
    <w:p w:rsidR="00EF0307" w:rsidRDefault="00EB32BD" w:rsidP="00EF0307">
      <w:pPr>
        <w:pStyle w:val="ListParagraph"/>
        <w:numPr>
          <w:ilvl w:val="0"/>
          <w:numId w:val="2"/>
        </w:numPr>
        <w:rPr>
          <w:rFonts w:asciiTheme="majorHAnsi" w:hAnsiTheme="majorHAnsi"/>
        </w:rPr>
      </w:pPr>
      <w:r>
        <w:rPr>
          <w:rFonts w:asciiTheme="majorHAnsi" w:hAnsiTheme="majorHAnsi"/>
        </w:rPr>
        <w:t>True or</w:t>
      </w:r>
      <w:r w:rsidR="00EF0307">
        <w:rPr>
          <w:rFonts w:asciiTheme="majorHAnsi" w:hAnsiTheme="majorHAnsi"/>
        </w:rPr>
        <w:t xml:space="preserve"> False. </w:t>
      </w:r>
      <w:r>
        <w:rPr>
          <w:rFonts w:asciiTheme="majorHAnsi" w:hAnsiTheme="majorHAnsi"/>
        </w:rPr>
        <w:t>The use of vasopressors in this study was found to decrease the correlation between transcutaneous and traditional ABG measurements.</w:t>
      </w:r>
    </w:p>
    <w:p w:rsidR="00EB32BD" w:rsidRDefault="00EB32BD" w:rsidP="00EF0307">
      <w:pPr>
        <w:pStyle w:val="ListParagraph"/>
        <w:numPr>
          <w:ilvl w:val="0"/>
          <w:numId w:val="2"/>
        </w:numPr>
        <w:rPr>
          <w:rFonts w:asciiTheme="majorHAnsi" w:hAnsiTheme="majorHAnsi"/>
        </w:rPr>
      </w:pPr>
      <w:r>
        <w:rPr>
          <w:rFonts w:asciiTheme="majorHAnsi" w:hAnsiTheme="majorHAnsi"/>
        </w:rPr>
        <w:t xml:space="preserve">True or False. AARC guidelines state that the acceptable clinical range of agreement for PtcCO2 is +/- 7.5 </w:t>
      </w:r>
      <w:proofErr w:type="gramStart"/>
      <w:r>
        <w:rPr>
          <w:rFonts w:asciiTheme="majorHAnsi" w:hAnsiTheme="majorHAnsi"/>
        </w:rPr>
        <w:t>mmHg,</w:t>
      </w:r>
      <w:proofErr w:type="gramEnd"/>
      <w:r>
        <w:rPr>
          <w:rFonts w:asciiTheme="majorHAnsi" w:hAnsiTheme="majorHAnsi"/>
        </w:rPr>
        <w:t xml:space="preserve"> therefore the present study would be considered clinically acceptable.</w:t>
      </w:r>
    </w:p>
    <w:p w:rsidR="00EB32BD" w:rsidRDefault="00EB32BD" w:rsidP="00EB32BD">
      <w:pPr>
        <w:rPr>
          <w:rFonts w:asciiTheme="majorHAnsi" w:hAnsiTheme="majorHAnsi"/>
        </w:rPr>
      </w:pPr>
    </w:p>
    <w:p w:rsidR="00EB32BD" w:rsidRDefault="00EB32BD" w:rsidP="00EB32BD">
      <w:pPr>
        <w:rPr>
          <w:rFonts w:asciiTheme="majorHAnsi" w:hAnsiTheme="majorHAnsi"/>
        </w:rPr>
      </w:pPr>
    </w:p>
    <w:p w:rsidR="00EB32BD" w:rsidRDefault="00EB32BD" w:rsidP="00EB32BD">
      <w:pPr>
        <w:rPr>
          <w:rFonts w:asciiTheme="majorHAnsi" w:hAnsiTheme="majorHAnsi"/>
        </w:rPr>
      </w:pPr>
    </w:p>
    <w:p w:rsidR="00EB32BD" w:rsidRDefault="00EB32BD" w:rsidP="00EB32BD">
      <w:pPr>
        <w:rPr>
          <w:rFonts w:asciiTheme="majorHAnsi" w:hAnsiTheme="majorHAnsi"/>
        </w:rPr>
      </w:pPr>
    </w:p>
    <w:p w:rsidR="00EB32BD" w:rsidRDefault="00EB32BD" w:rsidP="00EB32BD">
      <w:pPr>
        <w:rPr>
          <w:rFonts w:asciiTheme="majorHAnsi" w:hAnsiTheme="majorHAnsi"/>
        </w:rPr>
      </w:pPr>
      <w:bookmarkStart w:id="0" w:name="_GoBack"/>
      <w:bookmarkEnd w:id="0"/>
    </w:p>
    <w:p w:rsidR="00EB32BD" w:rsidRDefault="00EB32BD" w:rsidP="00EB32BD">
      <w:pPr>
        <w:rPr>
          <w:rFonts w:asciiTheme="majorHAnsi" w:hAnsiTheme="majorHAnsi"/>
        </w:rPr>
      </w:pPr>
      <w:r>
        <w:rPr>
          <w:rFonts w:asciiTheme="majorHAnsi" w:hAnsiTheme="majorHAnsi"/>
        </w:rPr>
        <w:t>Answers:</w:t>
      </w:r>
    </w:p>
    <w:p w:rsidR="00EB32BD" w:rsidRDefault="00EB32BD" w:rsidP="00EB32BD">
      <w:pPr>
        <w:rPr>
          <w:rFonts w:asciiTheme="majorHAnsi" w:hAnsiTheme="majorHAnsi"/>
        </w:rPr>
      </w:pPr>
    </w:p>
    <w:p w:rsidR="00EB32BD" w:rsidRDefault="00EB32BD" w:rsidP="00EB32BD">
      <w:pPr>
        <w:pStyle w:val="ListParagraph"/>
        <w:numPr>
          <w:ilvl w:val="0"/>
          <w:numId w:val="3"/>
        </w:numPr>
        <w:rPr>
          <w:rFonts w:asciiTheme="majorHAnsi" w:hAnsiTheme="majorHAnsi"/>
        </w:rPr>
      </w:pPr>
      <w:r w:rsidRPr="00EF0307">
        <w:rPr>
          <w:rFonts w:asciiTheme="majorHAnsi" w:hAnsiTheme="majorHAnsi"/>
        </w:rPr>
        <w:t xml:space="preserve">True or </w:t>
      </w:r>
      <w:r w:rsidRPr="00EB32BD">
        <w:rPr>
          <w:rFonts w:asciiTheme="majorHAnsi" w:hAnsiTheme="majorHAnsi"/>
          <w:b/>
        </w:rPr>
        <w:t>False</w:t>
      </w:r>
      <w:r w:rsidRPr="00EF0307">
        <w:rPr>
          <w:rFonts w:asciiTheme="majorHAnsi" w:hAnsiTheme="majorHAnsi"/>
        </w:rPr>
        <w:t>. This study indicated that transcutaneous blood gas monitoring was a reliable alternative to standard arterial blood gas monitoring.</w:t>
      </w:r>
      <w:r>
        <w:rPr>
          <w:rFonts w:asciiTheme="majorHAnsi" w:hAnsiTheme="majorHAnsi"/>
        </w:rPr>
        <w:t xml:space="preserve"> See key points</w:t>
      </w:r>
    </w:p>
    <w:p w:rsidR="00EB32BD" w:rsidRDefault="00EB32BD" w:rsidP="00EB32BD">
      <w:pPr>
        <w:pStyle w:val="ListParagraph"/>
        <w:numPr>
          <w:ilvl w:val="0"/>
          <w:numId w:val="3"/>
        </w:numPr>
        <w:rPr>
          <w:rFonts w:asciiTheme="majorHAnsi" w:hAnsiTheme="majorHAnsi"/>
        </w:rPr>
      </w:pPr>
      <w:r>
        <w:rPr>
          <w:rFonts w:asciiTheme="majorHAnsi" w:hAnsiTheme="majorHAnsi"/>
        </w:rPr>
        <w:t xml:space="preserve">True or </w:t>
      </w:r>
      <w:r w:rsidRPr="00EB32BD">
        <w:rPr>
          <w:rFonts w:asciiTheme="majorHAnsi" w:hAnsiTheme="majorHAnsi"/>
          <w:b/>
        </w:rPr>
        <w:t>False</w:t>
      </w:r>
      <w:r>
        <w:rPr>
          <w:rFonts w:asciiTheme="majorHAnsi" w:hAnsiTheme="majorHAnsi"/>
        </w:rPr>
        <w:t>. The use of vasopressors in this study was found to decrease the correlation between transcutaneous and traditional ABG measurements.</w:t>
      </w:r>
      <w:r>
        <w:rPr>
          <w:rFonts w:asciiTheme="majorHAnsi" w:hAnsiTheme="majorHAnsi"/>
        </w:rPr>
        <w:t xml:space="preserve"> – Vasopressors </w:t>
      </w:r>
      <w:proofErr w:type="gramStart"/>
      <w:r>
        <w:rPr>
          <w:rFonts w:asciiTheme="majorHAnsi" w:hAnsiTheme="majorHAnsi"/>
        </w:rPr>
        <w:t>were not able to</w:t>
      </w:r>
      <w:proofErr w:type="gramEnd"/>
      <w:r>
        <w:rPr>
          <w:rFonts w:asciiTheme="majorHAnsi" w:hAnsiTheme="majorHAnsi"/>
        </w:rPr>
        <w:t xml:space="preserve"> be studied in this clinical study as there was only 1 dog enrolled that received vasoactive medications.</w:t>
      </w:r>
    </w:p>
    <w:p w:rsidR="00EB32BD" w:rsidRPr="00EF0307" w:rsidRDefault="00EB32BD" w:rsidP="00EB32BD">
      <w:pPr>
        <w:pStyle w:val="ListParagraph"/>
        <w:numPr>
          <w:ilvl w:val="0"/>
          <w:numId w:val="3"/>
        </w:numPr>
        <w:rPr>
          <w:rFonts w:asciiTheme="majorHAnsi" w:hAnsiTheme="majorHAnsi"/>
        </w:rPr>
      </w:pPr>
      <w:r>
        <w:rPr>
          <w:rFonts w:asciiTheme="majorHAnsi" w:hAnsiTheme="majorHAnsi"/>
        </w:rPr>
        <w:t xml:space="preserve">True or </w:t>
      </w:r>
      <w:r w:rsidRPr="00EB32BD">
        <w:rPr>
          <w:rFonts w:asciiTheme="majorHAnsi" w:hAnsiTheme="majorHAnsi"/>
          <w:b/>
        </w:rPr>
        <w:t>False</w:t>
      </w:r>
      <w:r>
        <w:rPr>
          <w:rFonts w:asciiTheme="majorHAnsi" w:hAnsiTheme="majorHAnsi"/>
        </w:rPr>
        <w:t xml:space="preserve">. AARC guidelines state that the acceptable clinical range of agreement for PtcCO2 is +/- 7.5 </w:t>
      </w:r>
      <w:proofErr w:type="gramStart"/>
      <w:r>
        <w:rPr>
          <w:rFonts w:asciiTheme="majorHAnsi" w:hAnsiTheme="majorHAnsi"/>
        </w:rPr>
        <w:t>mmHg,</w:t>
      </w:r>
      <w:proofErr w:type="gramEnd"/>
      <w:r>
        <w:rPr>
          <w:rFonts w:asciiTheme="majorHAnsi" w:hAnsiTheme="majorHAnsi"/>
        </w:rPr>
        <w:t xml:space="preserve"> therefore the present study would be considered clinically acceptable.</w:t>
      </w:r>
      <w:r>
        <w:rPr>
          <w:rFonts w:asciiTheme="majorHAnsi" w:hAnsiTheme="majorHAnsi"/>
        </w:rPr>
        <w:t xml:space="preserve"> Would NOT.</w:t>
      </w:r>
    </w:p>
    <w:p w:rsidR="00EB32BD" w:rsidRPr="00EB32BD" w:rsidRDefault="00EB32BD" w:rsidP="00EB32BD">
      <w:pPr>
        <w:rPr>
          <w:rFonts w:asciiTheme="majorHAnsi" w:hAnsiTheme="majorHAnsi"/>
        </w:rPr>
      </w:pPr>
    </w:p>
    <w:sectPr w:rsidR="00EB32BD" w:rsidRPr="00EB32BD" w:rsidSect="000C54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479A5"/>
    <w:multiLevelType w:val="hybridMultilevel"/>
    <w:tmpl w:val="CEF6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CD1F14"/>
    <w:multiLevelType w:val="hybridMultilevel"/>
    <w:tmpl w:val="BEE2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D00515"/>
    <w:multiLevelType w:val="hybridMultilevel"/>
    <w:tmpl w:val="CEF6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42E"/>
    <w:rsid w:val="000C542E"/>
    <w:rsid w:val="007E7EBB"/>
    <w:rsid w:val="008F05A2"/>
    <w:rsid w:val="00EB32BD"/>
    <w:rsid w:val="00EF0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F50F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EB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370</Words>
  <Characters>2110</Characters>
  <Application>Microsoft Macintosh Word</Application>
  <DocSecurity>0</DocSecurity>
  <Lines>17</Lines>
  <Paragraphs>4</Paragraphs>
  <ScaleCrop>false</ScaleCrop>
  <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1</cp:revision>
  <dcterms:created xsi:type="dcterms:W3CDTF">2015-01-31T18:00:00Z</dcterms:created>
  <dcterms:modified xsi:type="dcterms:W3CDTF">2015-01-31T18:45:00Z</dcterms:modified>
</cp:coreProperties>
</file>