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B0F" w:rsidRDefault="00C936B4" w:rsidP="00090477">
      <w:pPr>
        <w:jc w:val="center"/>
        <w:rPr>
          <w:rFonts w:ascii="AkzidenzGroteskBE-Bold" w:hAnsi="AkzidenzGroteskBE-Bold" w:cs="AkzidenzGroteskBE-Bold"/>
          <w:b/>
          <w:bCs/>
          <w:sz w:val="32"/>
          <w:szCs w:val="32"/>
        </w:rPr>
      </w:pPr>
      <w:r>
        <w:rPr>
          <w:rFonts w:ascii="AkzidenzGroteskBE-Bold" w:hAnsi="AkzidenzGroteskBE-Bold" w:cs="AkzidenzGroteskBE-Bold"/>
          <w:b/>
          <w:bCs/>
          <w:sz w:val="32"/>
          <w:szCs w:val="32"/>
        </w:rPr>
        <w:t>Bench-to-bedside review: Nitric oxide in critical illness</w:t>
      </w:r>
    </w:p>
    <w:p w:rsidR="00C936B4" w:rsidRPr="00090477" w:rsidRDefault="00090477">
      <w:pPr>
        <w:rPr>
          <w:rFonts w:cs="AkzidenzGroteskBE-Bold"/>
          <w:b/>
          <w:bCs/>
          <w:sz w:val="24"/>
          <w:szCs w:val="24"/>
        </w:rPr>
      </w:pPr>
      <w:r w:rsidRPr="00090477">
        <w:rPr>
          <w:rFonts w:cs="AkzidenzGroteskBE-Bold"/>
          <w:b/>
          <w:bCs/>
          <w:sz w:val="24"/>
          <w:szCs w:val="24"/>
        </w:rPr>
        <w:t>Key Points</w:t>
      </w:r>
    </w:p>
    <w:p w:rsidR="00C936B4" w:rsidRDefault="00C936B4" w:rsidP="00887769">
      <w:pPr>
        <w:pStyle w:val="ListParagraph"/>
        <w:numPr>
          <w:ilvl w:val="0"/>
          <w:numId w:val="1"/>
        </w:numPr>
      </w:pPr>
      <w:r>
        <w:t xml:space="preserve">NO acts as a second messenger by activating soluble </w:t>
      </w:r>
      <w:proofErr w:type="spellStart"/>
      <w:r>
        <w:t>guanylate</w:t>
      </w:r>
      <w:proofErr w:type="spellEnd"/>
      <w:r>
        <w:t xml:space="preserve"> cyclase and participating in signal transduction pathways involving cyclic GMP, but also operates independently of </w:t>
      </w:r>
      <w:proofErr w:type="spellStart"/>
      <w:r>
        <w:t>guanylate</w:t>
      </w:r>
      <w:proofErr w:type="spellEnd"/>
      <w:r>
        <w:t xml:space="preserve"> cyclase</w:t>
      </w:r>
    </w:p>
    <w:p w:rsidR="007744E4" w:rsidRDefault="00FB43AD" w:rsidP="007744E4">
      <w:pPr>
        <w:jc w:val="center"/>
      </w:pPr>
      <w:r>
        <w:rPr>
          <w:noProof/>
        </w:rPr>
        <w:drawing>
          <wp:inline distT="0" distB="0" distL="0" distR="0">
            <wp:extent cx="3887686" cy="2895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665" cy="290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477" w:rsidRDefault="00090477" w:rsidP="00090477">
      <w:pPr>
        <w:pStyle w:val="ListParagraph"/>
      </w:pPr>
    </w:p>
    <w:p w:rsidR="00A470AF" w:rsidRDefault="00A470AF" w:rsidP="00A470AF">
      <w:pPr>
        <w:pStyle w:val="ListParagraph"/>
        <w:numPr>
          <w:ilvl w:val="0"/>
          <w:numId w:val="1"/>
        </w:numPr>
      </w:pPr>
      <w:r>
        <w:t>At least three distinct isoforms of NOS are known, including neuronal nitric oxide synthase (</w:t>
      </w:r>
      <w:proofErr w:type="spellStart"/>
      <w:r>
        <w:t>nNOS</w:t>
      </w:r>
      <w:proofErr w:type="spellEnd"/>
      <w:r>
        <w:t>, NOS1), inducible nitric oxide synthase (</w:t>
      </w:r>
      <w:proofErr w:type="spellStart"/>
      <w:r>
        <w:t>iNOS</w:t>
      </w:r>
      <w:proofErr w:type="spellEnd"/>
      <w:r>
        <w:t>, NOS2), and endothelial nitric oxide synthase (</w:t>
      </w:r>
      <w:proofErr w:type="spellStart"/>
      <w:r>
        <w:t>eNOS</w:t>
      </w:r>
      <w:proofErr w:type="spellEnd"/>
      <w:r>
        <w:t>, NOS3) enzymes.</w:t>
      </w:r>
    </w:p>
    <w:p w:rsidR="00A470AF" w:rsidRDefault="00A470AF" w:rsidP="00A470AF">
      <w:pPr>
        <w:pStyle w:val="ListParagraph"/>
        <w:numPr>
          <w:ilvl w:val="1"/>
          <w:numId w:val="1"/>
        </w:numPr>
      </w:pPr>
      <w:r>
        <w:t xml:space="preserve">Whereas </w:t>
      </w:r>
      <w:proofErr w:type="spellStart"/>
      <w:r>
        <w:t>iNOS</w:t>
      </w:r>
      <w:proofErr w:type="spellEnd"/>
      <w:r>
        <w:t xml:space="preserve"> activity depends on transcription, </w:t>
      </w:r>
      <w:proofErr w:type="spellStart"/>
      <w:r>
        <w:t>eNOS</w:t>
      </w:r>
      <w:proofErr w:type="spellEnd"/>
      <w:r>
        <w:t xml:space="preserve"> and </w:t>
      </w:r>
      <w:proofErr w:type="spellStart"/>
      <w:r>
        <w:t>nNOS</w:t>
      </w:r>
      <w:proofErr w:type="spellEnd"/>
      <w:r>
        <w:t xml:space="preserve"> are constitutively expressed and are activated by elevated intracellular calcium</w:t>
      </w:r>
    </w:p>
    <w:p w:rsidR="00A470AF" w:rsidRDefault="00A470AF" w:rsidP="00A470AF">
      <w:pPr>
        <w:pStyle w:val="ListParagraph"/>
        <w:numPr>
          <w:ilvl w:val="1"/>
          <w:numId w:val="1"/>
        </w:numPr>
      </w:pPr>
      <w:proofErr w:type="spellStart"/>
      <w:r>
        <w:t>iNOS</w:t>
      </w:r>
      <w:proofErr w:type="spellEnd"/>
      <w:r>
        <w:t xml:space="preserve"> gene expression is modulated by inflammatory mediators, such as the cytokines TNFα, </w:t>
      </w:r>
      <w:proofErr w:type="spellStart"/>
      <w:r>
        <w:t>IFNγ</w:t>
      </w:r>
      <w:proofErr w:type="spellEnd"/>
      <w:r>
        <w:t xml:space="preserve">, and lipopolysaccharide, which activate transcription factors such as </w:t>
      </w:r>
      <w:proofErr w:type="spellStart"/>
      <w:r>
        <w:t>NFκB</w:t>
      </w:r>
      <w:proofErr w:type="spellEnd"/>
      <w:r>
        <w:t xml:space="preserve"> or activator protein 1</w:t>
      </w:r>
    </w:p>
    <w:p w:rsidR="00A470AF" w:rsidRDefault="00A470AF" w:rsidP="00A470AF">
      <w:pPr>
        <w:pStyle w:val="ListParagraph"/>
        <w:numPr>
          <w:ilvl w:val="1"/>
          <w:numId w:val="1"/>
        </w:numPr>
      </w:pPr>
      <w:proofErr w:type="spellStart"/>
      <w:r>
        <w:t>iNOS</w:t>
      </w:r>
      <w:proofErr w:type="spellEnd"/>
      <w:r>
        <w:t xml:space="preserve"> isoform generates much larger quantities of NO (</w:t>
      </w:r>
      <w:proofErr w:type="spellStart"/>
      <w:r>
        <w:t>nanomolar</w:t>
      </w:r>
      <w:proofErr w:type="spellEnd"/>
      <w:r>
        <w:t xml:space="preserve"> range) than constitutive NOS isoforms (</w:t>
      </w:r>
      <w:proofErr w:type="spellStart"/>
      <w:r>
        <w:t>picomolar</w:t>
      </w:r>
      <w:proofErr w:type="spellEnd"/>
      <w:r>
        <w:t xml:space="preserve"> range)</w:t>
      </w:r>
    </w:p>
    <w:p w:rsidR="00A470AF" w:rsidRDefault="00A470AF" w:rsidP="00A470AF">
      <w:pPr>
        <w:pStyle w:val="ListParagraph"/>
      </w:pPr>
    </w:p>
    <w:p w:rsidR="007744E4" w:rsidRDefault="00C936B4" w:rsidP="00EB0C83">
      <w:pPr>
        <w:pStyle w:val="ListParagraph"/>
        <w:numPr>
          <w:ilvl w:val="0"/>
          <w:numId w:val="1"/>
        </w:numPr>
      </w:pPr>
      <w:r>
        <w:t>NO regulates the cytoplasmic redox balance and also signal transduction, either by regulating cytoplasmic and mitochondrial calcium signals or by post-translational modification of intracellular proteins</w:t>
      </w:r>
      <w:r w:rsidR="00EB0C83">
        <w:t xml:space="preserve">. </w:t>
      </w:r>
    </w:p>
    <w:p w:rsidR="007744E4" w:rsidRDefault="007744E4" w:rsidP="007744E4">
      <w:pPr>
        <w:pStyle w:val="ListParagraph"/>
      </w:pPr>
    </w:p>
    <w:p w:rsidR="007744E4" w:rsidRDefault="00EB0C83" w:rsidP="007744E4">
      <w:pPr>
        <w:pStyle w:val="ListParagraph"/>
        <w:numPr>
          <w:ilvl w:val="1"/>
          <w:numId w:val="1"/>
        </w:numPr>
      </w:pPr>
      <w:r>
        <w:t xml:space="preserve">In the heart </w:t>
      </w:r>
      <w:proofErr w:type="spellStart"/>
      <w:r>
        <w:t>nNOS</w:t>
      </w:r>
      <w:proofErr w:type="spellEnd"/>
      <w:r>
        <w:t xml:space="preserve"> is present in presynaptic nerves and the </w:t>
      </w:r>
      <w:proofErr w:type="spellStart"/>
      <w:r>
        <w:t>cardiomyocyte</w:t>
      </w:r>
      <w:proofErr w:type="spellEnd"/>
      <w:r>
        <w:t xml:space="preserve"> sarcoplasmic reticulum, </w:t>
      </w:r>
      <w:proofErr w:type="spellStart"/>
      <w:r>
        <w:t>eNOS</w:t>
      </w:r>
      <w:proofErr w:type="spellEnd"/>
      <w:r>
        <w:t xml:space="preserve"> is localized in </w:t>
      </w:r>
      <w:proofErr w:type="spellStart"/>
      <w:r>
        <w:t>caveolae</w:t>
      </w:r>
      <w:proofErr w:type="spellEnd"/>
      <w:r>
        <w:t xml:space="preserve"> of endothelial cells and in </w:t>
      </w:r>
      <w:proofErr w:type="spellStart"/>
      <w:r>
        <w:t>myocytes</w:t>
      </w:r>
      <w:proofErr w:type="spellEnd"/>
      <w:r>
        <w:t xml:space="preserve"> at the T-tube sarcoplasmic reticulum, and </w:t>
      </w:r>
      <w:proofErr w:type="spellStart"/>
      <w:r>
        <w:t>iNOS</w:t>
      </w:r>
      <w:proofErr w:type="spellEnd"/>
      <w:r>
        <w:t xml:space="preserve"> is induced in the </w:t>
      </w:r>
      <w:proofErr w:type="spellStart"/>
      <w:r>
        <w:t>myocyte</w:t>
      </w:r>
      <w:proofErr w:type="spellEnd"/>
      <w:r>
        <w:t xml:space="preserve"> cytoplasm. </w:t>
      </w:r>
    </w:p>
    <w:p w:rsidR="00EB0C83" w:rsidRDefault="00EB0C83" w:rsidP="007744E4">
      <w:pPr>
        <w:pStyle w:val="ListParagraph"/>
        <w:numPr>
          <w:ilvl w:val="1"/>
          <w:numId w:val="1"/>
        </w:numPr>
      </w:pPr>
      <w:r>
        <w:t>NO localization allows for potential modulation of intracellular calcium concentrations through interaction with ryanodine receptors, which are also localized to T-tubules</w:t>
      </w:r>
    </w:p>
    <w:p w:rsidR="007744E4" w:rsidRPr="007744E4" w:rsidRDefault="007744E4" w:rsidP="007744E4">
      <w:pPr>
        <w:pStyle w:val="ListParagraph"/>
        <w:numPr>
          <w:ilvl w:val="1"/>
          <w:numId w:val="1"/>
        </w:numPr>
        <w:spacing w:after="0" w:line="240" w:lineRule="auto"/>
      </w:pPr>
      <w:r w:rsidRPr="007744E4">
        <w:t xml:space="preserve">Although </w:t>
      </w:r>
      <w:proofErr w:type="spellStart"/>
      <w:r w:rsidRPr="007744E4">
        <w:t>eNOS</w:t>
      </w:r>
      <w:proofErr w:type="spellEnd"/>
      <w:r w:rsidRPr="007744E4">
        <w:t xml:space="preserve"> exists as a </w:t>
      </w:r>
      <w:proofErr w:type="spellStart"/>
      <w:r w:rsidRPr="007744E4">
        <w:t>homodimer</w:t>
      </w:r>
      <w:proofErr w:type="spellEnd"/>
      <w:r w:rsidRPr="007744E4">
        <w:t xml:space="preserve"> that produces NO from L-arginine, under certain conditions it can become uncoupled to become a monomer that produces not NO, but the oxidative free radical superoxide. The resultant oxidative stress from O2</w:t>
      </w:r>
      <w:r w:rsidRPr="007744E4">
        <w:rPr>
          <w:vertAlign w:val="superscript"/>
        </w:rPr>
        <w:t>.</w:t>
      </w:r>
      <w:r w:rsidRPr="007744E4">
        <w:t xml:space="preserve"> production can further promote NOS uncoupling, a forward feedback loop that can magnify the amount of oxidative stress within the cell</w:t>
      </w:r>
    </w:p>
    <w:p w:rsidR="007744E4" w:rsidRDefault="007744E4" w:rsidP="007744E4">
      <w:pPr>
        <w:pStyle w:val="ListParagraph"/>
      </w:pPr>
    </w:p>
    <w:p w:rsidR="007744E4" w:rsidRDefault="00090477" w:rsidP="00F42C57">
      <w:pPr>
        <w:pStyle w:val="ListParagraph"/>
        <w:numPr>
          <w:ilvl w:val="0"/>
          <w:numId w:val="1"/>
        </w:numPr>
      </w:pPr>
      <w:r w:rsidRPr="00090477">
        <w:t xml:space="preserve">Although systemic NO production is </w:t>
      </w:r>
      <w:proofErr w:type="spellStart"/>
      <w:r w:rsidRPr="00090477">
        <w:t>upregulated</w:t>
      </w:r>
      <w:proofErr w:type="spellEnd"/>
      <w:r w:rsidRPr="00090477">
        <w:t xml:space="preserve"> in sepsis, in specific</w:t>
      </w:r>
      <w:r>
        <w:t xml:space="preserve"> </w:t>
      </w:r>
      <w:r w:rsidRPr="00090477">
        <w:t>tissues, NO production may be heterogeneous (</w:t>
      </w:r>
      <w:proofErr w:type="spellStart"/>
      <w:r w:rsidRPr="00090477">
        <w:t>ie</w:t>
      </w:r>
      <w:proofErr w:type="spellEnd"/>
      <w:r w:rsidRPr="00090477">
        <w:t>, relatively deficient) because of</w:t>
      </w:r>
      <w:r>
        <w:t xml:space="preserve"> </w:t>
      </w:r>
      <w:r w:rsidRPr="00090477">
        <w:t>several factors</w:t>
      </w:r>
      <w:r w:rsidR="00EB0C83">
        <w:t>.</w:t>
      </w:r>
    </w:p>
    <w:p w:rsidR="007744E4" w:rsidRDefault="00EB0C83" w:rsidP="007744E4">
      <w:pPr>
        <w:pStyle w:val="ListParagraph"/>
        <w:numPr>
          <w:ilvl w:val="1"/>
          <w:numId w:val="1"/>
        </w:numPr>
      </w:pPr>
      <w:r>
        <w:lastRenderedPageBreak/>
        <w:t xml:space="preserve"> </w:t>
      </w:r>
      <w:r w:rsidR="00090477" w:rsidRPr="00090477">
        <w:t>Variation in the extent of expression of inducible nitric oxide synthase</w:t>
      </w:r>
      <w:r w:rsidR="00090477">
        <w:t xml:space="preserve"> </w:t>
      </w:r>
      <w:r w:rsidR="00090477" w:rsidRPr="00090477">
        <w:t>(</w:t>
      </w:r>
      <w:proofErr w:type="spellStart"/>
      <w:r w:rsidR="00090477" w:rsidRPr="00090477">
        <w:t>iNOS</w:t>
      </w:r>
      <w:proofErr w:type="spellEnd"/>
      <w:r w:rsidR="00090477" w:rsidRPr="00090477">
        <w:t>) and consumption of NO by reactive oxygen radicals in ischemic tissues</w:t>
      </w:r>
      <w:r w:rsidR="00090477">
        <w:t xml:space="preserve"> </w:t>
      </w:r>
      <w:r w:rsidR="00090477" w:rsidRPr="00090477">
        <w:t>may lead to a relative paucity of NO in microcirculatory beds despite a total body</w:t>
      </w:r>
      <w:r w:rsidR="00090477">
        <w:t xml:space="preserve"> </w:t>
      </w:r>
      <w:r w:rsidR="00090477" w:rsidRPr="00090477">
        <w:t>excess</w:t>
      </w:r>
      <w:r>
        <w:t xml:space="preserve">. </w:t>
      </w:r>
    </w:p>
    <w:p w:rsidR="00090477" w:rsidRDefault="00090477" w:rsidP="007744E4">
      <w:pPr>
        <w:pStyle w:val="ListParagraph"/>
        <w:numPr>
          <w:ilvl w:val="1"/>
          <w:numId w:val="1"/>
        </w:numPr>
      </w:pPr>
      <w:r w:rsidRPr="00090477">
        <w:t>In turn, this may lead to the known pathologic shunting of oxygenated</w:t>
      </w:r>
      <w:r>
        <w:t xml:space="preserve"> </w:t>
      </w:r>
      <w:r w:rsidRPr="00090477">
        <w:t>blood from susceptible tissues, which characterizes the heterogeneous tissue perfusion</w:t>
      </w:r>
      <w:r>
        <w:t xml:space="preserve"> </w:t>
      </w:r>
      <w:r w:rsidRPr="00090477">
        <w:t>of sepsis</w:t>
      </w:r>
    </w:p>
    <w:p w:rsidR="00C936B4" w:rsidRDefault="00D67B79" w:rsidP="00C936B4">
      <w:r>
        <w:rPr>
          <w:noProof/>
        </w:rPr>
        <w:drawing>
          <wp:anchor distT="0" distB="0" distL="114300" distR="114300" simplePos="0" relativeHeight="251658240" behindDoc="0" locked="0" layoutInCell="1" allowOverlap="1" wp14:anchorId="79B46513" wp14:editId="189678B9">
            <wp:simplePos x="0" y="0"/>
            <wp:positionH relativeFrom="margin">
              <wp:posOffset>1524000</wp:posOffset>
            </wp:positionH>
            <wp:positionV relativeFrom="paragraph">
              <wp:posOffset>6985</wp:posOffset>
            </wp:positionV>
            <wp:extent cx="4130675" cy="2962275"/>
            <wp:effectExtent l="0" t="0" r="317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0C83" w:rsidRDefault="00EB0C83" w:rsidP="00C936B4"/>
    <w:p w:rsidR="00EB0C83" w:rsidRDefault="00EB0C83" w:rsidP="00C936B4"/>
    <w:p w:rsidR="00EB0C83" w:rsidRDefault="00EB0C83" w:rsidP="00C936B4"/>
    <w:p w:rsidR="00EB0C83" w:rsidRDefault="00EB0C83" w:rsidP="00C936B4"/>
    <w:p w:rsidR="00EB0C83" w:rsidRDefault="00EB0C83" w:rsidP="00C936B4"/>
    <w:p w:rsidR="00EB0C83" w:rsidRDefault="00EB0C83" w:rsidP="00C936B4"/>
    <w:p w:rsidR="00D67B79" w:rsidRDefault="00D67B79" w:rsidP="00C936B4"/>
    <w:p w:rsidR="00D67B79" w:rsidRDefault="00D67B79" w:rsidP="00C936B4"/>
    <w:p w:rsidR="00D67B79" w:rsidRDefault="00D67B79" w:rsidP="00C936B4"/>
    <w:p w:rsidR="00D67B79" w:rsidRDefault="00D67B79" w:rsidP="00C936B4"/>
    <w:p w:rsidR="00D67B79" w:rsidRDefault="00D67B79" w:rsidP="00C936B4"/>
    <w:p w:rsidR="00FB43AD" w:rsidRDefault="00FB43AD" w:rsidP="00FB43AD">
      <w:pPr>
        <w:jc w:val="center"/>
        <w:rPr>
          <w:rFonts w:cs="AdvTTb4a90e5b.B"/>
          <w:b/>
          <w:sz w:val="24"/>
          <w:szCs w:val="24"/>
        </w:rPr>
      </w:pPr>
      <w:r w:rsidRPr="00FB43AD">
        <w:rPr>
          <w:rFonts w:cs="AdvTTb4a90e5b.B"/>
          <w:b/>
          <w:sz w:val="24"/>
          <w:szCs w:val="24"/>
        </w:rPr>
        <w:t>Role of toll-like receptors in the development of sepsis</w:t>
      </w:r>
    </w:p>
    <w:p w:rsidR="00FB43AD" w:rsidRDefault="00FB43AD" w:rsidP="00FB43AD">
      <w:pPr>
        <w:rPr>
          <w:rFonts w:cs="AdvTTb4a90e5b.B"/>
        </w:rPr>
      </w:pPr>
      <w:r>
        <w:rPr>
          <w:rFonts w:cs="AdvTTb4a90e5b.B"/>
        </w:rPr>
        <w:t>Key Points</w:t>
      </w:r>
    </w:p>
    <w:p w:rsidR="001B0F02" w:rsidRDefault="001B0F02" w:rsidP="001B0F02">
      <w:pPr>
        <w:pStyle w:val="ListParagraph"/>
        <w:numPr>
          <w:ilvl w:val="0"/>
          <w:numId w:val="4"/>
        </w:numPr>
      </w:pPr>
      <w:r w:rsidRPr="009D4A9F">
        <w:t>The innate immune system is able to detect pathogens</w:t>
      </w:r>
      <w:r>
        <w:t xml:space="preserve"> </w:t>
      </w:r>
      <w:r w:rsidRPr="009D4A9F">
        <w:t>via a limited number of pattern-recognition receptors</w:t>
      </w:r>
      <w:r>
        <w:t xml:space="preserve"> </w:t>
      </w:r>
      <w:r w:rsidRPr="009D4A9F">
        <w:t>(PRRs).</w:t>
      </w:r>
      <w:r>
        <w:t xml:space="preserve"> </w:t>
      </w:r>
      <w:r w:rsidRPr="009D4A9F">
        <w:t>PRRs recognize conserved motifs that are</w:t>
      </w:r>
      <w:r>
        <w:t xml:space="preserve"> </w:t>
      </w:r>
      <w:r w:rsidRPr="009D4A9F">
        <w:t>expressed by pathogens but are absent in higher</w:t>
      </w:r>
      <w:r>
        <w:t xml:space="preserve"> </w:t>
      </w:r>
      <w:r w:rsidRPr="009D4A9F">
        <w:t>eukaryotes; these microbial components are known as</w:t>
      </w:r>
      <w:r>
        <w:t xml:space="preserve"> </w:t>
      </w:r>
      <w:r w:rsidRPr="009D4A9F">
        <w:t>pathogen-associated molecular patterns (PAMPs).</w:t>
      </w:r>
    </w:p>
    <w:p w:rsidR="001B0F02" w:rsidRPr="001B0F02" w:rsidRDefault="001B0F02" w:rsidP="001B0F02">
      <w:pPr>
        <w:pStyle w:val="ListParagraph"/>
        <w:numPr>
          <w:ilvl w:val="1"/>
          <w:numId w:val="4"/>
        </w:numPr>
      </w:pPr>
      <w:r w:rsidRPr="001B0F02">
        <w:t xml:space="preserve">Working in concert with several intracellular protein kinases, these TLRs recognize and respond to a myriad of highly conserved microbial molecules. Importantly, TLR </w:t>
      </w:r>
      <w:proofErr w:type="spellStart"/>
      <w:r w:rsidRPr="001B0F02">
        <w:t>signalling</w:t>
      </w:r>
      <w:proofErr w:type="spellEnd"/>
      <w:r w:rsidRPr="001B0F02">
        <w:t xml:space="preserve"> is tightly regulated to avoid detrimental inflammatory responses; as such, several negative regulators of TLRs have been identified including MyD88 short, interleukin-1 receptor-associated kinase (IRAK) M, ST2, single</w:t>
      </w:r>
      <w:r>
        <w:t xml:space="preserve"> </w:t>
      </w:r>
      <w:r w:rsidRPr="001B0F02">
        <w:t>immunoglobulin interleukin-1-receptor-related molecule (SIGIRR), and Toll-interacting protein (TOLLIP).</w:t>
      </w:r>
    </w:p>
    <w:p w:rsidR="001B0F02" w:rsidRDefault="001B0F02" w:rsidP="001B0F02">
      <w:pPr>
        <w:pStyle w:val="ListParagraph"/>
        <w:ind w:left="1440"/>
      </w:pPr>
    </w:p>
    <w:p w:rsidR="00FB43AD" w:rsidRDefault="006C384D" w:rsidP="0014326A">
      <w:pPr>
        <w:pStyle w:val="ListParagraph"/>
        <w:numPr>
          <w:ilvl w:val="0"/>
          <w:numId w:val="4"/>
        </w:numPr>
      </w:pPr>
      <w:r>
        <w:t>TLRs are a family of transmembrane receptors consisting of an extracellular leucine-rich repeat domain that interacts with relevant pathogen-associated molecular patterns and an intracellular Toll/IL-1 receptor domain, which is involved in signaling.</w:t>
      </w:r>
    </w:p>
    <w:p w:rsidR="006C384D" w:rsidRDefault="006C384D" w:rsidP="001B0F02">
      <w:pPr>
        <w:pStyle w:val="ListParagraph"/>
        <w:numPr>
          <w:ilvl w:val="1"/>
          <w:numId w:val="6"/>
        </w:numPr>
      </w:pPr>
      <w:r>
        <w:t>Toll-like receptors 1, 2, 4, 5, and 6 mainly recognize bacterial products, whereas TLR-3, TLR-7, and TLR-8 are specific for viral detection.</w:t>
      </w:r>
    </w:p>
    <w:p w:rsidR="006C384D" w:rsidRDefault="006C384D" w:rsidP="001B0F02">
      <w:pPr>
        <w:pStyle w:val="ListParagraph"/>
        <w:numPr>
          <w:ilvl w:val="1"/>
          <w:numId w:val="6"/>
        </w:numPr>
      </w:pPr>
      <w:r>
        <w:t>Toll-like receptor 9 seems to be involved in both microbial and viral recognition</w:t>
      </w:r>
    </w:p>
    <w:p w:rsidR="006C384D" w:rsidRDefault="006C384D" w:rsidP="001B0F02">
      <w:pPr>
        <w:pStyle w:val="ListParagraph"/>
        <w:numPr>
          <w:ilvl w:val="1"/>
          <w:numId w:val="6"/>
        </w:numPr>
      </w:pPr>
      <w:r>
        <w:t xml:space="preserve">TLR-4 was the principal receptor for LPS that mediates the activation of nuclear factor kappa-beta and the synthesis of </w:t>
      </w:r>
      <w:proofErr w:type="spellStart"/>
      <w:r>
        <w:t>proinflammatory</w:t>
      </w:r>
      <w:proofErr w:type="spellEnd"/>
      <w:r>
        <w:t xml:space="preserve"> cytokines</w:t>
      </w:r>
    </w:p>
    <w:p w:rsidR="00EF1EDA" w:rsidRDefault="00EF1EDA" w:rsidP="00EF1EDA">
      <w:pPr>
        <w:pStyle w:val="ListParagraph"/>
      </w:pPr>
    </w:p>
    <w:p w:rsidR="001B0F02" w:rsidRDefault="001B0F02" w:rsidP="001B0F02">
      <w:pPr>
        <w:pStyle w:val="ListParagraph"/>
        <w:numPr>
          <w:ilvl w:val="0"/>
          <w:numId w:val="4"/>
        </w:numPr>
      </w:pPr>
      <w:r w:rsidRPr="009D4A9F">
        <w:t>PRRs may warn the host of danger</w:t>
      </w:r>
      <w:r>
        <w:t xml:space="preserve"> </w:t>
      </w:r>
      <w:r w:rsidRPr="009D4A9F">
        <w:t>in general by their ability to recognize endogenous</w:t>
      </w:r>
      <w:r>
        <w:t xml:space="preserve"> </w:t>
      </w:r>
      <w:r w:rsidRPr="009D4A9F">
        <w:t>mediators released during injurious processes, such as</w:t>
      </w:r>
      <w:r>
        <w:t xml:space="preserve"> </w:t>
      </w:r>
      <w:r w:rsidRPr="009D4A9F">
        <w:t>trauma, ischemia, or necrosis. Such endogenous</w:t>
      </w:r>
      <w:r>
        <w:t xml:space="preserve"> </w:t>
      </w:r>
      <w:r w:rsidRPr="009D4A9F">
        <w:t xml:space="preserve">danger signals have been </w:t>
      </w:r>
      <w:r>
        <w:t>called</w:t>
      </w:r>
      <w:r w:rsidRPr="009D4A9F">
        <w:t xml:space="preserve"> </w:t>
      </w:r>
      <w:r>
        <w:t>“</w:t>
      </w:r>
      <w:proofErr w:type="spellStart"/>
      <w:r>
        <w:t>a</w:t>
      </w:r>
      <w:r w:rsidRPr="009D4A9F">
        <w:t>larmins</w:t>
      </w:r>
      <w:proofErr w:type="spellEnd"/>
      <w:r>
        <w:t xml:space="preserve">” </w:t>
      </w:r>
      <w:r w:rsidRPr="009D4A9F">
        <w:t>or</w:t>
      </w:r>
      <w:r>
        <w:t xml:space="preserve"> </w:t>
      </w:r>
      <w:r w:rsidRPr="009D4A9F">
        <w:t>danger-associated molecular patterns (DAMPs).</w:t>
      </w:r>
      <w:r>
        <w:t xml:space="preserve"> </w:t>
      </w:r>
    </w:p>
    <w:p w:rsidR="006C384D" w:rsidRDefault="00EF1EDA" w:rsidP="00EF1EDA">
      <w:pPr>
        <w:pStyle w:val="ListParagraph"/>
        <w:numPr>
          <w:ilvl w:val="1"/>
          <w:numId w:val="4"/>
        </w:numPr>
      </w:pPr>
      <w:r>
        <w:lastRenderedPageBreak/>
        <w:t xml:space="preserve">Toll-like receptor 4 was shown to be involved in the recognition of extra domain A-containing </w:t>
      </w:r>
      <w:proofErr w:type="spellStart"/>
      <w:r>
        <w:t>fibronectin</w:t>
      </w:r>
      <w:proofErr w:type="spellEnd"/>
      <w:r>
        <w:t xml:space="preserve">, fibrinogen, polysaccharide fragments of </w:t>
      </w:r>
      <w:proofErr w:type="spellStart"/>
      <w:r>
        <w:t>heparan</w:t>
      </w:r>
      <w:proofErr w:type="spellEnd"/>
      <w:r>
        <w:t xml:space="preserve"> sulfate, oligosa</w:t>
      </w:r>
      <w:r w:rsidR="00CD0964">
        <w:t>ccharides of hyaluronic acid</w:t>
      </w:r>
      <w:r>
        <w:t xml:space="preserve">, oxidized low-density lipoprotein, several heat shock proteins (HSPs), surfactant protein A in the lung epithelium, neutrophil </w:t>
      </w:r>
      <w:proofErr w:type="spellStart"/>
      <w:r>
        <w:t>elastase</w:t>
      </w:r>
      <w:proofErr w:type="spellEnd"/>
      <w:r>
        <w:t xml:space="preserve"> and high-mobility group box 1 protein (HMGB-1)</w:t>
      </w:r>
    </w:p>
    <w:p w:rsidR="00EF1EDA" w:rsidRDefault="00EF1EDA" w:rsidP="001B0F02">
      <w:pPr>
        <w:pStyle w:val="ListParagraph"/>
        <w:numPr>
          <w:ilvl w:val="1"/>
          <w:numId w:val="4"/>
        </w:numPr>
      </w:pPr>
      <w:r>
        <w:t xml:space="preserve">Critical in early inflammatory responses to infection. Involved in development of adaptive immunity, TLR agonists circulate in sepsis, TLR polymorphisms and infection. </w:t>
      </w:r>
    </w:p>
    <w:p w:rsidR="00EF1EDA" w:rsidRDefault="00EF1EDA" w:rsidP="00EF1EDA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/>
    <w:p w:rsidR="00CD0964" w:rsidRDefault="00CD0964" w:rsidP="00CD0964">
      <w:r>
        <w:lastRenderedPageBreak/>
        <w:t>Questions:</w:t>
      </w:r>
    </w:p>
    <w:p w:rsidR="00CD0964" w:rsidRDefault="00CD0964" w:rsidP="00CD0964">
      <w:pPr>
        <w:pStyle w:val="ListParagraph"/>
        <w:numPr>
          <w:ilvl w:val="0"/>
          <w:numId w:val="2"/>
        </w:numPr>
      </w:pPr>
      <w:r w:rsidRPr="00EB0C83">
        <w:t xml:space="preserve">NO is synthesized from </w:t>
      </w:r>
      <w:r>
        <w:rPr>
          <w:u w:val="single"/>
        </w:rPr>
        <w:t xml:space="preserve">                                  </w:t>
      </w:r>
      <w:r w:rsidRPr="00EB0C83">
        <w:t xml:space="preserve"> and oxygen by the enzyme </w:t>
      </w:r>
      <w:r>
        <w:rPr>
          <w:u w:val="single"/>
        </w:rPr>
        <w:t xml:space="preserve">  </w:t>
      </w:r>
      <w:r>
        <w:t>______________________________</w:t>
      </w:r>
    </w:p>
    <w:p w:rsidR="00CD0964" w:rsidRPr="00EB0C83" w:rsidRDefault="00CD0964" w:rsidP="00CD0964"/>
    <w:p w:rsidR="00CD0964" w:rsidRDefault="00CD0964" w:rsidP="00CD0964">
      <w:pPr>
        <w:pStyle w:val="ListParagraph"/>
        <w:numPr>
          <w:ilvl w:val="0"/>
          <w:numId w:val="2"/>
        </w:numPr>
      </w:pPr>
      <w:r>
        <w:t>List the three types of nitric oxide synthase</w:t>
      </w: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  <w:numPr>
          <w:ilvl w:val="0"/>
          <w:numId w:val="2"/>
        </w:numPr>
      </w:pPr>
      <w:r>
        <w:t>Which two forms are the constitutive forms</w:t>
      </w: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  <w:numPr>
          <w:ilvl w:val="0"/>
          <w:numId w:val="2"/>
        </w:numPr>
      </w:pPr>
      <w:r>
        <w:t xml:space="preserve">Severe sepsis is associated with </w:t>
      </w:r>
      <w:r>
        <w:rPr>
          <w:u w:val="single"/>
        </w:rPr>
        <w:t xml:space="preserve">                              </w:t>
      </w:r>
      <w:r>
        <w:t xml:space="preserve"> expression of </w:t>
      </w:r>
      <w:proofErr w:type="spellStart"/>
      <w:r>
        <w:t>iNOS</w:t>
      </w:r>
      <w:proofErr w:type="spellEnd"/>
      <w:r>
        <w:t xml:space="preserve"> and </w:t>
      </w:r>
      <w:r>
        <w:rPr>
          <w:u w:val="single"/>
        </w:rPr>
        <w:t xml:space="preserve">                           </w:t>
      </w:r>
      <w:r>
        <w:t xml:space="preserve"> nitric oxide production</w:t>
      </w: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  <w:numPr>
          <w:ilvl w:val="0"/>
          <w:numId w:val="2"/>
        </w:numPr>
      </w:pPr>
      <w:r>
        <w:t>TLRS are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PAMPS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PRRs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MDs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DAMPS</w:t>
      </w:r>
    </w:p>
    <w:p w:rsidR="00CD0964" w:rsidRDefault="00CD0964" w:rsidP="00CD0964">
      <w:pPr>
        <w:pStyle w:val="ListParagraph"/>
        <w:ind w:left="1440"/>
      </w:pPr>
    </w:p>
    <w:p w:rsidR="00CD0964" w:rsidRDefault="00CD0964" w:rsidP="00CD0964">
      <w:pPr>
        <w:pStyle w:val="ListParagraph"/>
        <w:numPr>
          <w:ilvl w:val="0"/>
          <w:numId w:val="2"/>
        </w:numPr>
        <w:jc w:val="center"/>
      </w:pPr>
      <w:r>
        <w:rPr>
          <w:noProof/>
        </w:rPr>
        <w:drawing>
          <wp:inline distT="0" distB="0" distL="0" distR="0" wp14:anchorId="69A09F83" wp14:editId="52145894">
            <wp:extent cx="4591050" cy="3431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700" cy="344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964" w:rsidRDefault="00CD0964" w:rsidP="00CD0964">
      <w:pPr>
        <w:pStyle w:val="ListParagraph"/>
        <w:numPr>
          <w:ilvl w:val="0"/>
          <w:numId w:val="2"/>
        </w:numPr>
      </w:pPr>
      <w:r>
        <w:t xml:space="preserve">Toll-like receptors were first discovered in 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Mice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Rabbits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Fruit flies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Primates</w:t>
      </w:r>
    </w:p>
    <w:p w:rsidR="00CD0964" w:rsidRDefault="00CD0964" w:rsidP="00CD0964">
      <w:pPr>
        <w:pStyle w:val="ListParagraph"/>
        <w:ind w:left="1440"/>
      </w:pPr>
    </w:p>
    <w:p w:rsidR="00CD0964" w:rsidRDefault="00CD0964" w:rsidP="00CD0964">
      <w:pPr>
        <w:pStyle w:val="ListParagraph"/>
        <w:ind w:left="1440"/>
      </w:pPr>
    </w:p>
    <w:p w:rsidR="00CD0964" w:rsidRDefault="00CD0964" w:rsidP="00CD0964">
      <w:pPr>
        <w:pStyle w:val="ListParagraph"/>
        <w:numPr>
          <w:ilvl w:val="0"/>
          <w:numId w:val="2"/>
        </w:numPr>
      </w:pPr>
      <w:r>
        <w:lastRenderedPageBreak/>
        <w:t xml:space="preserve">What are </w:t>
      </w:r>
      <w:proofErr w:type="spellStart"/>
      <w:r>
        <w:t>alarmins</w:t>
      </w:r>
      <w:proofErr w:type="spellEnd"/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</w:pPr>
    </w:p>
    <w:p w:rsidR="00CD0964" w:rsidRDefault="00CD0964" w:rsidP="00CD0964">
      <w:pPr>
        <w:pStyle w:val="ListParagraph"/>
        <w:numPr>
          <w:ilvl w:val="0"/>
          <w:numId w:val="2"/>
        </w:numPr>
      </w:pPr>
      <w:r>
        <w:t>Which receptor is the principal receptor for LPS that mediates the activation of nuclear factor kappa-beta and the synthesis of pro-inflammatory cytokines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TLR -1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TLR -2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TLR -4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proofErr w:type="spellStart"/>
      <w:r>
        <w:t>Salmo</w:t>
      </w:r>
      <w:proofErr w:type="spellEnd"/>
      <w:r>
        <w:t xml:space="preserve"> </w:t>
      </w:r>
      <w:proofErr w:type="spellStart"/>
      <w:r>
        <w:t>salar</w:t>
      </w:r>
      <w:proofErr w:type="spellEnd"/>
    </w:p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CD0964" w:rsidRDefault="00CD0964" w:rsidP="00C936B4"/>
    <w:p w:rsidR="00EB0C83" w:rsidRDefault="00EB0C83" w:rsidP="00C936B4">
      <w:bookmarkStart w:id="0" w:name="_GoBack"/>
      <w:bookmarkEnd w:id="0"/>
      <w:r>
        <w:t>Questions:</w:t>
      </w:r>
    </w:p>
    <w:p w:rsidR="00EB0C83" w:rsidRPr="00EB0C83" w:rsidRDefault="00EB0C83" w:rsidP="00EB0C83">
      <w:pPr>
        <w:pStyle w:val="ListParagraph"/>
        <w:numPr>
          <w:ilvl w:val="0"/>
          <w:numId w:val="2"/>
        </w:numPr>
      </w:pPr>
      <w:r w:rsidRPr="00EB0C83">
        <w:t xml:space="preserve">NO is synthesized from </w:t>
      </w:r>
      <w:r w:rsidRPr="00EB0C83">
        <w:rPr>
          <w:u w:val="single"/>
        </w:rPr>
        <w:t>L-arginine</w:t>
      </w:r>
      <w:r w:rsidRPr="00EB0C83">
        <w:t xml:space="preserve"> and oxygen by the enzyme </w:t>
      </w:r>
      <w:r w:rsidRPr="00EB0C83">
        <w:rPr>
          <w:u w:val="single"/>
        </w:rPr>
        <w:t>nitric oxide synthase</w:t>
      </w:r>
      <w:r w:rsidRPr="00EB0C83">
        <w:t xml:space="preserve"> (NOS)</w:t>
      </w:r>
    </w:p>
    <w:p w:rsidR="00EB0C83" w:rsidRDefault="00D67B79" w:rsidP="00EB0C83">
      <w:pPr>
        <w:pStyle w:val="ListParagraph"/>
        <w:numPr>
          <w:ilvl w:val="0"/>
          <w:numId w:val="2"/>
        </w:numPr>
      </w:pPr>
      <w:r>
        <w:t>List the three types of nitric oxide synthase</w:t>
      </w:r>
    </w:p>
    <w:p w:rsidR="00D67B79" w:rsidRDefault="00D67B79" w:rsidP="00D67B79">
      <w:pPr>
        <w:pStyle w:val="ListParagraph"/>
        <w:numPr>
          <w:ilvl w:val="1"/>
          <w:numId w:val="2"/>
        </w:numPr>
      </w:pPr>
      <w:r>
        <w:t xml:space="preserve">INOS, </w:t>
      </w:r>
      <w:proofErr w:type="spellStart"/>
      <w:r>
        <w:t>eNOS</w:t>
      </w:r>
      <w:proofErr w:type="spellEnd"/>
      <w:r>
        <w:t xml:space="preserve">, </w:t>
      </w:r>
      <w:proofErr w:type="spellStart"/>
      <w:r>
        <w:t>nNOS</w:t>
      </w:r>
      <w:proofErr w:type="spellEnd"/>
    </w:p>
    <w:p w:rsidR="00FB43AD" w:rsidRDefault="00FB43AD" w:rsidP="00FB43AD">
      <w:pPr>
        <w:pStyle w:val="ListParagraph"/>
        <w:numPr>
          <w:ilvl w:val="0"/>
          <w:numId w:val="2"/>
        </w:numPr>
      </w:pPr>
      <w:r>
        <w:t>Which two forms are the constitutive forms</w:t>
      </w:r>
    </w:p>
    <w:p w:rsidR="00FB43AD" w:rsidRDefault="00FB43AD" w:rsidP="00FB43AD">
      <w:pPr>
        <w:pStyle w:val="ListParagraph"/>
        <w:numPr>
          <w:ilvl w:val="1"/>
          <w:numId w:val="2"/>
        </w:numPr>
      </w:pPr>
      <w:proofErr w:type="spellStart"/>
      <w:r>
        <w:t>Enos</w:t>
      </w:r>
      <w:proofErr w:type="spellEnd"/>
      <w:r>
        <w:t xml:space="preserve"> </w:t>
      </w:r>
      <w:proofErr w:type="spellStart"/>
      <w:r>
        <w:t>nnos</w:t>
      </w:r>
      <w:proofErr w:type="spellEnd"/>
    </w:p>
    <w:p w:rsidR="00D67B79" w:rsidRDefault="00FB43AD" w:rsidP="003B4BA0">
      <w:pPr>
        <w:pStyle w:val="ListParagraph"/>
        <w:numPr>
          <w:ilvl w:val="0"/>
          <w:numId w:val="2"/>
        </w:numPr>
      </w:pPr>
      <w:r>
        <w:t xml:space="preserve">Severe sepsis is associated with </w:t>
      </w:r>
      <w:r w:rsidRPr="00FB43AD">
        <w:rPr>
          <w:u w:val="single"/>
        </w:rPr>
        <w:t>increased</w:t>
      </w:r>
      <w:r>
        <w:t xml:space="preserve"> expression of </w:t>
      </w:r>
      <w:proofErr w:type="spellStart"/>
      <w:r>
        <w:t>iNOS</w:t>
      </w:r>
      <w:proofErr w:type="spellEnd"/>
      <w:r>
        <w:t xml:space="preserve"> and </w:t>
      </w:r>
      <w:r w:rsidRPr="00FB43AD">
        <w:rPr>
          <w:u w:val="single"/>
        </w:rPr>
        <w:t>increased</w:t>
      </w:r>
      <w:r>
        <w:t xml:space="preserve"> nitric oxide production</w:t>
      </w:r>
    </w:p>
    <w:p w:rsidR="009D4A9F" w:rsidRDefault="009D4A9F" w:rsidP="003B4BA0">
      <w:pPr>
        <w:pStyle w:val="ListParagraph"/>
        <w:numPr>
          <w:ilvl w:val="0"/>
          <w:numId w:val="2"/>
        </w:numPr>
      </w:pPr>
      <w:r>
        <w:t>TLRS are</w:t>
      </w:r>
    </w:p>
    <w:p w:rsidR="009D4A9F" w:rsidRDefault="009D4A9F" w:rsidP="009D4A9F">
      <w:pPr>
        <w:pStyle w:val="ListParagraph"/>
        <w:numPr>
          <w:ilvl w:val="1"/>
          <w:numId w:val="2"/>
        </w:numPr>
      </w:pPr>
      <w:r>
        <w:t>PAMPS</w:t>
      </w:r>
    </w:p>
    <w:p w:rsidR="009D4A9F" w:rsidRDefault="009D4A9F" w:rsidP="009D4A9F">
      <w:pPr>
        <w:pStyle w:val="ListParagraph"/>
        <w:numPr>
          <w:ilvl w:val="1"/>
          <w:numId w:val="2"/>
        </w:numPr>
      </w:pPr>
      <w:r>
        <w:t>PRRs</w:t>
      </w:r>
    </w:p>
    <w:p w:rsidR="009D4A9F" w:rsidRDefault="009D4A9F" w:rsidP="009D4A9F">
      <w:pPr>
        <w:pStyle w:val="ListParagraph"/>
        <w:numPr>
          <w:ilvl w:val="1"/>
          <w:numId w:val="2"/>
        </w:numPr>
      </w:pPr>
      <w:r>
        <w:t>MDs</w:t>
      </w:r>
    </w:p>
    <w:p w:rsidR="009D4A9F" w:rsidRDefault="001B0F02" w:rsidP="009D4A9F">
      <w:pPr>
        <w:pStyle w:val="ListParagraph"/>
        <w:numPr>
          <w:ilvl w:val="1"/>
          <w:numId w:val="2"/>
        </w:numPr>
      </w:pPr>
      <w:r>
        <w:t>DAMPS</w:t>
      </w:r>
    </w:p>
    <w:p w:rsidR="00FB43AD" w:rsidRDefault="006C384D" w:rsidP="003B4BA0">
      <w:pPr>
        <w:pStyle w:val="ListParagraph"/>
        <w:numPr>
          <w:ilvl w:val="0"/>
          <w:numId w:val="2"/>
        </w:numPr>
      </w:pPr>
      <w:r>
        <w:rPr>
          <w:noProof/>
        </w:rPr>
        <w:lastRenderedPageBreak/>
        <w:drawing>
          <wp:inline distT="0" distB="0" distL="0" distR="0">
            <wp:extent cx="4591050" cy="3431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700" cy="344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84D" w:rsidRDefault="001B0F02" w:rsidP="006C384D">
      <w:pPr>
        <w:pStyle w:val="ListParagraph"/>
        <w:numPr>
          <w:ilvl w:val="0"/>
          <w:numId w:val="2"/>
        </w:numPr>
      </w:pPr>
      <w:r>
        <w:t xml:space="preserve">Toll-like receptors were first discovered in </w:t>
      </w:r>
    </w:p>
    <w:p w:rsidR="001B0F02" w:rsidRDefault="001B0F02" w:rsidP="001B0F02">
      <w:pPr>
        <w:pStyle w:val="ListParagraph"/>
        <w:numPr>
          <w:ilvl w:val="1"/>
          <w:numId w:val="2"/>
        </w:numPr>
      </w:pPr>
      <w:r>
        <w:t>Mice</w:t>
      </w:r>
    </w:p>
    <w:p w:rsidR="001B0F02" w:rsidRDefault="001B0F02" w:rsidP="001B0F02">
      <w:pPr>
        <w:pStyle w:val="ListParagraph"/>
        <w:numPr>
          <w:ilvl w:val="1"/>
          <w:numId w:val="2"/>
        </w:numPr>
      </w:pPr>
      <w:r>
        <w:t>Rabbits</w:t>
      </w:r>
    </w:p>
    <w:p w:rsidR="001B0F02" w:rsidRDefault="001B0F02" w:rsidP="001B0F02">
      <w:pPr>
        <w:pStyle w:val="ListParagraph"/>
        <w:numPr>
          <w:ilvl w:val="1"/>
          <w:numId w:val="2"/>
        </w:numPr>
      </w:pPr>
      <w:r>
        <w:t>Fruit flies</w:t>
      </w:r>
    </w:p>
    <w:p w:rsidR="001B0F02" w:rsidRDefault="001B0F02" w:rsidP="001B0F02">
      <w:pPr>
        <w:pStyle w:val="ListParagraph"/>
        <w:numPr>
          <w:ilvl w:val="1"/>
          <w:numId w:val="2"/>
        </w:numPr>
      </w:pPr>
      <w:r>
        <w:t>Primates</w:t>
      </w:r>
    </w:p>
    <w:p w:rsidR="001B0F02" w:rsidRDefault="00CD0964" w:rsidP="001B0F02">
      <w:pPr>
        <w:pStyle w:val="ListParagraph"/>
        <w:numPr>
          <w:ilvl w:val="0"/>
          <w:numId w:val="2"/>
        </w:numPr>
      </w:pPr>
      <w:r>
        <w:t xml:space="preserve">What are </w:t>
      </w:r>
      <w:proofErr w:type="spellStart"/>
      <w:r>
        <w:t>alarmins</w:t>
      </w:r>
      <w:proofErr w:type="spellEnd"/>
    </w:p>
    <w:p w:rsidR="00CD0964" w:rsidRDefault="00CD0964" w:rsidP="00CD0964">
      <w:pPr>
        <w:pStyle w:val="ListParagraph"/>
        <w:numPr>
          <w:ilvl w:val="1"/>
          <w:numId w:val="2"/>
        </w:numPr>
      </w:pPr>
      <w:r w:rsidRPr="00CD0964">
        <w:t>The term “</w:t>
      </w:r>
      <w:proofErr w:type="spellStart"/>
      <w:r w:rsidRPr="00CD0964">
        <w:t>alarmin</w:t>
      </w:r>
      <w:proofErr w:type="spellEnd"/>
      <w:r w:rsidRPr="00CD0964">
        <w:t xml:space="preserve">” is proposed to categorize such endogenous molecules that signal tissue and cell damage. Intriguingly, effector cells of innate and adaptive immunity can secrete </w:t>
      </w:r>
      <w:proofErr w:type="spellStart"/>
      <w:r w:rsidRPr="00CD0964">
        <w:t>alarmins</w:t>
      </w:r>
      <w:proofErr w:type="spellEnd"/>
      <w:r w:rsidRPr="00CD0964">
        <w:t xml:space="preserve"> via </w:t>
      </w:r>
      <w:proofErr w:type="spellStart"/>
      <w:r w:rsidRPr="00CD0964">
        <w:t>nonclassical</w:t>
      </w:r>
      <w:proofErr w:type="spellEnd"/>
      <w:r w:rsidRPr="00CD0964">
        <w:t xml:space="preserve"> pathways and often do so when they are activated by PAMPs or other </w:t>
      </w:r>
      <w:proofErr w:type="spellStart"/>
      <w:r w:rsidRPr="00CD0964">
        <w:t>alarmins</w:t>
      </w:r>
      <w:proofErr w:type="spellEnd"/>
      <w:r w:rsidRPr="00CD0964">
        <w:t xml:space="preserve">. Endogenous </w:t>
      </w:r>
      <w:proofErr w:type="spellStart"/>
      <w:r w:rsidRPr="00CD0964">
        <w:t>alarmins</w:t>
      </w:r>
      <w:proofErr w:type="spellEnd"/>
      <w:r w:rsidRPr="00CD0964">
        <w:t xml:space="preserve"> and exogenous PAMPs therefore convey a similar message and elicit similar responses; they can be considered subgroups of a larger set, the damage-associated molecular patterns (DAMPs).</w:t>
      </w:r>
    </w:p>
    <w:p w:rsidR="00CD0964" w:rsidRDefault="00CD0964" w:rsidP="00CD0964">
      <w:pPr>
        <w:pStyle w:val="ListParagraph"/>
        <w:numPr>
          <w:ilvl w:val="0"/>
          <w:numId w:val="2"/>
        </w:numPr>
      </w:pPr>
      <w:r>
        <w:t>Which receptor is</w:t>
      </w:r>
      <w:r>
        <w:t xml:space="preserve"> the principal receptor for LPS that mediates the activation of nuclear factor kappa-beta and the synthesis of pro</w:t>
      </w:r>
      <w:r>
        <w:t>-</w:t>
      </w:r>
      <w:r>
        <w:t>inflammatory cytokines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TLR -1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TLR -2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r>
        <w:t>TLR -4</w:t>
      </w:r>
    </w:p>
    <w:p w:rsidR="00CD0964" w:rsidRDefault="00CD0964" w:rsidP="00CD0964">
      <w:pPr>
        <w:pStyle w:val="ListParagraph"/>
        <w:numPr>
          <w:ilvl w:val="1"/>
          <w:numId w:val="2"/>
        </w:numPr>
      </w:pPr>
      <w:proofErr w:type="spellStart"/>
      <w:r>
        <w:t>Salmo</w:t>
      </w:r>
      <w:proofErr w:type="spellEnd"/>
      <w:r>
        <w:t xml:space="preserve"> </w:t>
      </w:r>
      <w:proofErr w:type="spellStart"/>
      <w:r>
        <w:t>salar</w:t>
      </w:r>
      <w:proofErr w:type="spellEnd"/>
    </w:p>
    <w:p w:rsidR="00CD0964" w:rsidRPr="00C936B4" w:rsidRDefault="00CD0964" w:rsidP="00CD0964">
      <w:pPr>
        <w:pStyle w:val="ListParagraph"/>
      </w:pPr>
    </w:p>
    <w:sectPr w:rsidR="00CD0964" w:rsidRPr="00C936B4" w:rsidSect="00C936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TTb4a90e5b.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kzidenzGroteskB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35787"/>
    <w:multiLevelType w:val="hybridMultilevel"/>
    <w:tmpl w:val="7F00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C6FA6"/>
    <w:multiLevelType w:val="hybridMultilevel"/>
    <w:tmpl w:val="8B58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E1240"/>
    <w:multiLevelType w:val="hybridMultilevel"/>
    <w:tmpl w:val="7BE46DCE"/>
    <w:lvl w:ilvl="0" w:tplc="81725702">
      <w:start w:val="1"/>
      <w:numFmt w:val="decimal"/>
      <w:lvlText w:val="%1."/>
      <w:lvlJc w:val="left"/>
      <w:pPr>
        <w:ind w:left="720" w:hanging="360"/>
      </w:pPr>
      <w:rPr>
        <w:rFonts w:cs="AdvTTb4a90e5b.B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C4D30"/>
    <w:multiLevelType w:val="hybridMultilevel"/>
    <w:tmpl w:val="E43A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04BC2"/>
    <w:multiLevelType w:val="hybridMultilevel"/>
    <w:tmpl w:val="DBC2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6F2911"/>
    <w:multiLevelType w:val="hybridMultilevel"/>
    <w:tmpl w:val="420EA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6B4"/>
    <w:rsid w:val="00090477"/>
    <w:rsid w:val="001B0F02"/>
    <w:rsid w:val="00254B0F"/>
    <w:rsid w:val="00323D3C"/>
    <w:rsid w:val="006C384D"/>
    <w:rsid w:val="007744E4"/>
    <w:rsid w:val="008F0B7D"/>
    <w:rsid w:val="009D4A9F"/>
    <w:rsid w:val="00A470AF"/>
    <w:rsid w:val="00A659BF"/>
    <w:rsid w:val="00C936B4"/>
    <w:rsid w:val="00CD0964"/>
    <w:rsid w:val="00D67B79"/>
    <w:rsid w:val="00EB0C83"/>
    <w:rsid w:val="00EF1EDA"/>
    <w:rsid w:val="00FB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8FA1D-F8D2-4255-ADAA-3F73C0B5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Josh Smith</cp:lastModifiedBy>
  <cp:revision>2</cp:revision>
  <dcterms:created xsi:type="dcterms:W3CDTF">2014-07-29T21:35:00Z</dcterms:created>
  <dcterms:modified xsi:type="dcterms:W3CDTF">2014-07-29T21:35:00Z</dcterms:modified>
</cp:coreProperties>
</file>