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84"/>
        <w:gridCol w:w="6184"/>
        <w:gridCol w:w="2430"/>
        <w:gridCol w:w="2430"/>
        <w:gridCol w:w="1980"/>
      </w:tblGrid>
      <w:tr w:rsidR="000A5EF5" w:rsidRPr="00A42DED" w14:paraId="63A5949C" w14:textId="77777777" w:rsidTr="000A5EF5">
        <w:tc>
          <w:tcPr>
            <w:tcW w:w="1484" w:type="dxa"/>
          </w:tcPr>
          <w:p w14:paraId="4050B64F" w14:textId="77777777" w:rsidR="000A5EF5" w:rsidRPr="00A42DED" w:rsidRDefault="000A5EF5" w:rsidP="00A42DED">
            <w:pPr>
              <w:rPr>
                <w:rFonts w:asciiTheme="majorHAnsi" w:hAnsiTheme="majorHAnsi"/>
                <w:sz w:val="20"/>
                <w:szCs w:val="20"/>
              </w:rPr>
            </w:pPr>
            <w:r w:rsidRPr="00A42DED">
              <w:rPr>
                <w:rFonts w:asciiTheme="majorHAnsi" w:hAnsiTheme="majorHAnsi"/>
                <w:sz w:val="20"/>
                <w:szCs w:val="20"/>
              </w:rPr>
              <w:t>Toxin</w:t>
            </w:r>
          </w:p>
        </w:tc>
        <w:tc>
          <w:tcPr>
            <w:tcW w:w="6184" w:type="dxa"/>
          </w:tcPr>
          <w:p w14:paraId="736ED415" w14:textId="77777777" w:rsidR="000A5EF5" w:rsidRPr="00A42DED" w:rsidRDefault="00A42DED" w:rsidP="00A42DE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Basic MOA</w:t>
            </w:r>
            <w:r w:rsidR="000A5EF5" w:rsidRPr="00A42DED">
              <w:rPr>
                <w:rFonts w:asciiTheme="majorHAnsi" w:hAnsiTheme="majorHAnsi"/>
                <w:sz w:val="20"/>
                <w:szCs w:val="20"/>
              </w:rPr>
              <w:t xml:space="preserve"> (kidney)</w:t>
            </w:r>
          </w:p>
        </w:tc>
        <w:tc>
          <w:tcPr>
            <w:tcW w:w="2430" w:type="dxa"/>
          </w:tcPr>
          <w:p w14:paraId="7DCB0C3B" w14:textId="77777777" w:rsidR="000A5EF5" w:rsidRPr="00A42DED" w:rsidRDefault="000A5EF5" w:rsidP="00A42DED">
            <w:pPr>
              <w:rPr>
                <w:rFonts w:asciiTheme="majorHAnsi" w:hAnsiTheme="majorHAnsi"/>
                <w:sz w:val="20"/>
                <w:szCs w:val="20"/>
              </w:rPr>
            </w:pPr>
            <w:r w:rsidRPr="00A42DED">
              <w:rPr>
                <w:rFonts w:asciiTheme="majorHAnsi" w:hAnsiTheme="majorHAnsi"/>
                <w:sz w:val="20"/>
                <w:szCs w:val="20"/>
              </w:rPr>
              <w:t>CS</w:t>
            </w:r>
          </w:p>
        </w:tc>
        <w:tc>
          <w:tcPr>
            <w:tcW w:w="2430" w:type="dxa"/>
          </w:tcPr>
          <w:p w14:paraId="71A13522" w14:textId="77777777" w:rsidR="000A5EF5" w:rsidRPr="00A42DED" w:rsidRDefault="000A5EF5" w:rsidP="00A42DED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42DED">
              <w:rPr>
                <w:rFonts w:asciiTheme="majorHAnsi" w:hAnsiTheme="majorHAnsi"/>
                <w:sz w:val="20"/>
                <w:szCs w:val="20"/>
              </w:rPr>
              <w:t>Dx</w:t>
            </w:r>
            <w:proofErr w:type="spellEnd"/>
            <w:r w:rsidRPr="00A42DED">
              <w:rPr>
                <w:rFonts w:asciiTheme="majorHAnsi" w:hAnsiTheme="majorHAnsi"/>
                <w:sz w:val="20"/>
                <w:szCs w:val="20"/>
              </w:rPr>
              <w:t xml:space="preserve"> findings</w:t>
            </w:r>
          </w:p>
        </w:tc>
        <w:tc>
          <w:tcPr>
            <w:tcW w:w="1980" w:type="dxa"/>
          </w:tcPr>
          <w:p w14:paraId="50804360" w14:textId="77777777" w:rsidR="000A5EF5" w:rsidRPr="00A42DED" w:rsidRDefault="000A5EF5" w:rsidP="00A42DED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42DED">
              <w:rPr>
                <w:rFonts w:asciiTheme="majorHAnsi" w:hAnsiTheme="majorHAnsi"/>
                <w:sz w:val="20"/>
                <w:szCs w:val="20"/>
              </w:rPr>
              <w:t>Tx</w:t>
            </w:r>
            <w:proofErr w:type="spellEnd"/>
          </w:p>
        </w:tc>
      </w:tr>
      <w:tr w:rsidR="000A5EF5" w:rsidRPr="00A42DED" w14:paraId="5768D8D8" w14:textId="77777777" w:rsidTr="000A5EF5">
        <w:tc>
          <w:tcPr>
            <w:tcW w:w="1484" w:type="dxa"/>
          </w:tcPr>
          <w:p w14:paraId="62432399" w14:textId="77777777" w:rsidR="000A5EF5" w:rsidRPr="00A42DED" w:rsidRDefault="000A5EF5" w:rsidP="00A42DE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"/>
                <w:sz w:val="20"/>
                <w:szCs w:val="20"/>
              </w:rPr>
            </w:pPr>
            <w:r w:rsidRPr="00A42DED">
              <w:rPr>
                <w:rFonts w:asciiTheme="majorHAnsi" w:hAnsiTheme="majorHAnsi" w:cs="Helvetica"/>
                <w:sz w:val="20"/>
                <w:szCs w:val="20"/>
              </w:rPr>
              <w:t>NSAIDs</w:t>
            </w:r>
          </w:p>
          <w:p w14:paraId="44B9993F" w14:textId="77777777" w:rsidR="000A5EF5" w:rsidRPr="00A42DED" w:rsidRDefault="000A5EF5" w:rsidP="00A42DE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84" w:type="dxa"/>
          </w:tcPr>
          <w:p w14:paraId="1F38D89C" w14:textId="77777777" w:rsidR="000A5EF5" w:rsidRPr="00A42DED" w:rsidRDefault="000A5EF5" w:rsidP="00A42DED">
            <w:pPr>
              <w:rPr>
                <w:rFonts w:asciiTheme="majorHAnsi" w:hAnsiTheme="majorHAnsi" w:cs="Arial"/>
                <w:color w:val="312A2A"/>
                <w:sz w:val="20"/>
                <w:szCs w:val="20"/>
                <w:u w:color="254171"/>
              </w:rPr>
            </w:pPr>
            <w:r w:rsidRPr="00A42DED">
              <w:rPr>
                <w:rFonts w:asciiTheme="majorHAnsi" w:hAnsiTheme="majorHAnsi" w:cs="Arial"/>
                <w:color w:val="312A2A"/>
                <w:sz w:val="20"/>
                <w:szCs w:val="20"/>
                <w:u w:color="254171"/>
              </w:rPr>
              <w:t xml:space="preserve">Kidney insult associated with NSAID use is due to an interruption in renal prostaglandin pathway during times of decreased renal blood flow, resulting in decreased renal perfusion and subsequent ischemic </w:t>
            </w:r>
            <w:proofErr w:type="spellStart"/>
            <w:r w:rsidRPr="00A42DED">
              <w:rPr>
                <w:rFonts w:asciiTheme="majorHAnsi" w:hAnsiTheme="majorHAnsi" w:cs="Arial"/>
                <w:color w:val="312A2A"/>
                <w:sz w:val="20"/>
                <w:szCs w:val="20"/>
                <w:u w:color="254171"/>
              </w:rPr>
              <w:t>nephrosis</w:t>
            </w:r>
            <w:proofErr w:type="spellEnd"/>
            <w:r w:rsidRPr="00A42DED">
              <w:rPr>
                <w:rFonts w:asciiTheme="majorHAnsi" w:hAnsiTheme="majorHAnsi" w:cs="Arial"/>
                <w:color w:val="312A2A"/>
                <w:sz w:val="20"/>
                <w:szCs w:val="20"/>
                <w:u w:color="254171"/>
              </w:rPr>
              <w:t>.</w:t>
            </w:r>
          </w:p>
          <w:p w14:paraId="62DAA087" w14:textId="77777777" w:rsidR="000A5EF5" w:rsidRPr="00A42DED" w:rsidRDefault="000A5EF5" w:rsidP="00A42DED">
            <w:pPr>
              <w:rPr>
                <w:rFonts w:asciiTheme="majorHAnsi" w:hAnsiTheme="majorHAnsi" w:cs="Arial"/>
                <w:color w:val="312A2A"/>
                <w:sz w:val="20"/>
                <w:szCs w:val="20"/>
                <w:u w:color="254171"/>
              </w:rPr>
            </w:pPr>
          </w:p>
          <w:p w14:paraId="784D3C4C" w14:textId="77777777" w:rsidR="000A5EF5" w:rsidRPr="00A42DED" w:rsidRDefault="000A5EF5" w:rsidP="00A42DED">
            <w:pPr>
              <w:rPr>
                <w:rFonts w:asciiTheme="majorHAnsi" w:hAnsiTheme="majorHAnsi"/>
                <w:sz w:val="20"/>
                <w:szCs w:val="20"/>
              </w:rPr>
            </w:pPr>
            <w:r w:rsidRPr="00A42DED">
              <w:rPr>
                <w:rFonts w:asciiTheme="majorHAnsi" w:hAnsiTheme="majorHAnsi" w:cs="Arial"/>
                <w:color w:val="312A2A"/>
                <w:sz w:val="20"/>
                <w:szCs w:val="20"/>
              </w:rPr>
              <w:t xml:space="preserve">Inhibition of </w:t>
            </w:r>
            <w:proofErr w:type="spellStart"/>
            <w:r w:rsidRPr="00A42DED">
              <w:rPr>
                <w:rFonts w:asciiTheme="majorHAnsi" w:hAnsiTheme="majorHAnsi" w:cs="Arial"/>
                <w:color w:val="312A2A"/>
                <w:sz w:val="20"/>
                <w:szCs w:val="20"/>
              </w:rPr>
              <w:t>cyclo-oxygenase</w:t>
            </w:r>
            <w:proofErr w:type="spellEnd"/>
            <w:r w:rsidRPr="00A42DED">
              <w:rPr>
                <w:rFonts w:asciiTheme="majorHAnsi" w:hAnsiTheme="majorHAnsi" w:cs="Arial"/>
                <w:color w:val="312A2A"/>
                <w:sz w:val="20"/>
                <w:szCs w:val="20"/>
              </w:rPr>
              <w:t xml:space="preserve"> enzymes, COX-1 and/or COX-2, to interrupt production of prostaglandins. COX-1 is expressed constitutively and is involved in the production of prostaglandins needed for normal physiologic functions in several organs including the kidneys. COX-2 expression is inducible by bacterial endotoxins, cytokines and growth factors but this enzyme is also expressed constitutively in the kidneys in the absence of inflammatory stimulation. COX-2 expression is greatly increased in dogs that are volume or sodium depleted; therefore, administration of NSAIDs that preferentially inhibit COX-2 may cause kidney damage, particularly in dehydrated patients.</w:t>
            </w:r>
          </w:p>
          <w:p w14:paraId="460F26F8" w14:textId="77777777" w:rsidR="000A5EF5" w:rsidRPr="00A42DED" w:rsidRDefault="000A5EF5" w:rsidP="00A42DE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312A2A"/>
                <w:sz w:val="20"/>
                <w:szCs w:val="20"/>
                <w:u w:color="254171"/>
              </w:rPr>
            </w:pPr>
            <w:r w:rsidRPr="00A42DED">
              <w:rPr>
                <w:rFonts w:asciiTheme="majorHAnsi" w:hAnsiTheme="majorHAnsi" w:cs="Arial"/>
                <w:color w:val="312A2A"/>
                <w:sz w:val="20"/>
                <w:szCs w:val="20"/>
                <w:u w:color="254171"/>
              </w:rPr>
              <w:t xml:space="preserve">In a </w:t>
            </w:r>
            <w:proofErr w:type="spellStart"/>
            <w:r w:rsidRPr="00A42DED">
              <w:rPr>
                <w:rFonts w:asciiTheme="majorHAnsi" w:hAnsiTheme="majorHAnsi" w:cs="Arial"/>
                <w:color w:val="312A2A"/>
                <w:sz w:val="20"/>
                <w:szCs w:val="20"/>
                <w:u w:color="254171"/>
              </w:rPr>
              <w:t>hemodynamically</w:t>
            </w:r>
            <w:proofErr w:type="spellEnd"/>
            <w:r w:rsidRPr="00A42DED">
              <w:rPr>
                <w:rFonts w:asciiTheme="majorHAnsi" w:hAnsiTheme="majorHAnsi" w:cs="Arial"/>
                <w:color w:val="312A2A"/>
                <w:sz w:val="20"/>
                <w:szCs w:val="20"/>
                <w:u w:color="254171"/>
              </w:rPr>
              <w:t xml:space="preserve"> normal patient without pre-existing renal compromise, appropriate dosages of NSAIDs should not result in AKI and do not affect GFR, as demonstrated by </w:t>
            </w:r>
            <w:proofErr w:type="spellStart"/>
            <w:r w:rsidRPr="00A42DED">
              <w:rPr>
                <w:rFonts w:asciiTheme="majorHAnsi" w:hAnsiTheme="majorHAnsi" w:cs="Arial"/>
                <w:color w:val="312A2A"/>
                <w:sz w:val="20"/>
                <w:szCs w:val="20"/>
                <w:u w:color="254171"/>
              </w:rPr>
              <w:t>iohexol</w:t>
            </w:r>
            <w:proofErr w:type="spellEnd"/>
            <w:r w:rsidRPr="00A42DED">
              <w:rPr>
                <w:rFonts w:asciiTheme="majorHAnsi" w:hAnsiTheme="majorHAnsi" w:cs="Arial"/>
                <w:color w:val="312A2A"/>
                <w:sz w:val="20"/>
                <w:szCs w:val="20"/>
                <w:u w:color="254171"/>
              </w:rPr>
              <w:t xml:space="preserve"> clearance studies in cats given a 5-day course of meloxicam. However, in states of low renal blood flow, prostaglandins play a crucial role in maintaining kidney function and GFR. Prostaglandins E</w:t>
            </w:r>
            <w:r w:rsidRPr="00A42DED">
              <w:rPr>
                <w:rFonts w:asciiTheme="majorHAnsi" w:hAnsiTheme="majorHAnsi" w:cs="Arial"/>
                <w:color w:val="312A2A"/>
                <w:sz w:val="20"/>
                <w:szCs w:val="20"/>
                <w:u w:color="254171"/>
                <w:vertAlign w:val="subscript"/>
              </w:rPr>
              <w:t>2</w:t>
            </w:r>
            <w:r w:rsidRPr="00A42DED">
              <w:rPr>
                <w:rFonts w:asciiTheme="majorHAnsi" w:hAnsiTheme="majorHAnsi" w:cs="Arial"/>
                <w:color w:val="312A2A"/>
                <w:sz w:val="20"/>
                <w:szCs w:val="20"/>
                <w:u w:color="254171"/>
              </w:rPr>
              <w:t xml:space="preserve"> and I</w:t>
            </w:r>
            <w:r w:rsidRPr="00A42DED">
              <w:rPr>
                <w:rFonts w:asciiTheme="majorHAnsi" w:hAnsiTheme="majorHAnsi" w:cs="Arial"/>
                <w:color w:val="312A2A"/>
                <w:sz w:val="20"/>
                <w:szCs w:val="20"/>
                <w:u w:color="254171"/>
                <w:vertAlign w:val="subscript"/>
              </w:rPr>
              <w:t>2</w:t>
            </w:r>
            <w:r w:rsidRPr="00A42DED">
              <w:rPr>
                <w:rFonts w:asciiTheme="majorHAnsi" w:hAnsiTheme="majorHAnsi" w:cs="Arial"/>
                <w:color w:val="312A2A"/>
                <w:sz w:val="20"/>
                <w:szCs w:val="20"/>
                <w:u w:color="254171"/>
              </w:rPr>
              <w:t xml:space="preserve"> exert </w:t>
            </w:r>
            <w:proofErr w:type="spellStart"/>
            <w:r w:rsidRPr="00A42DED">
              <w:rPr>
                <w:rFonts w:asciiTheme="majorHAnsi" w:hAnsiTheme="majorHAnsi" w:cs="Arial"/>
                <w:color w:val="312A2A"/>
                <w:sz w:val="20"/>
                <w:szCs w:val="20"/>
                <w:u w:color="254171"/>
              </w:rPr>
              <w:t>vasodilatory</w:t>
            </w:r>
            <w:proofErr w:type="spellEnd"/>
            <w:r w:rsidRPr="00A42DED">
              <w:rPr>
                <w:rFonts w:asciiTheme="majorHAnsi" w:hAnsiTheme="majorHAnsi" w:cs="Arial"/>
                <w:color w:val="312A2A"/>
                <w:sz w:val="20"/>
                <w:szCs w:val="20"/>
                <w:u w:color="254171"/>
              </w:rPr>
              <w:t xml:space="preserve"> effects at the level of the kidney that are important in its blood flow regulation, especially during periods of hypovolemia or decreased renal perfusion.</w:t>
            </w:r>
          </w:p>
          <w:p w14:paraId="4E56DF92" w14:textId="77777777" w:rsidR="000A5EF5" w:rsidRPr="00A42DED" w:rsidRDefault="000A5EF5" w:rsidP="00A42DED">
            <w:pPr>
              <w:rPr>
                <w:rFonts w:asciiTheme="majorHAnsi" w:hAnsiTheme="majorHAnsi"/>
                <w:sz w:val="20"/>
                <w:szCs w:val="20"/>
              </w:rPr>
            </w:pPr>
            <w:r w:rsidRPr="00A42DED">
              <w:rPr>
                <w:rFonts w:asciiTheme="majorHAnsi" w:hAnsiTheme="majorHAnsi" w:cs="Arial"/>
                <w:color w:val="312A2A"/>
                <w:sz w:val="20"/>
                <w:szCs w:val="20"/>
                <w:u w:color="254171"/>
              </w:rPr>
              <w:t>All NSAIDs represent this risk to renal function regardless of reported COX-selectivity.</w:t>
            </w:r>
          </w:p>
        </w:tc>
        <w:tc>
          <w:tcPr>
            <w:tcW w:w="2430" w:type="dxa"/>
          </w:tcPr>
          <w:p w14:paraId="75CBB7F5" w14:textId="77777777" w:rsidR="000A5EF5" w:rsidRPr="00A42DED" w:rsidRDefault="000A5EF5" w:rsidP="00A42DED">
            <w:pPr>
              <w:rPr>
                <w:rFonts w:asciiTheme="majorHAnsi" w:hAnsiTheme="majorHAnsi"/>
                <w:sz w:val="20"/>
                <w:szCs w:val="20"/>
              </w:rPr>
            </w:pPr>
            <w:r w:rsidRPr="00A42DED">
              <w:rPr>
                <w:rFonts w:asciiTheme="majorHAnsi" w:hAnsiTheme="majorHAnsi"/>
                <w:sz w:val="20"/>
                <w:szCs w:val="20"/>
              </w:rPr>
              <w:t>PU/PD, oliguria, dehydration, inappetance, lethargy, vomiting</w:t>
            </w:r>
          </w:p>
        </w:tc>
        <w:tc>
          <w:tcPr>
            <w:tcW w:w="2430" w:type="dxa"/>
          </w:tcPr>
          <w:p w14:paraId="235D1CA1" w14:textId="77777777" w:rsidR="000A5EF5" w:rsidRPr="00A42DED" w:rsidRDefault="000A5EF5" w:rsidP="00A42DED">
            <w:pPr>
              <w:rPr>
                <w:rFonts w:asciiTheme="majorHAnsi" w:hAnsiTheme="majorHAnsi"/>
                <w:sz w:val="20"/>
                <w:szCs w:val="20"/>
              </w:rPr>
            </w:pPr>
            <w:r w:rsidRPr="00A42DED">
              <w:rPr>
                <w:rFonts w:asciiTheme="majorHAnsi" w:hAnsiTheme="majorHAnsi"/>
                <w:sz w:val="20"/>
                <w:szCs w:val="20"/>
              </w:rPr>
              <w:t xml:space="preserve">Azotemia, </w:t>
            </w:r>
            <w:proofErr w:type="spellStart"/>
            <w:r w:rsidRPr="00A42DED">
              <w:rPr>
                <w:rFonts w:asciiTheme="majorHAnsi" w:hAnsiTheme="majorHAnsi"/>
                <w:sz w:val="20"/>
                <w:szCs w:val="20"/>
              </w:rPr>
              <w:t>hyperphosphatemia</w:t>
            </w:r>
            <w:proofErr w:type="spellEnd"/>
            <w:r w:rsidRPr="00A42DED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proofErr w:type="spellStart"/>
            <w:r w:rsidRPr="00A42DED">
              <w:rPr>
                <w:rFonts w:asciiTheme="majorHAnsi" w:hAnsiTheme="majorHAnsi"/>
                <w:sz w:val="20"/>
                <w:szCs w:val="20"/>
              </w:rPr>
              <w:t>metab</w:t>
            </w:r>
            <w:proofErr w:type="spellEnd"/>
            <w:r w:rsidRPr="00A42DED">
              <w:rPr>
                <w:rFonts w:asciiTheme="majorHAnsi" w:hAnsiTheme="majorHAnsi"/>
                <w:sz w:val="20"/>
                <w:szCs w:val="20"/>
              </w:rPr>
              <w:t xml:space="preserve"> acidosis, urine casts</w:t>
            </w:r>
          </w:p>
        </w:tc>
        <w:tc>
          <w:tcPr>
            <w:tcW w:w="1980" w:type="dxa"/>
          </w:tcPr>
          <w:p w14:paraId="4620123F" w14:textId="77777777" w:rsidR="000A5EF5" w:rsidRPr="00A42DED" w:rsidRDefault="000A5EF5" w:rsidP="00A42DED">
            <w:pPr>
              <w:rPr>
                <w:rFonts w:asciiTheme="majorHAnsi" w:hAnsiTheme="majorHAnsi"/>
                <w:sz w:val="20"/>
                <w:szCs w:val="20"/>
              </w:rPr>
            </w:pPr>
            <w:r w:rsidRPr="00A42DED">
              <w:rPr>
                <w:rFonts w:asciiTheme="majorHAnsi" w:hAnsiTheme="majorHAnsi"/>
                <w:sz w:val="20"/>
                <w:szCs w:val="20"/>
              </w:rPr>
              <w:t>Fluid support, dialysis</w:t>
            </w:r>
          </w:p>
        </w:tc>
      </w:tr>
      <w:tr w:rsidR="000A5EF5" w:rsidRPr="00A42DED" w14:paraId="1D79FB69" w14:textId="77777777" w:rsidTr="000A5EF5">
        <w:tc>
          <w:tcPr>
            <w:tcW w:w="1484" w:type="dxa"/>
          </w:tcPr>
          <w:p w14:paraId="6C53CE20" w14:textId="77777777" w:rsidR="000A5EF5" w:rsidRPr="00A42DED" w:rsidRDefault="000A5EF5" w:rsidP="00A42DE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"/>
                <w:sz w:val="20"/>
                <w:szCs w:val="20"/>
              </w:rPr>
            </w:pPr>
          </w:p>
        </w:tc>
        <w:tc>
          <w:tcPr>
            <w:tcW w:w="13024" w:type="dxa"/>
            <w:gridSpan w:val="4"/>
          </w:tcPr>
          <w:p w14:paraId="6617A4E6" w14:textId="77777777" w:rsidR="000A5EF5" w:rsidRPr="00A42DED" w:rsidRDefault="000A5EF5" w:rsidP="00A42DE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0"/>
                <w:szCs w:val="20"/>
              </w:rPr>
            </w:pPr>
            <w:r w:rsidRPr="00A42DED">
              <w:rPr>
                <w:rFonts w:asciiTheme="majorHAnsi" w:hAnsiTheme="majorHAnsi" w:cs="Times New Roman"/>
                <w:sz w:val="20"/>
                <w:szCs w:val="20"/>
              </w:rPr>
              <w:t>Literature review:</w:t>
            </w:r>
          </w:p>
          <w:p w14:paraId="341DEE63" w14:textId="77777777" w:rsidR="000A5EF5" w:rsidRPr="00A42DED" w:rsidRDefault="000A5EF5" w:rsidP="00A42DE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0"/>
                <w:szCs w:val="20"/>
              </w:rPr>
            </w:pPr>
          </w:p>
          <w:p w14:paraId="7B4F15D7" w14:textId="77777777" w:rsidR="000A5EF5" w:rsidRPr="00A42DED" w:rsidRDefault="000A5EF5" w:rsidP="00A42DE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0"/>
                <w:szCs w:val="20"/>
              </w:rPr>
            </w:pPr>
            <w:r w:rsidRPr="00A42DED">
              <w:rPr>
                <w:rFonts w:asciiTheme="majorHAnsi" w:hAnsiTheme="majorHAnsi" w:cs="Times New Roman"/>
                <w:i/>
                <w:sz w:val="20"/>
                <w:szCs w:val="20"/>
              </w:rPr>
              <w:t xml:space="preserve">Treatment of Ibuprofen </w:t>
            </w:r>
            <w:proofErr w:type="spellStart"/>
            <w:r w:rsidRPr="00A42DED">
              <w:rPr>
                <w:rFonts w:asciiTheme="majorHAnsi" w:hAnsiTheme="majorHAnsi" w:cs="Times New Roman"/>
                <w:i/>
                <w:sz w:val="20"/>
                <w:szCs w:val="20"/>
              </w:rPr>
              <w:t>Toxicosis</w:t>
            </w:r>
            <w:proofErr w:type="spellEnd"/>
            <w:r w:rsidRPr="00A42DED">
              <w:rPr>
                <w:rFonts w:asciiTheme="majorHAnsi" w:hAnsiTheme="majorHAnsi" w:cs="Times New Roman"/>
                <w:i/>
                <w:sz w:val="20"/>
                <w:szCs w:val="20"/>
              </w:rPr>
              <w:t xml:space="preserve"> in a Dog with IV Lipid Emulsion</w:t>
            </w:r>
            <w:r w:rsidRPr="00A42DED">
              <w:rPr>
                <w:rFonts w:asciiTheme="majorHAnsi" w:hAnsiTheme="majorHAnsi" w:cs="Times New Roman"/>
                <w:sz w:val="20"/>
                <w:szCs w:val="20"/>
              </w:rPr>
              <w:t xml:space="preserve">. </w:t>
            </w:r>
            <w:proofErr w:type="spellStart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>Bolfer</w:t>
            </w:r>
            <w:proofErr w:type="spellEnd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 xml:space="preserve"> et al. J Am </w:t>
            </w:r>
            <w:proofErr w:type="spellStart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>Anim</w:t>
            </w:r>
            <w:proofErr w:type="spellEnd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>Hosp</w:t>
            </w:r>
            <w:proofErr w:type="spellEnd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>Assoc</w:t>
            </w:r>
            <w:proofErr w:type="spellEnd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 xml:space="preserve"> 2014; 50:136–140</w:t>
            </w:r>
          </w:p>
          <w:p w14:paraId="2405DD0E" w14:textId="77777777" w:rsidR="000A5EF5" w:rsidRPr="00A42DED" w:rsidRDefault="000A5EF5" w:rsidP="00A42DE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0"/>
                <w:szCs w:val="20"/>
              </w:rPr>
            </w:pPr>
            <w:r w:rsidRPr="00A42DED">
              <w:rPr>
                <w:rFonts w:asciiTheme="majorHAnsi" w:hAnsiTheme="majorHAnsi" w:cs="Times New Roman"/>
                <w:sz w:val="20"/>
                <w:szCs w:val="20"/>
              </w:rPr>
              <w:t xml:space="preserve">A 3 </w:t>
            </w:r>
            <w:proofErr w:type="spellStart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>yr</w:t>
            </w:r>
            <w:proofErr w:type="spellEnd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 xml:space="preserve"> old spayed female mixed-breed dog weighing 19.4 kg was evaluated for ingestion of 1,856 mg/kg (180 tablets) of ibuprofen. At the time of presentation, the patient was alert and </w:t>
            </w:r>
            <w:proofErr w:type="spellStart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>hypersalivating</w:t>
            </w:r>
            <w:proofErr w:type="spellEnd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 xml:space="preserve">, but her mental status rapidly declined to obtunded, </w:t>
            </w:r>
            <w:proofErr w:type="spellStart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>stuporous</w:t>
            </w:r>
            <w:proofErr w:type="spellEnd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 xml:space="preserve">, and then comatose within 30 min of presentation. Initial treatment included supportive therapy with prostaglandin analogs and </w:t>
            </w:r>
            <w:proofErr w:type="spellStart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>antiemetics</w:t>
            </w:r>
            <w:proofErr w:type="spellEnd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 xml:space="preserve">. An IV lipid emulsion (ILE) was administered as a bolus, followed by a constant rate infusion. Clinical signs began to improve approximately 3 </w:t>
            </w:r>
            <w:proofErr w:type="spellStart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>hr</w:t>
            </w:r>
            <w:proofErr w:type="spellEnd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 xml:space="preserve"> after completion of the lipid infusion. The patient required supportive care for 3 days before discharge. This case report demonstrates the use of ILE for treatment of ibuprofen </w:t>
            </w:r>
            <w:proofErr w:type="spellStart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>toxicosis</w:t>
            </w:r>
            <w:proofErr w:type="spellEnd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 xml:space="preserve"> in a dog. </w:t>
            </w:r>
            <w:r w:rsidRPr="00A42DED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ILE infusion may be a therapeutic option for patients with </w:t>
            </w:r>
            <w:proofErr w:type="spellStart"/>
            <w:r w:rsidRPr="00A42DED">
              <w:rPr>
                <w:rFonts w:asciiTheme="majorHAnsi" w:hAnsiTheme="majorHAnsi" w:cs="Times New Roman"/>
                <w:b/>
                <w:sz w:val="20"/>
                <w:szCs w:val="20"/>
              </w:rPr>
              <w:t>toxicosis</w:t>
            </w:r>
            <w:proofErr w:type="spellEnd"/>
          </w:p>
          <w:p w14:paraId="0FFE36FC" w14:textId="77777777" w:rsidR="000A5EF5" w:rsidRPr="00A42DED" w:rsidRDefault="000A5EF5" w:rsidP="00A42DED">
            <w:pPr>
              <w:rPr>
                <w:rFonts w:asciiTheme="majorHAnsi" w:hAnsiTheme="majorHAnsi" w:cs="Times New Roman"/>
                <w:sz w:val="20"/>
                <w:szCs w:val="20"/>
              </w:rPr>
            </w:pPr>
            <w:proofErr w:type="gramStart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>due</w:t>
            </w:r>
            <w:proofErr w:type="gramEnd"/>
            <w:r w:rsidRPr="00A42DED">
              <w:rPr>
                <w:rFonts w:asciiTheme="majorHAnsi" w:hAnsiTheme="majorHAnsi" w:cs="Times New Roman"/>
                <w:sz w:val="20"/>
                <w:szCs w:val="20"/>
              </w:rPr>
              <w:t xml:space="preserve"> to lipid-soluble drugs. </w:t>
            </w:r>
          </w:p>
          <w:p w14:paraId="26900D4F" w14:textId="77777777" w:rsidR="000A5EF5" w:rsidRPr="00A42DED" w:rsidRDefault="000A5EF5" w:rsidP="00A42DED">
            <w:pPr>
              <w:rPr>
                <w:rFonts w:asciiTheme="majorHAnsi" w:hAnsiTheme="majorHAnsi" w:cs="Times New Roman"/>
                <w:sz w:val="20"/>
                <w:szCs w:val="20"/>
              </w:rPr>
            </w:pPr>
          </w:p>
          <w:p w14:paraId="7F5B462B" w14:textId="77777777" w:rsidR="000A5EF5" w:rsidRPr="00A42DED" w:rsidRDefault="000A5EF5" w:rsidP="00A42DE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sz w:val="20"/>
                <w:szCs w:val="20"/>
              </w:rPr>
            </w:pPr>
            <w:r w:rsidRPr="00A42DED">
              <w:rPr>
                <w:rFonts w:asciiTheme="majorHAnsi" w:hAnsiTheme="majorHAnsi" w:cs="Arial"/>
                <w:sz w:val="20"/>
                <w:szCs w:val="20"/>
              </w:rPr>
              <w:t xml:space="preserve">King, J. N., </w:t>
            </w:r>
            <w:proofErr w:type="spellStart"/>
            <w:r w:rsidRPr="00A42DED">
              <w:rPr>
                <w:rFonts w:asciiTheme="majorHAnsi" w:hAnsiTheme="majorHAnsi" w:cs="Arial"/>
                <w:sz w:val="20"/>
                <w:szCs w:val="20"/>
              </w:rPr>
              <w:t>Hotz</w:t>
            </w:r>
            <w:proofErr w:type="spellEnd"/>
            <w:r w:rsidRPr="00A42DED">
              <w:rPr>
                <w:rFonts w:asciiTheme="majorHAnsi" w:hAnsiTheme="majorHAnsi" w:cs="Arial"/>
                <w:sz w:val="20"/>
                <w:szCs w:val="20"/>
              </w:rPr>
              <w:t xml:space="preserve">, R., Reagan, E. L., Roth, D. R., </w:t>
            </w:r>
            <w:proofErr w:type="spellStart"/>
            <w:r w:rsidRPr="00A42DED">
              <w:rPr>
                <w:rFonts w:asciiTheme="majorHAnsi" w:hAnsiTheme="majorHAnsi" w:cs="Arial"/>
                <w:sz w:val="20"/>
                <w:szCs w:val="20"/>
              </w:rPr>
              <w:t>Seewald</w:t>
            </w:r>
            <w:proofErr w:type="spellEnd"/>
            <w:r w:rsidRPr="00A42DED">
              <w:rPr>
                <w:rFonts w:asciiTheme="majorHAnsi" w:hAnsiTheme="majorHAnsi" w:cs="Arial"/>
                <w:sz w:val="20"/>
                <w:szCs w:val="20"/>
              </w:rPr>
              <w:t xml:space="preserve">, W., Lees, P. </w:t>
            </w:r>
            <w:r w:rsidRPr="00A42DED">
              <w:rPr>
                <w:rFonts w:asciiTheme="majorHAnsi" w:hAnsiTheme="majorHAnsi" w:cs="Arial"/>
                <w:i/>
                <w:sz w:val="20"/>
                <w:szCs w:val="20"/>
              </w:rPr>
              <w:t xml:space="preserve">Safety of oral </w:t>
            </w:r>
            <w:proofErr w:type="spellStart"/>
            <w:r w:rsidRPr="00A42DED">
              <w:rPr>
                <w:rFonts w:asciiTheme="majorHAnsi" w:hAnsiTheme="majorHAnsi" w:cs="Arial"/>
                <w:i/>
                <w:sz w:val="20"/>
                <w:szCs w:val="20"/>
              </w:rPr>
              <w:t>robenacoxib</w:t>
            </w:r>
            <w:proofErr w:type="spellEnd"/>
            <w:r w:rsidRPr="00A42DED">
              <w:rPr>
                <w:rFonts w:asciiTheme="majorHAnsi" w:hAnsiTheme="majorHAnsi" w:cs="Arial"/>
                <w:i/>
                <w:sz w:val="20"/>
                <w:szCs w:val="20"/>
              </w:rPr>
              <w:t xml:space="preserve"> in the ca</w:t>
            </w:r>
            <w:r w:rsidRPr="00A42DED">
              <w:rPr>
                <w:rFonts w:asciiTheme="majorHAnsi" w:hAnsiTheme="majorHAnsi" w:cs="Arial"/>
                <w:sz w:val="20"/>
                <w:szCs w:val="20"/>
              </w:rPr>
              <w:t xml:space="preserve">t. </w:t>
            </w:r>
            <w:r w:rsidRPr="00A42DED">
              <w:rPr>
                <w:rFonts w:asciiTheme="majorHAnsi" w:hAnsiTheme="majorHAnsi" w:cs="Arial"/>
                <w:i/>
                <w:iCs/>
                <w:sz w:val="20"/>
                <w:szCs w:val="20"/>
              </w:rPr>
              <w:t xml:space="preserve">J. </w:t>
            </w:r>
            <w:proofErr w:type="gramStart"/>
            <w:r w:rsidRPr="00A42DED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vet</w:t>
            </w:r>
            <w:proofErr w:type="gramEnd"/>
            <w:r w:rsidRPr="00A42DED">
              <w:rPr>
                <w:rFonts w:asciiTheme="majorHAnsi" w:hAnsiTheme="majorHAnsi" w:cs="Arial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A42DED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Pharmacol</w:t>
            </w:r>
            <w:proofErr w:type="spellEnd"/>
            <w:r w:rsidRPr="00A42DED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. Therap.</w:t>
            </w:r>
            <w:r w:rsidRPr="00A42DED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A42DED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35</w:t>
            </w:r>
            <w:r w:rsidRPr="00A42DED">
              <w:rPr>
                <w:rFonts w:asciiTheme="majorHAnsi" w:hAnsiTheme="majorHAnsi" w:cs="Arial"/>
                <w:sz w:val="20"/>
                <w:szCs w:val="20"/>
              </w:rPr>
              <w:t>, 290–300.</w:t>
            </w:r>
          </w:p>
          <w:p w14:paraId="6B9FE1D8" w14:textId="77777777" w:rsidR="000A5EF5" w:rsidRPr="00A42DED" w:rsidRDefault="000A5EF5" w:rsidP="00A42DE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42DED">
              <w:rPr>
                <w:rFonts w:asciiTheme="majorHAnsi" w:hAnsiTheme="majorHAnsi" w:cs="Arial"/>
                <w:sz w:val="20"/>
                <w:szCs w:val="20"/>
              </w:rPr>
              <w:t xml:space="preserve">The safety of </w:t>
            </w:r>
            <w:proofErr w:type="spellStart"/>
            <w:r w:rsidRPr="00A42DED">
              <w:rPr>
                <w:rFonts w:asciiTheme="majorHAnsi" w:hAnsiTheme="majorHAnsi" w:cs="Arial"/>
                <w:sz w:val="20"/>
                <w:szCs w:val="20"/>
              </w:rPr>
              <w:t>robenacoxib</w:t>
            </w:r>
            <w:proofErr w:type="spellEnd"/>
            <w:r w:rsidRPr="00A42DED">
              <w:rPr>
                <w:rFonts w:asciiTheme="majorHAnsi" w:hAnsiTheme="majorHAnsi" w:cs="Arial"/>
                <w:sz w:val="20"/>
                <w:szCs w:val="20"/>
              </w:rPr>
              <w:t xml:space="preserve">, a </w:t>
            </w:r>
            <w:proofErr w:type="spellStart"/>
            <w:r w:rsidRPr="00A42DED">
              <w:rPr>
                <w:rFonts w:asciiTheme="majorHAnsi" w:hAnsiTheme="majorHAnsi" w:cs="Arial"/>
                <w:sz w:val="20"/>
                <w:szCs w:val="20"/>
              </w:rPr>
              <w:t>nonsteroidal</w:t>
            </w:r>
            <w:proofErr w:type="spellEnd"/>
            <w:r w:rsidRPr="00A42DED">
              <w:rPr>
                <w:rFonts w:asciiTheme="majorHAnsi" w:hAnsiTheme="majorHAnsi" w:cs="Arial"/>
                <w:sz w:val="20"/>
                <w:szCs w:val="20"/>
              </w:rPr>
              <w:t xml:space="preserve"> anti-inflammatory drug with high selectivity for inhibition of the cyclooxygenase (COX)-2 isoform of COX, was investigated in the cat in two randomized, blinded, placebo-controlled, parallel-group studies. </w:t>
            </w:r>
            <w:proofErr w:type="spellStart"/>
            <w:r w:rsidRPr="00A42DED">
              <w:rPr>
                <w:rFonts w:asciiTheme="majorHAnsi" w:hAnsiTheme="majorHAnsi" w:cs="Arial"/>
                <w:sz w:val="20"/>
                <w:szCs w:val="20"/>
              </w:rPr>
              <w:t>Robenacoxib</w:t>
            </w:r>
            <w:proofErr w:type="spellEnd"/>
            <w:r w:rsidRPr="00A42DED">
              <w:rPr>
                <w:rFonts w:asciiTheme="majorHAnsi" w:hAnsiTheme="majorHAnsi" w:cs="Arial"/>
                <w:sz w:val="20"/>
                <w:szCs w:val="20"/>
              </w:rPr>
              <w:t xml:space="preserve"> was administered orally to healthy young domestic </w:t>
            </w:r>
            <w:proofErr w:type="gramStart"/>
            <w:r w:rsidRPr="00A42DED">
              <w:rPr>
                <w:rFonts w:asciiTheme="majorHAnsi" w:hAnsiTheme="majorHAnsi" w:cs="Arial"/>
                <w:sz w:val="20"/>
                <w:szCs w:val="20"/>
              </w:rPr>
              <w:t>short-hair</w:t>
            </w:r>
            <w:proofErr w:type="gramEnd"/>
            <w:r w:rsidRPr="00A42DED">
              <w:rPr>
                <w:rFonts w:asciiTheme="majorHAnsi" w:hAnsiTheme="majorHAnsi" w:cs="Arial"/>
                <w:sz w:val="20"/>
                <w:szCs w:val="20"/>
              </w:rPr>
              <w:t xml:space="preserve"> cats at dosages of 0 (placebo), 5 and 10 mg/kg once daily for 28 days (study 1) and at 0 (placebo), 2, 6 and 10 mg/kg twice daily for 42 days (study 2). The recommended minimum dosage for </w:t>
            </w:r>
            <w:proofErr w:type="spellStart"/>
            <w:r w:rsidRPr="00A42DED">
              <w:rPr>
                <w:rFonts w:asciiTheme="majorHAnsi" w:hAnsiTheme="majorHAnsi" w:cs="Arial"/>
                <w:sz w:val="20"/>
                <w:szCs w:val="20"/>
              </w:rPr>
              <w:t>robenacoxib</w:t>
            </w:r>
            <w:proofErr w:type="spellEnd"/>
            <w:r w:rsidRPr="00A42DED">
              <w:rPr>
                <w:rFonts w:asciiTheme="majorHAnsi" w:hAnsiTheme="majorHAnsi" w:cs="Arial"/>
                <w:sz w:val="20"/>
                <w:szCs w:val="20"/>
              </w:rPr>
              <w:t xml:space="preserve"> tablets in cats is 1 mg/kg once daily (range 1–2.4 mg/kg). Relative to placebo treatment, no toxicologically significant effects of </w:t>
            </w:r>
            <w:proofErr w:type="spellStart"/>
            <w:r w:rsidRPr="00A42DED">
              <w:rPr>
                <w:rFonts w:asciiTheme="majorHAnsi" w:hAnsiTheme="majorHAnsi" w:cs="Arial"/>
                <w:sz w:val="20"/>
                <w:szCs w:val="20"/>
              </w:rPr>
              <w:t>robenacoxib</w:t>
            </w:r>
            <w:proofErr w:type="spellEnd"/>
            <w:r w:rsidRPr="00A42DED">
              <w:rPr>
                <w:rFonts w:asciiTheme="majorHAnsi" w:hAnsiTheme="majorHAnsi" w:cs="Arial"/>
                <w:sz w:val="20"/>
                <w:szCs w:val="20"/>
              </w:rPr>
              <w:t xml:space="preserve"> were recorded in either study, based on general observations of health, </w:t>
            </w:r>
            <w:proofErr w:type="spellStart"/>
            <w:r w:rsidRPr="00A42DED">
              <w:rPr>
                <w:rFonts w:asciiTheme="majorHAnsi" w:hAnsiTheme="majorHAnsi" w:cs="Arial"/>
                <w:sz w:val="20"/>
                <w:szCs w:val="20"/>
              </w:rPr>
              <w:t>haematological</w:t>
            </w:r>
            <w:proofErr w:type="spellEnd"/>
            <w:r w:rsidRPr="00A42DED">
              <w:rPr>
                <w:rFonts w:asciiTheme="majorHAnsi" w:hAnsiTheme="majorHAnsi" w:cs="Arial"/>
                <w:sz w:val="20"/>
                <w:szCs w:val="20"/>
              </w:rPr>
              <w:t xml:space="preserve"> and clinical chemistry variables and urinalyses in life, and by </w:t>
            </w:r>
            <w:r w:rsidRPr="00A42DED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post mortem</w:t>
            </w:r>
            <w:r w:rsidRPr="00A42DED">
              <w:rPr>
                <w:rFonts w:asciiTheme="majorHAnsi" w:hAnsiTheme="majorHAnsi" w:cs="Arial"/>
                <w:sz w:val="20"/>
                <w:szCs w:val="20"/>
              </w:rPr>
              <w:t xml:space="preserve"> organ weight, gross pathology and histopathology assessments. Pharmacokinetic–</w:t>
            </w:r>
            <w:proofErr w:type="spellStart"/>
            <w:r w:rsidRPr="00A42DED">
              <w:rPr>
                <w:rFonts w:asciiTheme="majorHAnsi" w:hAnsiTheme="majorHAnsi" w:cs="Arial"/>
                <w:sz w:val="20"/>
                <w:szCs w:val="20"/>
              </w:rPr>
              <w:lastRenderedPageBreak/>
              <w:t>pharmacodynamic</w:t>
            </w:r>
            <w:proofErr w:type="spellEnd"/>
            <w:r w:rsidRPr="00A42DED">
              <w:rPr>
                <w:rFonts w:asciiTheme="majorHAnsi" w:hAnsiTheme="majorHAnsi" w:cs="Arial"/>
                <w:sz w:val="20"/>
                <w:szCs w:val="20"/>
              </w:rPr>
              <w:t xml:space="preserve"> simulations indicated that all dosages of </w:t>
            </w:r>
            <w:proofErr w:type="spellStart"/>
            <w:r w:rsidRPr="00A42DED">
              <w:rPr>
                <w:rFonts w:asciiTheme="majorHAnsi" w:hAnsiTheme="majorHAnsi" w:cs="Arial"/>
                <w:sz w:val="20"/>
                <w:szCs w:val="20"/>
              </w:rPr>
              <w:t>robenacoxib</w:t>
            </w:r>
            <w:proofErr w:type="spellEnd"/>
            <w:r w:rsidRPr="00A42DED">
              <w:rPr>
                <w:rFonts w:asciiTheme="majorHAnsi" w:hAnsiTheme="majorHAnsi" w:cs="Arial"/>
                <w:sz w:val="20"/>
                <w:szCs w:val="20"/>
              </w:rPr>
              <w:t xml:space="preserve"> were associated with marked inhibition of COX-2 at peak effect (median </w:t>
            </w:r>
            <w:r w:rsidRPr="00A42DED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I</w:t>
            </w:r>
            <w:r w:rsidRPr="00A42DED">
              <w:rPr>
                <w:rFonts w:asciiTheme="majorHAnsi" w:hAnsiTheme="majorHAnsi" w:cs="Arial"/>
                <w:sz w:val="20"/>
                <w:szCs w:val="20"/>
                <w:vertAlign w:val="subscript"/>
              </w:rPr>
              <w:t>max</w:t>
            </w:r>
            <w:r w:rsidRPr="00A42DED">
              <w:rPr>
                <w:rFonts w:asciiTheme="majorHAnsi" w:hAnsiTheme="majorHAnsi" w:cs="Arial"/>
                <w:sz w:val="20"/>
                <w:szCs w:val="20"/>
              </w:rPr>
              <w:t xml:space="preserve"> 97.8–99.4% inhibition) with lesser inhibition of COX-1 (median </w:t>
            </w:r>
            <w:r w:rsidRPr="00A42DED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I</w:t>
            </w:r>
            <w:r w:rsidRPr="00A42DED">
              <w:rPr>
                <w:rFonts w:asciiTheme="majorHAnsi" w:hAnsiTheme="majorHAnsi" w:cs="Arial"/>
                <w:sz w:val="20"/>
                <w:szCs w:val="20"/>
                <w:vertAlign w:val="subscript"/>
              </w:rPr>
              <w:t>max</w:t>
            </w:r>
            <w:r w:rsidRPr="00A42DED">
              <w:rPr>
                <w:rFonts w:asciiTheme="majorHAnsi" w:hAnsiTheme="majorHAnsi" w:cs="Arial"/>
                <w:sz w:val="20"/>
                <w:szCs w:val="20"/>
              </w:rPr>
              <w:t xml:space="preserve"> 26.8–58.3% inhibition). Inhibition of the COXs was short lasting, with &gt;10% median inhibition persisting for 4.0 h for COX-2 and 1.5 h for COX-1. These levels of inhibition of COX-1 and COX-2 twice daily with </w:t>
            </w:r>
            <w:proofErr w:type="spellStart"/>
            <w:r w:rsidRPr="00A42DED">
              <w:rPr>
                <w:rFonts w:asciiTheme="majorHAnsi" w:hAnsiTheme="majorHAnsi" w:cs="Arial"/>
                <w:sz w:val="20"/>
                <w:szCs w:val="20"/>
              </w:rPr>
              <w:t>robenacoxib</w:t>
            </w:r>
            <w:proofErr w:type="spellEnd"/>
            <w:r w:rsidRPr="00A42DED">
              <w:rPr>
                <w:rFonts w:asciiTheme="majorHAnsi" w:hAnsiTheme="majorHAnsi" w:cs="Arial"/>
                <w:sz w:val="20"/>
                <w:szCs w:val="20"/>
              </w:rPr>
              <w:t xml:space="preserve"> were not associated with any detectable toxicity, suggesting that, as previously described in dogs, the high safety index of </w:t>
            </w:r>
            <w:proofErr w:type="spellStart"/>
            <w:r w:rsidRPr="00A42DED">
              <w:rPr>
                <w:rFonts w:asciiTheme="majorHAnsi" w:hAnsiTheme="majorHAnsi" w:cs="Arial"/>
                <w:sz w:val="20"/>
                <w:szCs w:val="20"/>
              </w:rPr>
              <w:t>robenacoxib</w:t>
            </w:r>
            <w:proofErr w:type="spellEnd"/>
            <w:r w:rsidRPr="00A42DED">
              <w:rPr>
                <w:rFonts w:asciiTheme="majorHAnsi" w:hAnsiTheme="majorHAnsi" w:cs="Arial"/>
                <w:sz w:val="20"/>
                <w:szCs w:val="20"/>
              </w:rPr>
              <w:t xml:space="preserve"> in cats may be related to a combination of its high COX-2 selectivity and short residence time in the central compartment.</w:t>
            </w:r>
          </w:p>
          <w:p w14:paraId="6FA80FFB" w14:textId="77777777" w:rsidR="000A5EF5" w:rsidRPr="00A42DED" w:rsidRDefault="000A5EF5" w:rsidP="00A42DE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A5EF5" w:rsidRPr="00A42DED" w14:paraId="2DDCA771" w14:textId="77777777" w:rsidTr="000A5EF5">
        <w:tc>
          <w:tcPr>
            <w:tcW w:w="1484" w:type="dxa"/>
          </w:tcPr>
          <w:p w14:paraId="6BAE9BEC" w14:textId="77777777" w:rsidR="000A5EF5" w:rsidRPr="00A42DED" w:rsidRDefault="000A5EF5" w:rsidP="00A42DE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"/>
                <w:sz w:val="20"/>
                <w:szCs w:val="20"/>
              </w:rPr>
            </w:pPr>
            <w:r w:rsidRPr="00A42DED">
              <w:rPr>
                <w:rFonts w:asciiTheme="majorHAnsi" w:hAnsiTheme="majorHAnsi" w:cs="Helvetica"/>
                <w:sz w:val="20"/>
                <w:szCs w:val="20"/>
              </w:rPr>
              <w:lastRenderedPageBreak/>
              <w:t xml:space="preserve">Myoglobin/ </w:t>
            </w:r>
          </w:p>
          <w:p w14:paraId="24A09017" w14:textId="77777777" w:rsidR="000A5EF5" w:rsidRPr="00A42DED" w:rsidRDefault="000A5EF5" w:rsidP="00A42DE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"/>
                <w:sz w:val="20"/>
                <w:szCs w:val="20"/>
              </w:rPr>
            </w:pPr>
            <w:proofErr w:type="gramStart"/>
            <w:r w:rsidRPr="00A42DED">
              <w:rPr>
                <w:rFonts w:asciiTheme="majorHAnsi" w:hAnsiTheme="majorHAnsi" w:cs="Helvetica"/>
                <w:sz w:val="20"/>
                <w:szCs w:val="20"/>
              </w:rPr>
              <w:t>hemoglobin</w:t>
            </w:r>
            <w:proofErr w:type="gramEnd"/>
          </w:p>
          <w:p w14:paraId="3EC496CD" w14:textId="77777777" w:rsidR="000A5EF5" w:rsidRPr="00A42DED" w:rsidRDefault="000A5EF5" w:rsidP="00A42DE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"/>
                <w:sz w:val="20"/>
                <w:szCs w:val="20"/>
              </w:rPr>
            </w:pPr>
          </w:p>
        </w:tc>
        <w:tc>
          <w:tcPr>
            <w:tcW w:w="6184" w:type="dxa"/>
          </w:tcPr>
          <w:p w14:paraId="16DA0526" w14:textId="77777777" w:rsidR="00896614" w:rsidRPr="00A42DED" w:rsidRDefault="00896614" w:rsidP="00A42DED">
            <w:pPr>
              <w:rPr>
                <w:rFonts w:asciiTheme="majorHAnsi" w:hAnsiTheme="majorHAnsi" w:cs="Minion-Regular"/>
                <w:color w:val="000000"/>
                <w:sz w:val="20"/>
                <w:szCs w:val="20"/>
              </w:rPr>
            </w:pPr>
            <w:proofErr w:type="spellStart"/>
            <w:r w:rsidRPr="00A42DED">
              <w:rPr>
                <w:rFonts w:asciiTheme="majorHAnsi" w:hAnsiTheme="majorHAnsi" w:cs="Minion-Regular"/>
                <w:color w:val="000000"/>
                <w:sz w:val="20"/>
                <w:szCs w:val="20"/>
              </w:rPr>
              <w:t>Rhabdomyolysis</w:t>
            </w:r>
            <w:proofErr w:type="spellEnd"/>
            <w:r w:rsidRPr="00A42DED">
              <w:rPr>
                <w:rFonts w:asciiTheme="majorHAnsi" w:hAnsiTheme="majorHAnsi" w:cs="Minion-Regular"/>
                <w:color w:val="000000"/>
                <w:sz w:val="20"/>
                <w:szCs w:val="20"/>
              </w:rPr>
              <w:t xml:space="preserve"> is a syndrome of massive skeletal muscle tissue injury and can cause </w:t>
            </w:r>
            <w:proofErr w:type="spellStart"/>
            <w:r w:rsidRPr="00A42DED">
              <w:rPr>
                <w:rFonts w:asciiTheme="majorHAnsi" w:hAnsiTheme="majorHAnsi" w:cs="Minion-Regular"/>
                <w:color w:val="000000"/>
                <w:sz w:val="20"/>
                <w:szCs w:val="20"/>
              </w:rPr>
              <w:t>hyperphosphatemia</w:t>
            </w:r>
            <w:proofErr w:type="spellEnd"/>
            <w:r w:rsidRPr="00A42DED">
              <w:rPr>
                <w:rFonts w:asciiTheme="majorHAnsi" w:hAnsiTheme="majorHAnsi" w:cs="Minion-Regular"/>
                <w:color w:val="000000"/>
                <w:sz w:val="20"/>
                <w:szCs w:val="20"/>
              </w:rPr>
              <w:t xml:space="preserve"> directly from release of intracellular contents and indirectly by decreased renal excretion from resulting myoglobin-induced AKI (although this has never been reported in dogs or cats). </w:t>
            </w:r>
          </w:p>
          <w:p w14:paraId="45045201" w14:textId="77777777" w:rsidR="00896614" w:rsidRPr="00A42DED" w:rsidRDefault="00896614" w:rsidP="00A42DED">
            <w:pPr>
              <w:rPr>
                <w:rFonts w:asciiTheme="majorHAnsi" w:hAnsiTheme="majorHAnsi" w:cs="Minion-Regular"/>
                <w:color w:val="000000"/>
                <w:sz w:val="20"/>
                <w:szCs w:val="20"/>
              </w:rPr>
            </w:pPr>
          </w:p>
          <w:p w14:paraId="51CAC9FA" w14:textId="77777777" w:rsidR="000A5EF5" w:rsidRPr="00A42DED" w:rsidRDefault="00CB1393" w:rsidP="00A42DED">
            <w:pPr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</w:pPr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AKI develops mostly in the presence of volume depletion, sepsis, and/or other nephrotoxic factors. Laboratory features include serum CK level elevation, </w:t>
            </w:r>
            <w:proofErr w:type="spell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myoglobinemia</w:t>
            </w:r>
            <w:proofErr w:type="spell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, and </w:t>
            </w:r>
            <w:proofErr w:type="spell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myoglobinuria</w:t>
            </w:r>
            <w:proofErr w:type="spell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. </w:t>
            </w:r>
          </w:p>
          <w:p w14:paraId="6BB35EF3" w14:textId="77777777" w:rsidR="00283F44" w:rsidRDefault="00CB1393" w:rsidP="00A42DED">
            <w:pPr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</w:pPr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Myoglobin is freely filtered by glomeruli. </w:t>
            </w:r>
            <w:proofErr w:type="spell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Heme</w:t>
            </w:r>
            <w:proofErr w:type="spell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and </w:t>
            </w:r>
            <w:proofErr w:type="spell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heme</w:t>
            </w:r>
            <w:proofErr w:type="spell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proteins, </w:t>
            </w:r>
            <w:proofErr w:type="spell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degradative</w:t>
            </w:r>
            <w:proofErr w:type="spell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products of myoglobin, can cause AKI by inducing vasoconstriction, direct renal tubular toxicity, and </w:t>
            </w:r>
            <w:proofErr w:type="spell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intratubular</w:t>
            </w:r>
            <w:proofErr w:type="spell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obstruction through binding to Tamm-</w:t>
            </w:r>
            <w:proofErr w:type="spell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Horsfall</w:t>
            </w:r>
            <w:proofErr w:type="spell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protein to form myoglobin casts. </w:t>
            </w:r>
          </w:p>
          <w:p w14:paraId="5B4E7607" w14:textId="77777777" w:rsidR="00283F44" w:rsidRDefault="00283F44" w:rsidP="00A42DED">
            <w:pPr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</w:pPr>
            <w:proofErr w:type="spell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Heme</w:t>
            </w:r>
            <w:proofErr w:type="spell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and </w:t>
            </w:r>
            <w:proofErr w:type="spell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heme</w:t>
            </w:r>
            <w:proofErr w:type="spell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proteins enter renal tubular cells through cell-surface </w:t>
            </w:r>
            <w:proofErr w:type="spell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megalin-cubulin</w:t>
            </w:r>
            <w:proofErr w:type="spell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receptors.</w:t>
            </w:r>
            <w:r w:rsidRPr="00A42DED">
              <w:rPr>
                <w:rFonts w:asciiTheme="majorHAnsi" w:eastAsia="Arial Unicode MS" w:hAnsiTheme="majorHAnsi" w:cs="Arial Unicode MS"/>
                <w:color w:val="27588B"/>
                <w:sz w:val="20"/>
                <w:szCs w:val="20"/>
                <w:vertAlign w:val="superscript"/>
              </w:rPr>
              <w:t>19</w:t>
            </w:r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They are oxidized to ferric and </w:t>
            </w:r>
            <w:proofErr w:type="spell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ferryl</w:t>
            </w:r>
            <w:proofErr w:type="spell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forms, triggering </w:t>
            </w:r>
            <w:proofErr w:type="spell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isoprostane</w:t>
            </w:r>
            <w:proofErr w:type="spell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generation and lipid peroxidation (redox cycling), leading to regional vasoconstriction/tissue ischemia and oxidization of cellular components</w:t>
            </w:r>
            <w:r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.</w:t>
            </w:r>
          </w:p>
          <w:p w14:paraId="6C12DE28" w14:textId="77777777" w:rsidR="00283F44" w:rsidRDefault="00283F44" w:rsidP="00A42DED">
            <w:pPr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</w:pPr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Consistent with these </w:t>
            </w:r>
            <w:proofErr w:type="gram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pathogenic mechanisms, myoglobin-associated kidney injury shows</w:t>
            </w:r>
            <w:proofErr w:type="gram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histologic features of tubular cell death and </w:t>
            </w:r>
            <w:proofErr w:type="spell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intratu</w:t>
            </w:r>
            <w:r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bular</w:t>
            </w:r>
            <w:proofErr w:type="spellEnd"/>
            <w:r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myoglobin (pigment) casts</w:t>
            </w:r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. Myoglobin casts typically appear globular, </w:t>
            </w:r>
            <w:proofErr w:type="spell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hypereosinophilic</w:t>
            </w:r>
            <w:proofErr w:type="spell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to brown on </w:t>
            </w:r>
            <w:proofErr w:type="spell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hematoxylin</w:t>
            </w:r>
            <w:proofErr w:type="spell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and eosin, periodic acid–Schiff weak to negative, and bright red with Masson </w:t>
            </w:r>
            <w:proofErr w:type="spell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trichrome</w:t>
            </w:r>
            <w:proofErr w:type="spell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stain. The current laboratory method for myoglobin </w:t>
            </w:r>
            <w:proofErr w:type="spell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immunostaining</w:t>
            </w:r>
            <w:proofErr w:type="spell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is highly specific, without cross-reaction with hemoglobin or other casts. Under electron microscopy, myoglobin casts appear electron dense and may contain electron-lucent rim</w:t>
            </w:r>
            <w:r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s when the casts are preserved.</w:t>
            </w:r>
          </w:p>
          <w:p w14:paraId="2AE188C9" w14:textId="77777777" w:rsidR="00CB1393" w:rsidRPr="00283F44" w:rsidRDefault="00CB1393" w:rsidP="00283F44">
            <w:pPr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</w:pPr>
          </w:p>
        </w:tc>
        <w:tc>
          <w:tcPr>
            <w:tcW w:w="2430" w:type="dxa"/>
          </w:tcPr>
          <w:p w14:paraId="2949625C" w14:textId="77777777" w:rsidR="00A42DED" w:rsidRDefault="00CB1393" w:rsidP="00A42DED">
            <w:pPr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</w:pPr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(1) </w:t>
            </w:r>
            <w:proofErr w:type="gram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musculoskeletal</w:t>
            </w:r>
            <w:proofErr w:type="gram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signs of muscle pain and weakness; </w:t>
            </w:r>
          </w:p>
          <w:p w14:paraId="7F4F2701" w14:textId="77777777" w:rsidR="00A42DED" w:rsidRDefault="00CB1393" w:rsidP="00A42DED">
            <w:pPr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</w:pPr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(2) </w:t>
            </w:r>
            <w:proofErr w:type="gram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general</w:t>
            </w:r>
            <w:proofErr w:type="gram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manifestations of malaise, occasional fever, tachycardia, nausea and vomiting; and </w:t>
            </w:r>
          </w:p>
          <w:p w14:paraId="1A984B6D" w14:textId="77777777" w:rsidR="000A5EF5" w:rsidRPr="00A42DED" w:rsidRDefault="00CB1393" w:rsidP="00A42DED">
            <w:pPr>
              <w:rPr>
                <w:rFonts w:asciiTheme="majorHAnsi" w:hAnsiTheme="majorHAnsi"/>
                <w:sz w:val="20"/>
                <w:szCs w:val="20"/>
              </w:rPr>
            </w:pPr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(3) </w:t>
            </w:r>
            <w:proofErr w:type="gram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metabolic</w:t>
            </w:r>
            <w:proofErr w:type="gram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complications of cardiac arrhythmia and, rarely, cardiac arrest from acute hyperkalemia and AKI from myoglobin-associated toxicity</w:t>
            </w:r>
          </w:p>
        </w:tc>
        <w:tc>
          <w:tcPr>
            <w:tcW w:w="2430" w:type="dxa"/>
          </w:tcPr>
          <w:p w14:paraId="5F924407" w14:textId="77777777" w:rsidR="000A5EF5" w:rsidRDefault="00A42DED" w:rsidP="00A42DED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Elev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AST, CK</w:t>
            </w:r>
          </w:p>
          <w:p w14:paraId="09489990" w14:textId="77777777" w:rsidR="00A42DED" w:rsidRDefault="00A42DED" w:rsidP="00A42DE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Azotemia</w:t>
            </w:r>
          </w:p>
          <w:p w14:paraId="4137D4B2" w14:textId="77777777" w:rsidR="00283F44" w:rsidRDefault="00283F44" w:rsidP="00A42DED">
            <w:pPr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Pigmenturia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(myoglobin or hemoglobin)</w:t>
            </w:r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</w:t>
            </w:r>
          </w:p>
          <w:p w14:paraId="15E79106" w14:textId="77777777" w:rsidR="00283F44" w:rsidRDefault="00283F44" w:rsidP="00A42DED">
            <w:pPr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hyperphosphatemia</w:t>
            </w:r>
            <w:proofErr w:type="spellEnd"/>
            <w:proofErr w:type="gramEnd"/>
          </w:p>
          <w:p w14:paraId="6FB35D48" w14:textId="77777777" w:rsidR="00283F44" w:rsidRDefault="00283F44" w:rsidP="00A42DED">
            <w:pPr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</w:pPr>
          </w:p>
          <w:p w14:paraId="4F0E85A5" w14:textId="77777777" w:rsidR="00283F44" w:rsidRPr="00A42DED" w:rsidRDefault="00283F44" w:rsidP="00A42DED">
            <w:pPr>
              <w:rPr>
                <w:rFonts w:asciiTheme="majorHAnsi" w:hAnsiTheme="majorHAnsi"/>
                <w:sz w:val="20"/>
                <w:szCs w:val="20"/>
              </w:rPr>
            </w:pPr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Circulating CK level typically increases within 12 hours of muscle injury and decreases to near baseline in 3-5 days after cessation of the injury.</w:t>
            </w:r>
            <w:r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humans</w:t>
            </w:r>
            <w:proofErr w:type="gramEnd"/>
            <w:r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)</w:t>
            </w:r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 Circulating myoglobin has a shorter half-life (2-6 hours) and is cleared by urinary excretion and tissue metabolism. Serum myoglobin level may return to normal within 8 hours.</w:t>
            </w:r>
            <w:r>
              <w:rPr>
                <w:rFonts w:asciiTheme="majorHAnsi" w:eastAsia="Arial Unicode MS" w:hAnsiTheme="majorHAnsi" w:cs="Arial Unicode MS"/>
                <w:color w:val="27588B"/>
                <w:sz w:val="20"/>
                <w:szCs w:val="20"/>
                <w:vertAlign w:val="superscript"/>
              </w:rPr>
              <w:t xml:space="preserve"> </w:t>
            </w:r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 xml:space="preserve">In most cases of </w:t>
            </w:r>
            <w:proofErr w:type="spellStart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rhabdomyolysis</w:t>
            </w:r>
            <w:proofErr w:type="spellEnd"/>
            <w:r w:rsidRPr="00A42DED"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, serum myoglobin level is elevated minimally by the time of clinical presentation due to its short half-life</w:t>
            </w:r>
            <w:r>
              <w:rPr>
                <w:rFonts w:asciiTheme="majorHAnsi" w:eastAsia="Arial Unicode MS" w:hAnsiTheme="majorHAnsi" w:cs="Arial Unicode MS"/>
                <w:color w:val="232323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7B29F9C2" w14:textId="77777777" w:rsidR="000A5EF5" w:rsidRDefault="00A42DED" w:rsidP="00A42DED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Tx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underlying cause.</w:t>
            </w:r>
          </w:p>
          <w:p w14:paraId="145F7A1F" w14:textId="77777777" w:rsidR="00A42DED" w:rsidRPr="00A42DED" w:rsidRDefault="00A42DED" w:rsidP="00A42DE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Supportive</w:t>
            </w:r>
          </w:p>
        </w:tc>
      </w:tr>
      <w:tr w:rsidR="00896614" w:rsidRPr="00A42DED" w14:paraId="4C559513" w14:textId="77777777" w:rsidTr="00896614">
        <w:tc>
          <w:tcPr>
            <w:tcW w:w="1484" w:type="dxa"/>
          </w:tcPr>
          <w:p w14:paraId="05106C07" w14:textId="77777777" w:rsidR="00896614" w:rsidRPr="00A42DED" w:rsidRDefault="00896614" w:rsidP="00A42DE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"/>
                <w:sz w:val="20"/>
                <w:szCs w:val="20"/>
              </w:rPr>
            </w:pPr>
          </w:p>
        </w:tc>
        <w:tc>
          <w:tcPr>
            <w:tcW w:w="13024" w:type="dxa"/>
            <w:gridSpan w:val="4"/>
          </w:tcPr>
          <w:p w14:paraId="620CF114" w14:textId="77777777" w:rsidR="00896614" w:rsidRPr="00A42DED" w:rsidRDefault="00896614" w:rsidP="00A42DED">
            <w:pPr>
              <w:rPr>
                <w:rFonts w:asciiTheme="majorHAnsi" w:hAnsiTheme="majorHAnsi"/>
                <w:sz w:val="20"/>
                <w:szCs w:val="20"/>
              </w:rPr>
            </w:pPr>
            <w:r w:rsidRPr="00A42DED">
              <w:rPr>
                <w:rFonts w:asciiTheme="majorHAnsi" w:hAnsiTheme="majorHAnsi"/>
                <w:sz w:val="20"/>
                <w:szCs w:val="20"/>
              </w:rPr>
              <w:t>Literature review</w:t>
            </w:r>
          </w:p>
          <w:p w14:paraId="2589705F" w14:textId="77777777" w:rsidR="00896614" w:rsidRPr="00A42DED" w:rsidRDefault="00896614" w:rsidP="00A42DED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4A8B9C4" w14:textId="77777777" w:rsidR="00896614" w:rsidRPr="00A42DED" w:rsidRDefault="00896614" w:rsidP="00A42DE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 Neue"/>
                <w:color w:val="262626"/>
                <w:sz w:val="20"/>
                <w:szCs w:val="20"/>
              </w:rPr>
            </w:pPr>
            <w:hyperlink r:id="rId6" w:history="1">
              <w:r w:rsidRPr="00A42DED">
                <w:rPr>
                  <w:rFonts w:asciiTheme="majorHAnsi" w:hAnsiTheme="majorHAnsi" w:cs="Helvetica Neue"/>
                  <w:color w:val="0C60B6"/>
                  <w:sz w:val="20"/>
                  <w:szCs w:val="20"/>
                </w:rPr>
                <w:t>Comparative Clinical Pathology</w:t>
              </w:r>
            </w:hyperlink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 xml:space="preserve"> September 2014, Volume 23, </w:t>
            </w:r>
            <w:hyperlink r:id="rId7" w:history="1">
              <w:r w:rsidRPr="00A42DED">
                <w:rPr>
                  <w:rFonts w:asciiTheme="majorHAnsi" w:hAnsiTheme="majorHAnsi" w:cs="Helvetica Neue"/>
                  <w:color w:val="0C60B6"/>
                  <w:sz w:val="20"/>
                  <w:szCs w:val="20"/>
                </w:rPr>
                <w:t>Issue 5</w:t>
              </w:r>
            </w:hyperlink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 xml:space="preserve">, </w:t>
            </w:r>
            <w:proofErr w:type="spellStart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>pp</w:t>
            </w:r>
            <w:proofErr w:type="spellEnd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 xml:space="preserve"> 1491-1495</w:t>
            </w:r>
          </w:p>
          <w:p w14:paraId="77EB5217" w14:textId="77777777" w:rsidR="00896614" w:rsidRPr="00A42DED" w:rsidRDefault="00896614" w:rsidP="00A42DE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Georgia"/>
                <w:color w:val="262626"/>
                <w:sz w:val="20"/>
                <w:szCs w:val="20"/>
              </w:rPr>
            </w:pPr>
            <w:r w:rsidRPr="00A42DED">
              <w:rPr>
                <w:rFonts w:asciiTheme="majorHAnsi" w:hAnsiTheme="majorHAnsi" w:cs="Georgia"/>
                <w:i/>
                <w:color w:val="262626"/>
                <w:sz w:val="20"/>
                <w:szCs w:val="20"/>
              </w:rPr>
              <w:t xml:space="preserve">The protective effects of vitamin A in experimental </w:t>
            </w:r>
            <w:proofErr w:type="spellStart"/>
            <w:r w:rsidRPr="00A42DED">
              <w:rPr>
                <w:rFonts w:asciiTheme="majorHAnsi" w:hAnsiTheme="majorHAnsi" w:cs="Georgia"/>
                <w:i/>
                <w:color w:val="262626"/>
                <w:sz w:val="20"/>
                <w:szCs w:val="20"/>
              </w:rPr>
              <w:t>myoglobinuric</w:t>
            </w:r>
            <w:proofErr w:type="spellEnd"/>
            <w:r w:rsidRPr="00A42DED">
              <w:rPr>
                <w:rFonts w:asciiTheme="majorHAnsi" w:hAnsiTheme="majorHAnsi" w:cs="Georgia"/>
                <w:i/>
                <w:color w:val="262626"/>
                <w:sz w:val="20"/>
                <w:szCs w:val="20"/>
              </w:rPr>
              <w:t xml:space="preserve"> renal </w:t>
            </w:r>
            <w:proofErr w:type="spellStart"/>
            <w:r w:rsidRPr="00A42DED">
              <w:rPr>
                <w:rFonts w:asciiTheme="majorHAnsi" w:hAnsiTheme="majorHAnsi" w:cs="Georgia"/>
                <w:i/>
                <w:color w:val="262626"/>
                <w:sz w:val="20"/>
                <w:szCs w:val="20"/>
              </w:rPr>
              <w:t>failure</w:t>
            </w:r>
            <w:r w:rsidRPr="00A42DED">
              <w:rPr>
                <w:rFonts w:asciiTheme="majorHAnsi" w:hAnsiTheme="majorHAnsi" w:cs="Georgia"/>
                <w:color w:val="262626"/>
                <w:sz w:val="20"/>
                <w:szCs w:val="20"/>
              </w:rPr>
              <w:t>.</w:t>
            </w:r>
            <w:hyperlink r:id="rId8" w:history="1">
              <w:r w:rsidRPr="00A42DED">
                <w:rPr>
                  <w:rFonts w:asciiTheme="majorHAnsi" w:hAnsiTheme="majorHAnsi" w:cs="Helvetica Neue"/>
                  <w:color w:val="262626"/>
                  <w:sz w:val="20"/>
                  <w:szCs w:val="20"/>
                </w:rPr>
                <w:t>Javad</w:t>
              </w:r>
              <w:proofErr w:type="spellEnd"/>
              <w:r w:rsidRPr="00A42DED">
                <w:rPr>
                  <w:rFonts w:asciiTheme="majorHAnsi" w:hAnsiTheme="majorHAnsi" w:cs="Helvetica Neue"/>
                  <w:color w:val="262626"/>
                  <w:sz w:val="20"/>
                  <w:szCs w:val="20"/>
                </w:rPr>
                <w:t xml:space="preserve"> Tajik</w:t>
              </w:r>
            </w:hyperlink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 xml:space="preserve">, </w:t>
            </w:r>
            <w:hyperlink r:id="rId9" w:history="1">
              <w:r w:rsidRPr="00A42DED">
                <w:rPr>
                  <w:rFonts w:asciiTheme="majorHAnsi" w:hAnsiTheme="majorHAnsi" w:cs="Helvetica Neue"/>
                  <w:color w:val="262626"/>
                  <w:sz w:val="20"/>
                  <w:szCs w:val="20"/>
                </w:rPr>
                <w:t xml:space="preserve">Reza </w:t>
              </w:r>
              <w:proofErr w:type="spellStart"/>
              <w:r w:rsidRPr="00A42DED">
                <w:rPr>
                  <w:rFonts w:asciiTheme="majorHAnsi" w:hAnsiTheme="majorHAnsi" w:cs="Helvetica Neue"/>
                  <w:color w:val="262626"/>
                  <w:sz w:val="20"/>
                  <w:szCs w:val="20"/>
                </w:rPr>
                <w:t>Kheirandish</w:t>
              </w:r>
              <w:proofErr w:type="spellEnd"/>
            </w:hyperlink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 xml:space="preserve">, </w:t>
            </w:r>
            <w:hyperlink r:id="rId10" w:history="1">
              <w:proofErr w:type="spellStart"/>
              <w:r w:rsidRPr="00A42DED">
                <w:rPr>
                  <w:rFonts w:asciiTheme="majorHAnsi" w:hAnsiTheme="majorHAnsi" w:cs="Helvetica Neue"/>
                  <w:color w:val="262626"/>
                  <w:sz w:val="20"/>
                  <w:szCs w:val="20"/>
                </w:rPr>
                <w:t>Shima</w:t>
              </w:r>
              <w:proofErr w:type="spellEnd"/>
              <w:r w:rsidRPr="00A42DED">
                <w:rPr>
                  <w:rFonts w:asciiTheme="majorHAnsi" w:hAnsiTheme="majorHAnsi" w:cs="Helvetica Neue"/>
                  <w:color w:val="262626"/>
                  <w:sz w:val="20"/>
                  <w:szCs w:val="20"/>
                </w:rPr>
                <w:t xml:space="preserve"> </w:t>
              </w:r>
              <w:proofErr w:type="spellStart"/>
              <w:r w:rsidRPr="00A42DED">
                <w:rPr>
                  <w:rFonts w:asciiTheme="majorHAnsi" w:hAnsiTheme="majorHAnsi" w:cs="Helvetica Neue"/>
                  <w:color w:val="262626"/>
                  <w:sz w:val="20"/>
                  <w:szCs w:val="20"/>
                </w:rPr>
                <w:t>Abbasi</w:t>
              </w:r>
              <w:proofErr w:type="spellEnd"/>
            </w:hyperlink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 xml:space="preserve">, </w:t>
            </w:r>
            <w:hyperlink r:id="rId11" w:history="1">
              <w:proofErr w:type="spellStart"/>
              <w:r w:rsidRPr="00A42DED">
                <w:rPr>
                  <w:rFonts w:asciiTheme="majorHAnsi" w:hAnsiTheme="majorHAnsi" w:cs="Helvetica Neue"/>
                  <w:color w:val="262626"/>
                  <w:sz w:val="20"/>
                  <w:szCs w:val="20"/>
                </w:rPr>
                <w:t>Hamideh</w:t>
              </w:r>
              <w:proofErr w:type="spellEnd"/>
              <w:r w:rsidRPr="00A42DED">
                <w:rPr>
                  <w:rFonts w:asciiTheme="majorHAnsi" w:hAnsiTheme="majorHAnsi" w:cs="Helvetica Neue"/>
                  <w:color w:val="262626"/>
                  <w:sz w:val="20"/>
                  <w:szCs w:val="20"/>
                </w:rPr>
                <w:t xml:space="preserve"> </w:t>
              </w:r>
              <w:proofErr w:type="spellStart"/>
              <w:r w:rsidRPr="00A42DED">
                <w:rPr>
                  <w:rFonts w:asciiTheme="majorHAnsi" w:hAnsiTheme="majorHAnsi" w:cs="Helvetica Neue"/>
                  <w:color w:val="262626"/>
                  <w:sz w:val="20"/>
                  <w:szCs w:val="20"/>
                </w:rPr>
                <w:t>Rohani</w:t>
              </w:r>
              <w:proofErr w:type="spellEnd"/>
            </w:hyperlink>
          </w:p>
          <w:p w14:paraId="19B93DE9" w14:textId="77777777" w:rsidR="00896614" w:rsidRPr="00A42DED" w:rsidRDefault="00896614" w:rsidP="00A42DED">
            <w:pPr>
              <w:rPr>
                <w:rFonts w:asciiTheme="majorHAnsi" w:hAnsiTheme="majorHAnsi" w:cs="Helvetica Neue"/>
                <w:color w:val="262626"/>
                <w:sz w:val="20"/>
                <w:szCs w:val="20"/>
              </w:rPr>
            </w:pPr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 xml:space="preserve">The protective effects of vitamin A administration on renal failure in a rat model of </w:t>
            </w:r>
            <w:proofErr w:type="spellStart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>rhabdomyolysis</w:t>
            </w:r>
            <w:proofErr w:type="spellEnd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 xml:space="preserve"> were investigated in this study. Three groups of rats (seven rats in each group) were employed in this study. Group 1 served as control, </w:t>
            </w:r>
            <w:proofErr w:type="spellStart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>Gly</w:t>
            </w:r>
            <w:proofErr w:type="spellEnd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 xml:space="preserve"> group was given 50 % glycerol (7 mL/kg, I.M.), and </w:t>
            </w:r>
            <w:proofErr w:type="spellStart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>Gly-Vit</w:t>
            </w:r>
            <w:proofErr w:type="spellEnd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 xml:space="preserve"> A group received glycerol and vitamin A daily (1,000 IU/kg, I.P.). Ninety-six hours after glycerol injection, blood samples were collected by heart puncture. Serum concentrations of creatinine, blood urea nitrogen (BUN), </w:t>
            </w:r>
            <w:proofErr w:type="spellStart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>creatine</w:t>
            </w:r>
            <w:proofErr w:type="spellEnd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 xml:space="preserve"> kinase (CK), aspartate aminotransferase (AST), alanine aminotransferase (ALT), and lactate dehydrogenase (LDH) activities were measured in serum samples. </w:t>
            </w:r>
            <w:proofErr w:type="spellStart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>Histopathologic</w:t>
            </w:r>
            <w:proofErr w:type="spellEnd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 xml:space="preserve"> pattern of renal tissue damages was also evaluated. </w:t>
            </w:r>
            <w:proofErr w:type="spellStart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>Gly-Vit</w:t>
            </w:r>
            <w:proofErr w:type="spellEnd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 xml:space="preserve"> A groups had lower serum concentrations of creatinine, LDH, and CK than the </w:t>
            </w:r>
            <w:proofErr w:type="spellStart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>Gly</w:t>
            </w:r>
            <w:proofErr w:type="spellEnd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 xml:space="preserve"> group, and the administration of vitamin A decreased </w:t>
            </w:r>
            <w:proofErr w:type="spellStart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>rhabdomyolysis</w:t>
            </w:r>
            <w:proofErr w:type="spellEnd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 xml:space="preserve"> induced renal tubular damages in </w:t>
            </w:r>
            <w:proofErr w:type="spellStart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>Gly-Vit</w:t>
            </w:r>
            <w:proofErr w:type="spellEnd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 xml:space="preserve"> A group rather than in </w:t>
            </w:r>
            <w:proofErr w:type="spellStart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>Gly</w:t>
            </w:r>
            <w:proofErr w:type="spellEnd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 xml:space="preserve"> group (</w:t>
            </w:r>
            <w:r w:rsidRPr="00A42DED">
              <w:rPr>
                <w:rFonts w:asciiTheme="majorHAnsi" w:hAnsiTheme="majorHAnsi" w:cs="Helvetica Neue"/>
                <w:i/>
                <w:iCs/>
                <w:color w:val="262626"/>
                <w:sz w:val="20"/>
                <w:szCs w:val="20"/>
              </w:rPr>
              <w:t>P</w:t>
            </w:r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 xml:space="preserve"> &lt; 0.01). Vitamin A administration may decrease the muscle injury and renal damage in </w:t>
            </w:r>
            <w:proofErr w:type="spellStart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>rhabdomyolysis</w:t>
            </w:r>
            <w:proofErr w:type="spellEnd"/>
            <w:r w:rsidRPr="00A42DED">
              <w:rPr>
                <w:rFonts w:asciiTheme="majorHAnsi" w:hAnsiTheme="majorHAnsi" w:cs="Helvetica Neue"/>
                <w:color w:val="262626"/>
                <w:sz w:val="20"/>
                <w:szCs w:val="20"/>
              </w:rPr>
              <w:t xml:space="preserve"> cases.</w:t>
            </w:r>
          </w:p>
          <w:p w14:paraId="7288C95E" w14:textId="77777777" w:rsidR="00896614" w:rsidRPr="00A42DED" w:rsidRDefault="00896614" w:rsidP="00A42DED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A42DED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br/>
            </w:r>
            <w:r w:rsidRPr="00A42DED">
              <w:rPr>
                <w:rFonts w:asciiTheme="majorHAnsi" w:eastAsia="Times New Roman" w:hAnsiTheme="majorHAnsi" w:cs="Times New Roman"/>
                <w:i/>
                <w:iCs/>
                <w:sz w:val="20"/>
                <w:szCs w:val="20"/>
                <w:lang w:eastAsia="en-US"/>
              </w:rPr>
              <w:t xml:space="preserve">Myoglobin as a prognostic indicator for outcome in dogs with gastric dilatation-volvulus. - </w:t>
            </w:r>
            <w:proofErr w:type="spellStart"/>
            <w:r w:rsidRPr="00A42DED">
              <w:rPr>
                <w:rFonts w:asciiTheme="majorHAnsi" w:eastAsia="Times New Roman" w:hAnsiTheme="majorHAnsi" w:cs="Times New Roman"/>
                <w:i/>
                <w:iCs/>
                <w:sz w:val="20"/>
                <w:szCs w:val="20"/>
                <w:lang w:eastAsia="en-US"/>
              </w:rPr>
              <w:t>ResearchGate</w:t>
            </w:r>
            <w:proofErr w:type="spellEnd"/>
            <w:r w:rsidRPr="00A42DED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 xml:space="preserve">. </w:t>
            </w:r>
          </w:p>
          <w:p w14:paraId="04A1FE0F" w14:textId="77777777" w:rsidR="00896614" w:rsidRPr="00A42DED" w:rsidRDefault="00896614" w:rsidP="00A42DED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A42DED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 xml:space="preserve">Clinic of Small Animals, Faculty of Veterinary Medicine, Free University of Berlin, Berlin, Germany. </w:t>
            </w:r>
          </w:p>
          <w:p w14:paraId="559C2FEF" w14:textId="77777777" w:rsidR="00896614" w:rsidRPr="00283F44" w:rsidRDefault="00896614" w:rsidP="00A42DED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A42DED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Journal of veterinary emergency and critical care (San Antonio, Tex</w:t>
            </w:r>
            <w:proofErr w:type="gramStart"/>
            <w:r w:rsidRPr="00A42DED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. :</w:t>
            </w:r>
            <w:proofErr w:type="gramEnd"/>
            <w:r w:rsidRPr="00A42DED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 xml:space="preserve"> 2001) 06/2009; 19(3):247-53. DOI: 10.1111/j.1476-4431.2009.00421.x </w:t>
            </w:r>
            <w:r w:rsidRPr="00A42DED">
              <w:rPr>
                <w:rFonts w:asciiTheme="majorHAnsi" w:hAnsiTheme="majorHAnsi" w:cs="Times New Roman"/>
                <w:sz w:val="20"/>
                <w:szCs w:val="20"/>
                <w:lang w:eastAsia="en-US"/>
              </w:rPr>
              <w:br/>
              <w:t xml:space="preserve">In this study, </w:t>
            </w:r>
            <w:r w:rsidRPr="00A42DED">
              <w:rPr>
                <w:rFonts w:asciiTheme="majorHAnsi" w:hAnsiTheme="majorHAnsi" w:cs="Times New Roman"/>
                <w:b/>
                <w:sz w:val="20"/>
                <w:szCs w:val="20"/>
                <w:lang w:eastAsia="en-US"/>
              </w:rPr>
              <w:t xml:space="preserve">Mbt0 is a moderately sensitive and specific prognostic indicator. Almost 90% of the dogs below the </w:t>
            </w:r>
            <w:proofErr w:type="spellStart"/>
            <w:r w:rsidRPr="00A42DED">
              <w:rPr>
                <w:rFonts w:asciiTheme="majorHAnsi" w:hAnsiTheme="majorHAnsi" w:cs="Times New Roman"/>
                <w:b/>
                <w:sz w:val="20"/>
                <w:szCs w:val="20"/>
                <w:lang w:eastAsia="en-US"/>
              </w:rPr>
              <w:t>cutpoint</w:t>
            </w:r>
            <w:proofErr w:type="spellEnd"/>
            <w:r w:rsidRPr="00A42DED">
              <w:rPr>
                <w:rFonts w:asciiTheme="majorHAnsi" w:hAnsiTheme="majorHAnsi" w:cs="Times New Roman"/>
                <w:b/>
                <w:sz w:val="20"/>
                <w:szCs w:val="20"/>
                <w:lang w:eastAsia="en-US"/>
              </w:rPr>
              <w:t xml:space="preserve"> survived to discharge, whereas 50% with Mbt0 above the </w:t>
            </w:r>
            <w:proofErr w:type="spellStart"/>
            <w:r w:rsidRPr="00A42DED">
              <w:rPr>
                <w:rFonts w:asciiTheme="majorHAnsi" w:hAnsiTheme="majorHAnsi" w:cs="Times New Roman"/>
                <w:b/>
                <w:sz w:val="20"/>
                <w:szCs w:val="20"/>
                <w:lang w:eastAsia="en-US"/>
              </w:rPr>
              <w:t>cutpoint</w:t>
            </w:r>
            <w:proofErr w:type="spellEnd"/>
            <w:r w:rsidRPr="00A42DED">
              <w:rPr>
                <w:rFonts w:asciiTheme="majorHAnsi" w:hAnsiTheme="majorHAnsi" w:cs="Times New Roman"/>
                <w:b/>
                <w:sz w:val="20"/>
                <w:szCs w:val="20"/>
                <w:lang w:eastAsia="en-US"/>
              </w:rPr>
              <w:t xml:space="preserve"> did not survive</w:t>
            </w:r>
            <w:r w:rsidRPr="00A42DED">
              <w:rPr>
                <w:rFonts w:asciiTheme="majorHAnsi" w:hAnsiTheme="majorHAnsi" w:cs="Times New Roman"/>
                <w:sz w:val="20"/>
                <w:szCs w:val="20"/>
                <w:lang w:eastAsia="en-US"/>
              </w:rPr>
              <w:t>.</w:t>
            </w:r>
          </w:p>
          <w:p w14:paraId="63E7BD49" w14:textId="77777777" w:rsidR="00A42DED" w:rsidRPr="00A42DED" w:rsidRDefault="00A42DED" w:rsidP="00A42DED">
            <w:pPr>
              <w:rPr>
                <w:rFonts w:asciiTheme="majorHAnsi" w:hAnsiTheme="majorHAnsi" w:cs="Times New Roman"/>
                <w:sz w:val="20"/>
                <w:szCs w:val="20"/>
                <w:lang w:eastAsia="en-US"/>
              </w:rPr>
            </w:pPr>
          </w:p>
        </w:tc>
      </w:tr>
      <w:tr w:rsidR="000A5EF5" w:rsidRPr="00A42DED" w14:paraId="272BD1BD" w14:textId="77777777" w:rsidTr="000A5EF5">
        <w:tc>
          <w:tcPr>
            <w:tcW w:w="1484" w:type="dxa"/>
          </w:tcPr>
          <w:p w14:paraId="0A44E7E7" w14:textId="77777777" w:rsidR="000A5EF5" w:rsidRPr="00A42DED" w:rsidRDefault="000A5EF5" w:rsidP="00A42DE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"/>
                <w:sz w:val="20"/>
                <w:szCs w:val="20"/>
              </w:rPr>
            </w:pPr>
            <w:proofErr w:type="spellStart"/>
            <w:r w:rsidRPr="00A42DED">
              <w:rPr>
                <w:rFonts w:asciiTheme="majorHAnsi" w:hAnsiTheme="majorHAnsi" w:cs="Helvetica"/>
                <w:sz w:val="20"/>
                <w:szCs w:val="20"/>
              </w:rPr>
              <w:t>Rhubard</w:t>
            </w:r>
            <w:proofErr w:type="spellEnd"/>
          </w:p>
        </w:tc>
        <w:tc>
          <w:tcPr>
            <w:tcW w:w="6184" w:type="dxa"/>
          </w:tcPr>
          <w:p w14:paraId="10812EE9" w14:textId="77777777" w:rsidR="000A5EF5" w:rsidRPr="00A42DED" w:rsidRDefault="00CB1393" w:rsidP="00A42DED">
            <w:pPr>
              <w:rPr>
                <w:rFonts w:asciiTheme="majorHAnsi" w:hAnsiTheme="majorHAnsi"/>
                <w:sz w:val="20"/>
                <w:szCs w:val="20"/>
              </w:rPr>
            </w:pPr>
            <w:r w:rsidRPr="00A42DED">
              <w:rPr>
                <w:rFonts w:asciiTheme="majorHAnsi" w:hAnsiTheme="majorHAnsi"/>
                <w:sz w:val="20"/>
                <w:szCs w:val="20"/>
              </w:rPr>
              <w:t>Oxalate deposition</w:t>
            </w:r>
            <w:r w:rsidR="00A42DED" w:rsidRPr="00A42DED">
              <w:rPr>
                <w:rFonts w:asciiTheme="majorHAnsi" w:hAnsiTheme="majorHAnsi"/>
                <w:sz w:val="20"/>
                <w:szCs w:val="20"/>
              </w:rPr>
              <w:t xml:space="preserve"> – apparently similar to EG</w:t>
            </w:r>
          </w:p>
        </w:tc>
        <w:tc>
          <w:tcPr>
            <w:tcW w:w="2430" w:type="dxa"/>
          </w:tcPr>
          <w:p w14:paraId="46F157A4" w14:textId="77777777" w:rsidR="000A5EF5" w:rsidRPr="00A42DED" w:rsidRDefault="000A5EF5" w:rsidP="00A42DE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33BC14DB" w14:textId="77777777" w:rsidR="000A5EF5" w:rsidRPr="00A42DED" w:rsidRDefault="000A5EF5" w:rsidP="00A42DE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178ED13" w14:textId="77777777" w:rsidR="000A5EF5" w:rsidRPr="00A42DED" w:rsidRDefault="00CB1393" w:rsidP="00A42DED">
            <w:pPr>
              <w:rPr>
                <w:rFonts w:asciiTheme="majorHAnsi" w:hAnsiTheme="majorHAnsi"/>
                <w:sz w:val="20"/>
                <w:szCs w:val="20"/>
              </w:rPr>
            </w:pPr>
            <w:r w:rsidRPr="00A42DED">
              <w:rPr>
                <w:rFonts w:asciiTheme="majorHAnsi" w:hAnsiTheme="majorHAnsi"/>
                <w:sz w:val="20"/>
                <w:szCs w:val="20"/>
              </w:rPr>
              <w:t>Found nothing</w:t>
            </w:r>
          </w:p>
        </w:tc>
      </w:tr>
    </w:tbl>
    <w:p w14:paraId="5719FF59" w14:textId="77777777" w:rsidR="009C411F" w:rsidRDefault="009C411F" w:rsidP="00A42DED">
      <w:pPr>
        <w:rPr>
          <w:rFonts w:asciiTheme="majorHAnsi" w:hAnsiTheme="majorHAnsi"/>
          <w:sz w:val="20"/>
          <w:szCs w:val="20"/>
        </w:rPr>
      </w:pPr>
    </w:p>
    <w:p w14:paraId="1B65E24F" w14:textId="77777777" w:rsidR="00A42DED" w:rsidRDefault="00A42DED" w:rsidP="00A42DED">
      <w:pPr>
        <w:rPr>
          <w:rFonts w:asciiTheme="majorHAnsi" w:hAnsiTheme="majorHAnsi"/>
          <w:sz w:val="20"/>
          <w:szCs w:val="20"/>
        </w:rPr>
      </w:pPr>
    </w:p>
    <w:p w14:paraId="2EA7B689" w14:textId="77777777" w:rsidR="00A42DED" w:rsidRDefault="00A42DED" w:rsidP="00A42DED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Questions:</w:t>
      </w:r>
    </w:p>
    <w:p w14:paraId="73126455" w14:textId="77777777" w:rsidR="00A42DED" w:rsidRDefault="00A42DED" w:rsidP="00A42DED">
      <w:pPr>
        <w:rPr>
          <w:rFonts w:asciiTheme="majorHAnsi" w:hAnsiTheme="majorHAnsi"/>
          <w:sz w:val="20"/>
          <w:szCs w:val="20"/>
        </w:rPr>
      </w:pPr>
    </w:p>
    <w:p w14:paraId="23A0046C" w14:textId="77777777" w:rsidR="00A42DED" w:rsidRDefault="00A42DED" w:rsidP="00A42DED">
      <w:pPr>
        <w:pStyle w:val="ListParagraph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 w:rsidRPr="00A42DED">
        <w:rPr>
          <w:rFonts w:asciiTheme="majorHAnsi" w:hAnsiTheme="majorHAnsi"/>
          <w:sz w:val="20"/>
          <w:szCs w:val="20"/>
        </w:rPr>
        <w:t>True/False: Cox-2 inhibitors are not causes of AKI because of their specificity and COX-1 sparing mechanisms.</w:t>
      </w:r>
      <w:r w:rsidR="00283F44">
        <w:rPr>
          <w:rFonts w:asciiTheme="majorHAnsi" w:hAnsiTheme="majorHAnsi"/>
          <w:sz w:val="20"/>
          <w:szCs w:val="20"/>
        </w:rPr>
        <w:t xml:space="preserve"> Why?</w:t>
      </w:r>
    </w:p>
    <w:p w14:paraId="4CD65A4E" w14:textId="77777777" w:rsidR="00283F44" w:rsidRDefault="00283F44" w:rsidP="00283F44">
      <w:pPr>
        <w:pStyle w:val="ListParagraph"/>
        <w:rPr>
          <w:rFonts w:asciiTheme="majorHAnsi" w:hAnsiTheme="majorHAnsi"/>
          <w:sz w:val="20"/>
          <w:szCs w:val="20"/>
        </w:rPr>
      </w:pPr>
    </w:p>
    <w:p w14:paraId="56534F95" w14:textId="77777777" w:rsidR="00A42DED" w:rsidRDefault="00A42DED" w:rsidP="00A42DED">
      <w:pPr>
        <w:pStyle w:val="ListParagraph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True/False – Intravenous lipid emulsions is ineffective for NSAID overdose.</w:t>
      </w:r>
    </w:p>
    <w:p w14:paraId="5520DA86" w14:textId="77777777" w:rsidR="00283F44" w:rsidRPr="00283F44" w:rsidRDefault="00283F44" w:rsidP="00283F44">
      <w:pPr>
        <w:rPr>
          <w:rFonts w:asciiTheme="majorHAnsi" w:hAnsiTheme="majorHAnsi"/>
          <w:sz w:val="20"/>
          <w:szCs w:val="20"/>
        </w:rPr>
      </w:pPr>
    </w:p>
    <w:p w14:paraId="686C26E3" w14:textId="77777777" w:rsidR="00A42DED" w:rsidRPr="00283F44" w:rsidRDefault="00283F44" w:rsidP="00A42DED">
      <w:pPr>
        <w:pStyle w:val="ListParagraph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Which two p</w:t>
      </w:r>
      <w:r w:rsidRPr="00A42DED">
        <w:rPr>
          <w:rFonts w:asciiTheme="majorHAnsi" w:hAnsiTheme="majorHAnsi" w:cs="Arial"/>
          <w:color w:val="312A2A"/>
          <w:sz w:val="20"/>
          <w:szCs w:val="20"/>
          <w:u w:color="254171"/>
        </w:rPr>
        <w:t xml:space="preserve">rostaglandins exert </w:t>
      </w:r>
      <w:proofErr w:type="spellStart"/>
      <w:r w:rsidRPr="00A42DED">
        <w:rPr>
          <w:rFonts w:asciiTheme="majorHAnsi" w:hAnsiTheme="majorHAnsi" w:cs="Arial"/>
          <w:color w:val="312A2A"/>
          <w:sz w:val="20"/>
          <w:szCs w:val="20"/>
          <w:u w:color="254171"/>
        </w:rPr>
        <w:t>vasodilatory</w:t>
      </w:r>
      <w:proofErr w:type="spellEnd"/>
      <w:r w:rsidRPr="00A42DED">
        <w:rPr>
          <w:rFonts w:asciiTheme="majorHAnsi" w:hAnsiTheme="majorHAnsi" w:cs="Arial"/>
          <w:color w:val="312A2A"/>
          <w:sz w:val="20"/>
          <w:szCs w:val="20"/>
          <w:u w:color="254171"/>
        </w:rPr>
        <w:t xml:space="preserve"> effects </w:t>
      </w:r>
      <w:r>
        <w:rPr>
          <w:rFonts w:asciiTheme="majorHAnsi" w:hAnsiTheme="majorHAnsi" w:cs="Arial"/>
          <w:color w:val="312A2A"/>
          <w:sz w:val="20"/>
          <w:szCs w:val="20"/>
          <w:u w:color="254171"/>
        </w:rPr>
        <w:t xml:space="preserve">that </w:t>
      </w:r>
      <w:r w:rsidRPr="00A42DED">
        <w:rPr>
          <w:rFonts w:asciiTheme="majorHAnsi" w:hAnsiTheme="majorHAnsi" w:cs="Arial"/>
          <w:color w:val="312A2A"/>
          <w:sz w:val="20"/>
          <w:szCs w:val="20"/>
          <w:u w:color="254171"/>
        </w:rPr>
        <w:t>are important in its blood flow regulation, especially during periods of hypovolemia or decreased renal perfusion</w:t>
      </w:r>
      <w:r>
        <w:rPr>
          <w:rFonts w:asciiTheme="majorHAnsi" w:hAnsiTheme="majorHAnsi" w:cs="Arial"/>
          <w:color w:val="312A2A"/>
          <w:sz w:val="20"/>
          <w:szCs w:val="20"/>
          <w:u w:color="254171"/>
        </w:rPr>
        <w:t>?</w:t>
      </w:r>
    </w:p>
    <w:p w14:paraId="181CB500" w14:textId="77777777" w:rsidR="00283F44" w:rsidRDefault="00283F44" w:rsidP="00283F44">
      <w:pPr>
        <w:pStyle w:val="ListParagraph"/>
        <w:rPr>
          <w:rFonts w:asciiTheme="majorHAnsi" w:hAnsiTheme="majorHAnsi" w:cs="Arial"/>
          <w:color w:val="312A2A"/>
          <w:sz w:val="20"/>
          <w:szCs w:val="20"/>
          <w:u w:color="254171"/>
        </w:rPr>
      </w:pPr>
    </w:p>
    <w:p w14:paraId="20586F02" w14:textId="77777777" w:rsidR="00283F44" w:rsidRDefault="00283F44" w:rsidP="00283F44">
      <w:pPr>
        <w:pStyle w:val="ListParagraph"/>
        <w:numPr>
          <w:ilvl w:val="0"/>
          <w:numId w:val="3"/>
        </w:numPr>
        <w:rPr>
          <w:rFonts w:asciiTheme="majorHAnsi" w:hAnsiTheme="majorHAnsi" w:cs="Arial"/>
          <w:color w:val="312A2A"/>
          <w:sz w:val="20"/>
          <w:szCs w:val="20"/>
          <w:u w:color="254171"/>
        </w:rPr>
      </w:pPr>
      <w:r w:rsidRPr="00283F44">
        <w:rPr>
          <w:rFonts w:asciiTheme="majorHAnsi" w:hAnsiTheme="majorHAnsi" w:cs="Arial"/>
          <w:color w:val="312A2A"/>
          <w:sz w:val="20"/>
          <w:szCs w:val="20"/>
          <w:u w:color="254171"/>
        </w:rPr>
        <w:t xml:space="preserve">True/False: </w:t>
      </w:r>
      <w:proofErr w:type="spellStart"/>
      <w:r w:rsidRPr="00283F44">
        <w:rPr>
          <w:rFonts w:asciiTheme="majorHAnsi" w:hAnsiTheme="majorHAnsi" w:cs="Arial"/>
          <w:color w:val="312A2A"/>
          <w:sz w:val="20"/>
          <w:szCs w:val="20"/>
          <w:u w:color="254171"/>
        </w:rPr>
        <w:t>Robenacoxib</w:t>
      </w:r>
      <w:proofErr w:type="spellEnd"/>
      <w:r w:rsidRPr="00283F44">
        <w:rPr>
          <w:rFonts w:asciiTheme="majorHAnsi" w:hAnsiTheme="majorHAnsi" w:cs="Arial"/>
          <w:color w:val="312A2A"/>
          <w:sz w:val="20"/>
          <w:szCs w:val="20"/>
          <w:u w:color="254171"/>
        </w:rPr>
        <w:t xml:space="preserve"> is a Cox-2 inhibitor.</w:t>
      </w:r>
    </w:p>
    <w:p w14:paraId="7BA7676E" w14:textId="77777777" w:rsidR="00283F44" w:rsidRDefault="00283F44" w:rsidP="00283F44">
      <w:pPr>
        <w:rPr>
          <w:rFonts w:asciiTheme="majorHAnsi" w:hAnsiTheme="majorHAnsi" w:cs="Arial"/>
          <w:color w:val="312A2A"/>
          <w:sz w:val="20"/>
          <w:szCs w:val="20"/>
          <w:u w:color="254171"/>
        </w:rPr>
      </w:pPr>
    </w:p>
    <w:p w14:paraId="6037E0A5" w14:textId="77777777" w:rsidR="00283F44" w:rsidRDefault="00283F44" w:rsidP="00283F44">
      <w:pPr>
        <w:rPr>
          <w:rFonts w:asciiTheme="majorHAnsi" w:hAnsiTheme="majorHAnsi" w:cs="Arial"/>
          <w:color w:val="312A2A"/>
          <w:sz w:val="20"/>
          <w:szCs w:val="20"/>
          <w:u w:color="254171"/>
        </w:rPr>
      </w:pPr>
    </w:p>
    <w:p w14:paraId="5AB1F32E" w14:textId="77777777" w:rsidR="00283F44" w:rsidRDefault="00283F44" w:rsidP="00283F44">
      <w:pPr>
        <w:rPr>
          <w:rFonts w:asciiTheme="majorHAnsi" w:hAnsiTheme="majorHAnsi" w:cs="Arial"/>
          <w:color w:val="312A2A"/>
          <w:sz w:val="20"/>
          <w:szCs w:val="20"/>
          <w:u w:color="254171"/>
        </w:rPr>
      </w:pPr>
    </w:p>
    <w:p w14:paraId="77CB125C" w14:textId="77777777" w:rsidR="00283F44" w:rsidRDefault="00283F44" w:rsidP="00283F44">
      <w:pPr>
        <w:rPr>
          <w:rFonts w:asciiTheme="majorHAnsi" w:hAnsiTheme="majorHAnsi" w:cs="Arial"/>
          <w:color w:val="312A2A"/>
          <w:sz w:val="20"/>
          <w:szCs w:val="20"/>
          <w:u w:color="254171"/>
        </w:rPr>
      </w:pPr>
    </w:p>
    <w:p w14:paraId="448C4DC8" w14:textId="77777777" w:rsidR="00283F44" w:rsidRDefault="00283F44" w:rsidP="00283F44">
      <w:pPr>
        <w:rPr>
          <w:rFonts w:asciiTheme="majorHAnsi" w:hAnsiTheme="majorHAnsi" w:cs="Arial"/>
          <w:color w:val="312A2A"/>
          <w:sz w:val="20"/>
          <w:szCs w:val="20"/>
          <w:u w:color="254171"/>
        </w:rPr>
      </w:pPr>
    </w:p>
    <w:p w14:paraId="5590BCF5" w14:textId="77777777" w:rsidR="00283F44" w:rsidRDefault="00283F44" w:rsidP="00283F44">
      <w:pPr>
        <w:rPr>
          <w:rFonts w:asciiTheme="majorHAnsi" w:hAnsiTheme="majorHAnsi" w:cs="Arial"/>
          <w:color w:val="312A2A"/>
          <w:sz w:val="20"/>
          <w:szCs w:val="20"/>
          <w:u w:color="254171"/>
        </w:rPr>
      </w:pPr>
    </w:p>
    <w:p w14:paraId="2CADF1E6" w14:textId="77777777" w:rsidR="00283F44" w:rsidRDefault="00283F44" w:rsidP="00283F44">
      <w:pPr>
        <w:rPr>
          <w:rFonts w:asciiTheme="majorHAnsi" w:hAnsiTheme="majorHAnsi" w:cs="Arial"/>
          <w:color w:val="312A2A"/>
          <w:sz w:val="20"/>
          <w:szCs w:val="20"/>
          <w:u w:color="254171"/>
        </w:rPr>
      </w:pPr>
    </w:p>
    <w:p w14:paraId="2825D7CD" w14:textId="77777777" w:rsidR="00283F44" w:rsidRDefault="00283F44" w:rsidP="00283F44">
      <w:pPr>
        <w:rPr>
          <w:rFonts w:asciiTheme="majorHAnsi" w:hAnsiTheme="majorHAnsi" w:cs="Arial"/>
          <w:color w:val="312A2A"/>
          <w:sz w:val="20"/>
          <w:szCs w:val="20"/>
          <w:u w:color="254171"/>
        </w:rPr>
      </w:pPr>
    </w:p>
    <w:p w14:paraId="4ED4A5BE" w14:textId="77777777" w:rsidR="00283F44" w:rsidRPr="00283F44" w:rsidRDefault="00283F44" w:rsidP="00283F44">
      <w:pPr>
        <w:rPr>
          <w:rFonts w:asciiTheme="majorHAnsi" w:hAnsiTheme="majorHAnsi" w:cs="Arial"/>
          <w:color w:val="312A2A"/>
          <w:sz w:val="20"/>
          <w:szCs w:val="20"/>
          <w:u w:color="254171"/>
        </w:rPr>
      </w:pPr>
    </w:p>
    <w:p w14:paraId="4EE754CC" w14:textId="77777777" w:rsidR="00283F44" w:rsidRDefault="00283F44" w:rsidP="00283F4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Answers: </w:t>
      </w:r>
    </w:p>
    <w:p w14:paraId="1BACE9BB" w14:textId="77777777" w:rsidR="00283F44" w:rsidRDefault="00283F44" w:rsidP="00283F44">
      <w:pPr>
        <w:pStyle w:val="ListParagraph"/>
        <w:numPr>
          <w:ilvl w:val="0"/>
          <w:numId w:val="5"/>
        </w:numPr>
        <w:rPr>
          <w:rFonts w:asciiTheme="majorHAnsi" w:hAnsiTheme="majorHAnsi"/>
          <w:sz w:val="20"/>
          <w:szCs w:val="20"/>
        </w:rPr>
      </w:pPr>
      <w:r w:rsidRPr="00A42DED">
        <w:rPr>
          <w:rFonts w:asciiTheme="majorHAnsi" w:hAnsiTheme="majorHAnsi"/>
          <w:sz w:val="20"/>
          <w:szCs w:val="20"/>
        </w:rPr>
        <w:t>True/False: Cox-2 inhibitors are not causes of AKI because of their specificity and COX-1 sparing mechanisms.</w:t>
      </w:r>
      <w:r>
        <w:rPr>
          <w:rFonts w:asciiTheme="majorHAnsi" w:hAnsiTheme="majorHAnsi"/>
          <w:sz w:val="20"/>
          <w:szCs w:val="20"/>
        </w:rPr>
        <w:t xml:space="preserve"> Why?</w:t>
      </w:r>
    </w:p>
    <w:p w14:paraId="538F79AF" w14:textId="77777777" w:rsidR="00283F44" w:rsidRPr="00283F44" w:rsidRDefault="00283F44" w:rsidP="00283F44">
      <w:pPr>
        <w:ind w:left="1416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 w:cs="Arial"/>
          <w:color w:val="312A2A"/>
          <w:sz w:val="20"/>
          <w:szCs w:val="20"/>
        </w:rPr>
        <w:t xml:space="preserve">COX-2 expression is </w:t>
      </w:r>
      <w:r w:rsidRPr="00283F44">
        <w:rPr>
          <w:rFonts w:asciiTheme="majorHAnsi" w:hAnsiTheme="majorHAnsi" w:cs="Arial"/>
          <w:color w:val="312A2A"/>
          <w:sz w:val="20"/>
          <w:szCs w:val="20"/>
        </w:rPr>
        <w:t>expressed constitutively in the kidneys in the absence of inflammatory stimulation. COX-2 expression is greatly increased in dogs tha</w:t>
      </w:r>
      <w:r>
        <w:rPr>
          <w:rFonts w:asciiTheme="majorHAnsi" w:hAnsiTheme="majorHAnsi" w:cs="Arial"/>
          <w:color w:val="312A2A"/>
          <w:sz w:val="20"/>
          <w:szCs w:val="20"/>
        </w:rPr>
        <w:t xml:space="preserve">t are volume or sodium depleted. </w:t>
      </w:r>
      <w:r w:rsidRPr="00A42DED">
        <w:rPr>
          <w:rFonts w:asciiTheme="majorHAnsi" w:hAnsiTheme="majorHAnsi" w:cs="Arial"/>
          <w:color w:val="312A2A"/>
          <w:sz w:val="20"/>
          <w:szCs w:val="20"/>
          <w:u w:color="254171"/>
        </w:rPr>
        <w:t>However, in states of low renal blood flow, prostaglandins play a crucial role in maintaining kidney function and GFR</w:t>
      </w:r>
      <w:r>
        <w:rPr>
          <w:rFonts w:asciiTheme="majorHAnsi" w:hAnsiTheme="majorHAnsi" w:cs="Arial"/>
          <w:color w:val="312A2A"/>
          <w:sz w:val="20"/>
          <w:szCs w:val="20"/>
          <w:u w:color="254171"/>
        </w:rPr>
        <w:t xml:space="preserve">, exerting </w:t>
      </w:r>
      <w:proofErr w:type="spellStart"/>
      <w:r w:rsidRPr="00A42DED">
        <w:rPr>
          <w:rFonts w:asciiTheme="majorHAnsi" w:hAnsiTheme="majorHAnsi" w:cs="Arial"/>
          <w:color w:val="312A2A"/>
          <w:sz w:val="20"/>
          <w:szCs w:val="20"/>
          <w:u w:color="254171"/>
        </w:rPr>
        <w:t>vasodilatory</w:t>
      </w:r>
      <w:proofErr w:type="spellEnd"/>
      <w:r w:rsidRPr="00A42DED">
        <w:rPr>
          <w:rFonts w:asciiTheme="majorHAnsi" w:hAnsiTheme="majorHAnsi" w:cs="Arial"/>
          <w:color w:val="312A2A"/>
          <w:sz w:val="20"/>
          <w:szCs w:val="20"/>
          <w:u w:color="254171"/>
        </w:rPr>
        <w:t xml:space="preserve"> effects at the level of the kidney that are important in its blood flow regulation, especially during periods of hypovolemia or decreased renal perfusion</w:t>
      </w:r>
      <w:r>
        <w:rPr>
          <w:rFonts w:asciiTheme="majorHAnsi" w:hAnsiTheme="majorHAnsi" w:cs="Arial"/>
          <w:color w:val="312A2A"/>
          <w:sz w:val="20"/>
          <w:szCs w:val="20"/>
        </w:rPr>
        <w:t>. T</w:t>
      </w:r>
      <w:r w:rsidRPr="00283F44">
        <w:rPr>
          <w:rFonts w:asciiTheme="majorHAnsi" w:hAnsiTheme="majorHAnsi" w:cs="Arial"/>
          <w:color w:val="312A2A"/>
          <w:sz w:val="20"/>
          <w:szCs w:val="20"/>
        </w:rPr>
        <w:t>herefore, administration of NSAIDs that preferentially inhibit COX-2 may cause kidney damage, particularly in dehydrated patients.</w:t>
      </w:r>
    </w:p>
    <w:p w14:paraId="423C04BE" w14:textId="77777777" w:rsidR="00283F44" w:rsidRDefault="00283F44" w:rsidP="00283F44">
      <w:pPr>
        <w:pStyle w:val="ListParagraph"/>
        <w:numPr>
          <w:ilvl w:val="0"/>
          <w:numId w:val="5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True/False – Intravenous lipid emulsions is ineffective for NSAID overdose.</w:t>
      </w:r>
    </w:p>
    <w:p w14:paraId="138EC285" w14:textId="77777777" w:rsidR="00283F44" w:rsidRPr="00283F44" w:rsidRDefault="00283F44" w:rsidP="00283F44">
      <w:pPr>
        <w:pStyle w:val="ListParagraph"/>
        <w:numPr>
          <w:ilvl w:val="0"/>
          <w:numId w:val="5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Which two p</w:t>
      </w:r>
      <w:r w:rsidRPr="00A42DED">
        <w:rPr>
          <w:rFonts w:asciiTheme="majorHAnsi" w:hAnsiTheme="majorHAnsi" w:cs="Arial"/>
          <w:color w:val="312A2A"/>
          <w:sz w:val="20"/>
          <w:szCs w:val="20"/>
          <w:u w:color="254171"/>
        </w:rPr>
        <w:t xml:space="preserve">rostaglandins exert </w:t>
      </w:r>
      <w:proofErr w:type="spellStart"/>
      <w:r w:rsidRPr="00A42DED">
        <w:rPr>
          <w:rFonts w:asciiTheme="majorHAnsi" w:hAnsiTheme="majorHAnsi" w:cs="Arial"/>
          <w:color w:val="312A2A"/>
          <w:sz w:val="20"/>
          <w:szCs w:val="20"/>
          <w:u w:color="254171"/>
        </w:rPr>
        <w:t>vasodilatory</w:t>
      </w:r>
      <w:proofErr w:type="spellEnd"/>
      <w:r w:rsidRPr="00A42DED">
        <w:rPr>
          <w:rFonts w:asciiTheme="majorHAnsi" w:hAnsiTheme="majorHAnsi" w:cs="Arial"/>
          <w:color w:val="312A2A"/>
          <w:sz w:val="20"/>
          <w:szCs w:val="20"/>
          <w:u w:color="254171"/>
        </w:rPr>
        <w:t xml:space="preserve"> effects </w:t>
      </w:r>
      <w:r>
        <w:rPr>
          <w:rFonts w:asciiTheme="majorHAnsi" w:hAnsiTheme="majorHAnsi" w:cs="Arial"/>
          <w:color w:val="312A2A"/>
          <w:sz w:val="20"/>
          <w:szCs w:val="20"/>
          <w:u w:color="254171"/>
        </w:rPr>
        <w:t xml:space="preserve">that </w:t>
      </w:r>
      <w:r w:rsidRPr="00A42DED">
        <w:rPr>
          <w:rFonts w:asciiTheme="majorHAnsi" w:hAnsiTheme="majorHAnsi" w:cs="Arial"/>
          <w:color w:val="312A2A"/>
          <w:sz w:val="20"/>
          <w:szCs w:val="20"/>
          <w:u w:color="254171"/>
        </w:rPr>
        <w:t>are important in its blood flow regulation, especially during periods of hypovolemia or decreased renal perfusion</w:t>
      </w:r>
      <w:r>
        <w:rPr>
          <w:rFonts w:asciiTheme="majorHAnsi" w:hAnsiTheme="majorHAnsi" w:cs="Arial"/>
          <w:color w:val="312A2A"/>
          <w:sz w:val="20"/>
          <w:szCs w:val="20"/>
          <w:u w:color="254171"/>
        </w:rPr>
        <w:t>?</w:t>
      </w:r>
    </w:p>
    <w:p w14:paraId="66C92575" w14:textId="77777777" w:rsidR="00283F44" w:rsidRDefault="00283F44" w:rsidP="00283F44">
      <w:pPr>
        <w:ind w:left="1416"/>
        <w:rPr>
          <w:rFonts w:asciiTheme="majorHAnsi" w:hAnsiTheme="majorHAnsi" w:cs="Arial"/>
          <w:color w:val="312A2A"/>
          <w:sz w:val="20"/>
          <w:szCs w:val="20"/>
          <w:u w:color="254171"/>
        </w:rPr>
      </w:pPr>
      <w:r w:rsidRPr="00A42DED">
        <w:rPr>
          <w:rFonts w:asciiTheme="majorHAnsi" w:hAnsiTheme="majorHAnsi" w:cs="Arial"/>
          <w:color w:val="312A2A"/>
          <w:sz w:val="20"/>
          <w:szCs w:val="20"/>
          <w:u w:color="254171"/>
        </w:rPr>
        <w:t>Prostaglandins E</w:t>
      </w:r>
      <w:r w:rsidRPr="00A42DED">
        <w:rPr>
          <w:rFonts w:asciiTheme="majorHAnsi" w:hAnsiTheme="majorHAnsi" w:cs="Arial"/>
          <w:color w:val="312A2A"/>
          <w:sz w:val="20"/>
          <w:szCs w:val="20"/>
          <w:u w:color="254171"/>
          <w:vertAlign w:val="subscript"/>
        </w:rPr>
        <w:t>2</w:t>
      </w:r>
      <w:r w:rsidRPr="00A42DED">
        <w:rPr>
          <w:rFonts w:asciiTheme="majorHAnsi" w:hAnsiTheme="majorHAnsi" w:cs="Arial"/>
          <w:color w:val="312A2A"/>
          <w:sz w:val="20"/>
          <w:szCs w:val="20"/>
          <w:u w:color="254171"/>
        </w:rPr>
        <w:t xml:space="preserve"> and I</w:t>
      </w:r>
      <w:r w:rsidRPr="00A42DED">
        <w:rPr>
          <w:rFonts w:asciiTheme="majorHAnsi" w:hAnsiTheme="majorHAnsi" w:cs="Arial"/>
          <w:color w:val="312A2A"/>
          <w:sz w:val="20"/>
          <w:szCs w:val="20"/>
          <w:u w:color="254171"/>
          <w:vertAlign w:val="subscript"/>
        </w:rPr>
        <w:t>2</w:t>
      </w:r>
      <w:r w:rsidRPr="00A42DED">
        <w:rPr>
          <w:rFonts w:asciiTheme="majorHAnsi" w:hAnsiTheme="majorHAnsi" w:cs="Arial"/>
          <w:color w:val="312A2A"/>
          <w:sz w:val="20"/>
          <w:szCs w:val="20"/>
          <w:u w:color="254171"/>
        </w:rPr>
        <w:t xml:space="preserve"> exert </w:t>
      </w:r>
      <w:proofErr w:type="spellStart"/>
      <w:r w:rsidRPr="00A42DED">
        <w:rPr>
          <w:rFonts w:asciiTheme="majorHAnsi" w:hAnsiTheme="majorHAnsi" w:cs="Arial"/>
          <w:color w:val="312A2A"/>
          <w:sz w:val="20"/>
          <w:szCs w:val="20"/>
          <w:u w:color="254171"/>
        </w:rPr>
        <w:t>vasodilatory</w:t>
      </w:r>
      <w:proofErr w:type="spellEnd"/>
      <w:r w:rsidRPr="00A42DED">
        <w:rPr>
          <w:rFonts w:asciiTheme="majorHAnsi" w:hAnsiTheme="majorHAnsi" w:cs="Arial"/>
          <w:color w:val="312A2A"/>
          <w:sz w:val="20"/>
          <w:szCs w:val="20"/>
          <w:u w:color="254171"/>
        </w:rPr>
        <w:t xml:space="preserve"> effects at the level of the kidney that are important in its blood flow regulation, especially during periods of hypovolemia or decreased renal perfusion</w:t>
      </w:r>
    </w:p>
    <w:p w14:paraId="4DAEDBBC" w14:textId="77777777" w:rsidR="00283F44" w:rsidRPr="00283F44" w:rsidRDefault="00283F44" w:rsidP="00283F44">
      <w:pPr>
        <w:pStyle w:val="ListParagraph"/>
        <w:numPr>
          <w:ilvl w:val="0"/>
          <w:numId w:val="5"/>
        </w:numPr>
        <w:rPr>
          <w:rFonts w:asciiTheme="majorHAnsi" w:hAnsiTheme="majorHAnsi"/>
          <w:sz w:val="20"/>
          <w:szCs w:val="20"/>
        </w:rPr>
      </w:pPr>
      <w:r w:rsidRPr="00283F44">
        <w:rPr>
          <w:rFonts w:asciiTheme="majorHAnsi" w:hAnsiTheme="majorHAnsi" w:cs="Arial"/>
          <w:color w:val="312A2A"/>
          <w:sz w:val="20"/>
          <w:szCs w:val="20"/>
          <w:u w:color="254171"/>
        </w:rPr>
        <w:t xml:space="preserve">True/False: </w:t>
      </w:r>
      <w:proofErr w:type="spellStart"/>
      <w:r w:rsidRPr="00283F44">
        <w:rPr>
          <w:rFonts w:asciiTheme="majorHAnsi" w:hAnsiTheme="majorHAnsi" w:cs="Arial"/>
          <w:color w:val="312A2A"/>
          <w:sz w:val="20"/>
          <w:szCs w:val="20"/>
          <w:u w:color="254171"/>
        </w:rPr>
        <w:t>Robenacoxib</w:t>
      </w:r>
      <w:proofErr w:type="spellEnd"/>
      <w:r w:rsidRPr="00283F44">
        <w:rPr>
          <w:rFonts w:asciiTheme="majorHAnsi" w:hAnsiTheme="majorHAnsi" w:cs="Arial"/>
          <w:color w:val="312A2A"/>
          <w:sz w:val="20"/>
          <w:szCs w:val="20"/>
          <w:u w:color="254171"/>
        </w:rPr>
        <w:t xml:space="preserve"> is a Cox-2 inhibitor.</w:t>
      </w:r>
      <w:bookmarkStart w:id="0" w:name="_GoBack"/>
      <w:bookmarkEnd w:id="0"/>
    </w:p>
    <w:sectPr w:rsidR="00283F44" w:rsidRPr="00283F44" w:rsidSect="005A3D3E"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nion-Regular">
    <w:altName w:val="Minion-Regular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F1B756F"/>
    <w:multiLevelType w:val="hybridMultilevel"/>
    <w:tmpl w:val="C3901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F3C26"/>
    <w:multiLevelType w:val="multilevel"/>
    <w:tmpl w:val="8456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844449"/>
    <w:multiLevelType w:val="hybridMultilevel"/>
    <w:tmpl w:val="BAB65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A5F0A"/>
    <w:multiLevelType w:val="hybridMultilevel"/>
    <w:tmpl w:val="BAB65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1C1"/>
    <w:rsid w:val="000A5EF5"/>
    <w:rsid w:val="00283F44"/>
    <w:rsid w:val="002C4D29"/>
    <w:rsid w:val="00423497"/>
    <w:rsid w:val="00437961"/>
    <w:rsid w:val="005A3D3E"/>
    <w:rsid w:val="00896614"/>
    <w:rsid w:val="009C411F"/>
    <w:rsid w:val="00A42DED"/>
    <w:rsid w:val="00A71B13"/>
    <w:rsid w:val="00CB1393"/>
    <w:rsid w:val="00EE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96C8B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51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661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614"/>
    <w:rPr>
      <w:rFonts w:ascii="Lucida Grande" w:hAnsi="Lucida Grande" w:cs="Lucida Grande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42D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51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661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614"/>
    <w:rPr>
      <w:rFonts w:ascii="Lucida Grande" w:hAnsi="Lucida Grande" w:cs="Lucida Grande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42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1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5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37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1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58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011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5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07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24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3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15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7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47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4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9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47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97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55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83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375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3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2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12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90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8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697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3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91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8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0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0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28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2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457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55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6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3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34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8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7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4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06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2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5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0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3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link.springer.com/search?facet-author=%22Hamideh+Rohani%22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link.springer.com/journal/580" TargetMode="External"/><Relationship Id="rId7" Type="http://schemas.openxmlformats.org/officeDocument/2006/relationships/hyperlink" Target="http://link.springer.com/journal/580/23/5/page/1" TargetMode="External"/><Relationship Id="rId8" Type="http://schemas.openxmlformats.org/officeDocument/2006/relationships/hyperlink" Target="http://link.springer.com/search?facet-author=%22Javad+Tajik%22" TargetMode="External"/><Relationship Id="rId9" Type="http://schemas.openxmlformats.org/officeDocument/2006/relationships/hyperlink" Target="http://link.springer.com/search?facet-author=%22Reza+Kheirandish%22" TargetMode="External"/><Relationship Id="rId10" Type="http://schemas.openxmlformats.org/officeDocument/2006/relationships/hyperlink" Target="http://link.springer.com/search?facet-author=%22Shima+Abbasi%22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1660</Words>
  <Characters>9466</Characters>
  <Application>Microsoft Macintosh Word</Application>
  <DocSecurity>0</DocSecurity>
  <Lines>78</Lines>
  <Paragraphs>22</Paragraphs>
  <ScaleCrop>false</ScaleCrop>
  <Company/>
  <LinksUpToDate>false</LinksUpToDate>
  <CharactersWithSpaces>11104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Clare Hyatt</cp:lastModifiedBy>
  <cp:revision>2</cp:revision>
  <dcterms:created xsi:type="dcterms:W3CDTF">2015-03-24T13:33:00Z</dcterms:created>
  <dcterms:modified xsi:type="dcterms:W3CDTF">2015-03-24T13:33:00Z</dcterms:modified>
</cp:coreProperties>
</file>