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D27" w:rsidRDefault="00063755">
      <w:r>
        <w:t>NEJM Oct 2014</w:t>
      </w:r>
    </w:p>
    <w:p w:rsidR="00063755" w:rsidRDefault="00063755" w:rsidP="00063755">
      <w:pPr>
        <w:autoSpaceDE w:val="0"/>
        <w:autoSpaceDN w:val="0"/>
        <w:adjustRightInd w:val="0"/>
        <w:spacing w:after="0" w:line="240" w:lineRule="auto"/>
        <w:jc w:val="center"/>
        <w:rPr>
          <w:rFonts w:ascii="OTNEJMQuadraat" w:eastAsia="OTNEJMQuadraat" w:cs="OTNEJMQuadraat"/>
          <w:sz w:val="36"/>
          <w:szCs w:val="36"/>
        </w:rPr>
      </w:pPr>
      <w:r>
        <w:rPr>
          <w:rFonts w:ascii="OTNEJMQuadraat" w:eastAsia="OTNEJMQuadraat" w:cs="OTNEJMQuadraat"/>
          <w:sz w:val="36"/>
          <w:szCs w:val="36"/>
        </w:rPr>
        <w:t>Lower versus Higher Hemoglobin Threshold for Transfusion</w:t>
      </w:r>
      <w:r>
        <w:rPr>
          <w:rFonts w:ascii="OTNEJMQuadraat" w:eastAsia="OTNEJMQuadraat" w:cs="OTNEJMQuadraat"/>
          <w:sz w:val="36"/>
          <w:szCs w:val="36"/>
        </w:rPr>
        <w:t xml:space="preserve"> </w:t>
      </w:r>
      <w:r>
        <w:rPr>
          <w:rFonts w:ascii="OTNEJMQuadraat" w:eastAsia="OTNEJMQuadraat" w:cs="OTNEJMQuadraat"/>
          <w:sz w:val="36"/>
          <w:szCs w:val="36"/>
        </w:rPr>
        <w:t>in Septic Shock</w:t>
      </w:r>
    </w:p>
    <w:p w:rsidR="00063755" w:rsidRDefault="00063755" w:rsidP="00063755">
      <w:pPr>
        <w:rPr>
          <w:sz w:val="24"/>
          <w:szCs w:val="24"/>
        </w:rPr>
      </w:pPr>
    </w:p>
    <w:p w:rsidR="00063755" w:rsidRDefault="00063755" w:rsidP="00BB30F7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063755">
        <w:rPr>
          <w:sz w:val="24"/>
          <w:szCs w:val="24"/>
        </w:rPr>
        <w:t>M</w:t>
      </w:r>
      <w:r w:rsidRPr="00063755">
        <w:rPr>
          <w:sz w:val="24"/>
          <w:szCs w:val="24"/>
        </w:rPr>
        <w:t>ulticenter, parallel-group trial, we randomly assigned patients in the intensive</w:t>
      </w:r>
      <w:r w:rsidRPr="00063755"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>care unit (ICU) who had septic shock and a hemoglobin concentration of 9 g</w:t>
      </w:r>
      <w:r w:rsidRPr="00063755"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 xml:space="preserve">per deciliter or less to receive 1 unit of </w:t>
      </w:r>
      <w:proofErr w:type="spellStart"/>
      <w:r w:rsidRPr="00063755">
        <w:rPr>
          <w:sz w:val="24"/>
          <w:szCs w:val="24"/>
        </w:rPr>
        <w:t>leukoreduced</w:t>
      </w:r>
      <w:proofErr w:type="spellEnd"/>
      <w:r w:rsidRPr="00063755">
        <w:rPr>
          <w:sz w:val="24"/>
          <w:szCs w:val="24"/>
        </w:rPr>
        <w:t xml:space="preserve"> red cells when the hemoglobin</w:t>
      </w:r>
      <w:r w:rsidRPr="00063755"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>level was 7 g per deciliter or less (lower threshold) or when the level was 9 g per</w:t>
      </w:r>
      <w:r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>deciliter or less (higher</w:t>
      </w:r>
      <w:r>
        <w:rPr>
          <w:sz w:val="24"/>
          <w:szCs w:val="24"/>
        </w:rPr>
        <w:t xml:space="preserve"> threshold) during the ICU stay</w:t>
      </w:r>
    </w:p>
    <w:p w:rsidR="00063755" w:rsidRDefault="00063755" w:rsidP="00263A67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063755">
        <w:rPr>
          <w:sz w:val="24"/>
          <w:szCs w:val="24"/>
        </w:rPr>
        <w:t>The primary outcome measure</w:t>
      </w:r>
      <w:r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>was death by 90 days after randomization</w:t>
      </w:r>
    </w:p>
    <w:p w:rsidR="00063755" w:rsidRPr="00063755" w:rsidRDefault="00063755" w:rsidP="00063755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>D</w:t>
      </w:r>
      <w:r w:rsidRPr="00063755">
        <w:rPr>
          <w:sz w:val="24"/>
          <w:szCs w:val="24"/>
        </w:rPr>
        <w:t xml:space="preserve">ata from 998 patients </w:t>
      </w:r>
      <w:r>
        <w:rPr>
          <w:sz w:val="24"/>
          <w:szCs w:val="24"/>
        </w:rPr>
        <w:t>who underwent randomization</w:t>
      </w:r>
    </w:p>
    <w:p w:rsidR="00063755" w:rsidRDefault="00063755" w:rsidP="00063755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063755">
        <w:rPr>
          <w:sz w:val="24"/>
          <w:szCs w:val="24"/>
        </w:rPr>
        <w:t>The two intervention groups had similar baseline characteristics</w:t>
      </w:r>
    </w:p>
    <w:p w:rsidR="00063755" w:rsidRDefault="00063755" w:rsidP="00C602FC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Pr="00063755">
        <w:rPr>
          <w:sz w:val="24"/>
          <w:szCs w:val="24"/>
        </w:rPr>
        <w:t>he lower-threshold group received a median of 1 unit of blood</w:t>
      </w:r>
      <w:r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>and the higher-threshold group received a median of 4 units</w:t>
      </w:r>
    </w:p>
    <w:p w:rsidR="00063755" w:rsidRDefault="00063755" w:rsidP="00BC334E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063755">
        <w:rPr>
          <w:sz w:val="24"/>
          <w:szCs w:val="24"/>
        </w:rPr>
        <w:t>At 90 days after randomization, 216 of 502 patients (43.0%) assigned</w:t>
      </w:r>
      <w:r w:rsidRPr="00063755"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>to the lower-threshold group, as compared with 223 of 496 (45.0%) assigned to the</w:t>
      </w:r>
      <w:r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>higher-threshold group, had died</w:t>
      </w:r>
    </w:p>
    <w:p w:rsidR="00063755" w:rsidRDefault="00063755" w:rsidP="0017246B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063755">
        <w:rPr>
          <w:sz w:val="24"/>
          <w:szCs w:val="24"/>
        </w:rPr>
        <w:t>Among patients with septic shock, mortality at 90 days and rates of ischemic events</w:t>
      </w:r>
      <w:r w:rsidRPr="00063755"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>and use of life support were similar among those assigned to blood transfusion at a</w:t>
      </w:r>
      <w:r w:rsidRPr="00063755"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>higher hemoglobin threshold and those assigned to blood transfusion at a lower</w:t>
      </w:r>
      <w:r>
        <w:rPr>
          <w:sz w:val="24"/>
          <w:szCs w:val="24"/>
        </w:rPr>
        <w:t xml:space="preserve"> </w:t>
      </w:r>
      <w:r w:rsidRPr="00063755">
        <w:rPr>
          <w:sz w:val="24"/>
          <w:szCs w:val="24"/>
        </w:rPr>
        <w:t>threshold; the latter group received fewer transfusions</w:t>
      </w:r>
    </w:p>
    <w:p w:rsidR="005903C7" w:rsidRPr="005903C7" w:rsidRDefault="005903C7" w:rsidP="005903C7">
      <w:pPr>
        <w:autoSpaceDE w:val="0"/>
        <w:autoSpaceDN w:val="0"/>
        <w:adjustRightInd w:val="0"/>
        <w:spacing w:after="0" w:line="240" w:lineRule="auto"/>
        <w:ind w:left="360"/>
        <w:jc w:val="center"/>
        <w:rPr>
          <w:sz w:val="24"/>
          <w:szCs w:val="24"/>
        </w:rPr>
      </w:pPr>
      <w:r w:rsidRPr="005903C7">
        <w:rPr>
          <w:rFonts w:ascii="OTNEJMQuadraat" w:eastAsia="OTNEJMQuadraat" w:cs="OTNEJMQuadraat"/>
          <w:sz w:val="36"/>
          <w:szCs w:val="36"/>
        </w:rPr>
        <w:t>Trial of the Route of Early Nutritional Support</w:t>
      </w:r>
      <w:r>
        <w:rPr>
          <w:rFonts w:ascii="OTNEJMQuadraat" w:eastAsia="OTNEJMQuadraat" w:cs="OTNEJMQuadraat"/>
          <w:sz w:val="36"/>
          <w:szCs w:val="36"/>
        </w:rPr>
        <w:t xml:space="preserve"> </w:t>
      </w:r>
      <w:r w:rsidRPr="005903C7">
        <w:rPr>
          <w:rFonts w:ascii="OTNEJMQuadraat" w:eastAsia="OTNEJMQuadraat" w:cs="OTNEJMQuadraat"/>
          <w:sz w:val="36"/>
          <w:szCs w:val="36"/>
        </w:rPr>
        <w:t>in Critically Ill Adults</w:t>
      </w:r>
    </w:p>
    <w:p w:rsidR="00F8593C" w:rsidRDefault="00F8593C" w:rsidP="00E070EF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F8593C">
        <w:rPr>
          <w:sz w:val="24"/>
          <w:szCs w:val="24"/>
        </w:rPr>
        <w:t>P</w:t>
      </w:r>
      <w:r w:rsidRPr="00F8593C">
        <w:rPr>
          <w:sz w:val="24"/>
          <w:szCs w:val="24"/>
        </w:rPr>
        <w:t>ragmatic, randomized trial involving adults with an unplanned</w:t>
      </w:r>
      <w:r>
        <w:rPr>
          <w:sz w:val="24"/>
          <w:szCs w:val="24"/>
        </w:rPr>
        <w:t xml:space="preserve"> </w:t>
      </w:r>
      <w:r w:rsidRPr="00F8593C">
        <w:rPr>
          <w:sz w:val="24"/>
          <w:szCs w:val="24"/>
        </w:rPr>
        <w:t>admission to one of 33 English intensive care units.</w:t>
      </w:r>
    </w:p>
    <w:p w:rsidR="00F8593C" w:rsidRDefault="00F8593C" w:rsidP="00EF4A7E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F8593C">
        <w:rPr>
          <w:sz w:val="24"/>
          <w:szCs w:val="24"/>
        </w:rPr>
        <w:t>R</w:t>
      </w:r>
      <w:r w:rsidRPr="00F8593C">
        <w:rPr>
          <w:sz w:val="24"/>
          <w:szCs w:val="24"/>
        </w:rPr>
        <w:t>andomly assigned patients</w:t>
      </w:r>
      <w:r w:rsidRPr="00F8593C">
        <w:rPr>
          <w:sz w:val="24"/>
          <w:szCs w:val="24"/>
        </w:rPr>
        <w:t xml:space="preserve"> </w:t>
      </w:r>
      <w:r w:rsidRPr="00F8593C">
        <w:rPr>
          <w:sz w:val="24"/>
          <w:szCs w:val="24"/>
        </w:rPr>
        <w:t>who could be fed through either the parenteral or the enteral route to a delivery</w:t>
      </w:r>
      <w:r w:rsidRPr="00F8593C">
        <w:rPr>
          <w:sz w:val="24"/>
          <w:szCs w:val="24"/>
        </w:rPr>
        <w:t xml:space="preserve"> </w:t>
      </w:r>
      <w:r w:rsidRPr="00F8593C">
        <w:rPr>
          <w:sz w:val="24"/>
          <w:szCs w:val="24"/>
        </w:rPr>
        <w:t>route, with nutritional s</w:t>
      </w:r>
      <w:bookmarkStart w:id="0" w:name="_GoBack"/>
      <w:bookmarkEnd w:id="0"/>
      <w:r w:rsidRPr="00F8593C">
        <w:rPr>
          <w:sz w:val="24"/>
          <w:szCs w:val="24"/>
        </w:rPr>
        <w:t>upport initiated within 36 hours after admission and continued</w:t>
      </w:r>
      <w:r>
        <w:rPr>
          <w:sz w:val="24"/>
          <w:szCs w:val="24"/>
        </w:rPr>
        <w:t xml:space="preserve"> </w:t>
      </w:r>
      <w:r w:rsidRPr="00F8593C">
        <w:rPr>
          <w:sz w:val="24"/>
          <w:szCs w:val="24"/>
        </w:rPr>
        <w:t>for up to 5 days</w:t>
      </w:r>
    </w:p>
    <w:p w:rsidR="005903C7" w:rsidRDefault="00F8593C" w:rsidP="00EF4A7E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F8593C">
        <w:rPr>
          <w:sz w:val="24"/>
          <w:szCs w:val="24"/>
        </w:rPr>
        <w:t>The primary outcome was</w:t>
      </w:r>
      <w:r>
        <w:rPr>
          <w:sz w:val="24"/>
          <w:szCs w:val="24"/>
        </w:rPr>
        <w:t xml:space="preserve"> all-cause mortality at 30 days</w:t>
      </w:r>
    </w:p>
    <w:p w:rsidR="00F8593C" w:rsidRDefault="00F8593C" w:rsidP="00201557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F8593C">
        <w:rPr>
          <w:sz w:val="24"/>
          <w:szCs w:val="24"/>
        </w:rPr>
        <w:t>2388 were included in the analysis (1191 in the</w:t>
      </w:r>
      <w:r>
        <w:rPr>
          <w:sz w:val="24"/>
          <w:szCs w:val="24"/>
        </w:rPr>
        <w:t xml:space="preserve"> </w:t>
      </w:r>
      <w:r w:rsidRPr="00F8593C">
        <w:rPr>
          <w:sz w:val="24"/>
          <w:szCs w:val="24"/>
        </w:rPr>
        <w:t>parenteral group and 1197 in the enteral group</w:t>
      </w:r>
      <w:r>
        <w:rPr>
          <w:sz w:val="24"/>
          <w:szCs w:val="24"/>
        </w:rPr>
        <w:t>)</w:t>
      </w:r>
    </w:p>
    <w:p w:rsidR="00F8593C" w:rsidRDefault="00161E98" w:rsidP="00573D95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161E98">
        <w:rPr>
          <w:sz w:val="24"/>
          <w:szCs w:val="24"/>
        </w:rPr>
        <w:t>There were significant reductions in the parenteral group, as</w:t>
      </w:r>
      <w:r w:rsidRPr="00161E98">
        <w:rPr>
          <w:sz w:val="24"/>
          <w:szCs w:val="24"/>
        </w:rPr>
        <w:t xml:space="preserve"> </w:t>
      </w:r>
      <w:r w:rsidRPr="00161E98">
        <w:rPr>
          <w:sz w:val="24"/>
          <w:szCs w:val="24"/>
        </w:rPr>
        <w:t>compared with the enteral g</w:t>
      </w:r>
      <w:r w:rsidRPr="00161E98">
        <w:rPr>
          <w:sz w:val="24"/>
          <w:szCs w:val="24"/>
        </w:rPr>
        <w:t xml:space="preserve">roup, in rates of hypoglycemia </w:t>
      </w:r>
      <w:r w:rsidRPr="00161E98">
        <w:rPr>
          <w:sz w:val="24"/>
          <w:szCs w:val="24"/>
        </w:rPr>
        <w:t>and vomiting</w:t>
      </w:r>
    </w:p>
    <w:p w:rsidR="00161E98" w:rsidRDefault="00161E98" w:rsidP="004B29E4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161E98">
        <w:rPr>
          <w:sz w:val="24"/>
          <w:szCs w:val="24"/>
        </w:rPr>
        <w:t>There were no significant differences between the parenteral</w:t>
      </w:r>
      <w:r w:rsidRPr="00161E98">
        <w:rPr>
          <w:sz w:val="24"/>
          <w:szCs w:val="24"/>
        </w:rPr>
        <w:t xml:space="preserve"> </w:t>
      </w:r>
      <w:r w:rsidRPr="00161E98">
        <w:rPr>
          <w:sz w:val="24"/>
          <w:szCs w:val="24"/>
        </w:rPr>
        <w:t>group and the enteral group in the mean number of treated infectious complications 90-day mortality</w:t>
      </w:r>
      <w:r>
        <w:rPr>
          <w:sz w:val="24"/>
          <w:szCs w:val="24"/>
        </w:rPr>
        <w:t xml:space="preserve"> </w:t>
      </w:r>
    </w:p>
    <w:p w:rsidR="00161E98" w:rsidRDefault="00161E98" w:rsidP="00FD4DEA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 w:rsidRPr="00161E98">
        <w:rPr>
          <w:sz w:val="24"/>
          <w:szCs w:val="24"/>
        </w:rPr>
        <w:t>Caloric intake was similar in the two groups, with the target</w:t>
      </w:r>
      <w:r>
        <w:rPr>
          <w:sz w:val="24"/>
          <w:szCs w:val="24"/>
        </w:rPr>
        <w:t xml:space="preserve"> </w:t>
      </w:r>
      <w:r w:rsidRPr="00161E98">
        <w:rPr>
          <w:sz w:val="24"/>
          <w:szCs w:val="24"/>
        </w:rPr>
        <w:t>intake not achieved in most patients</w:t>
      </w:r>
    </w:p>
    <w:p w:rsidR="00161E98" w:rsidRPr="00161E98" w:rsidRDefault="00161E98" w:rsidP="00F63ED0">
      <w:pPr>
        <w:pStyle w:val="ListParagraph"/>
        <w:numPr>
          <w:ilvl w:val="0"/>
          <w:numId w:val="1"/>
        </w:numPr>
        <w:tabs>
          <w:tab w:val="left" w:pos="1500"/>
        </w:tabs>
        <w:rPr>
          <w:sz w:val="24"/>
          <w:szCs w:val="24"/>
        </w:rPr>
      </w:pPr>
      <w:r>
        <w:rPr>
          <w:sz w:val="24"/>
          <w:szCs w:val="24"/>
        </w:rPr>
        <w:t>N</w:t>
      </w:r>
      <w:r w:rsidRPr="00161E98">
        <w:rPr>
          <w:sz w:val="24"/>
          <w:szCs w:val="24"/>
        </w:rPr>
        <w:t>o significant difference in 30-day mortality associated with the route of</w:t>
      </w:r>
      <w:r>
        <w:rPr>
          <w:sz w:val="24"/>
          <w:szCs w:val="24"/>
        </w:rPr>
        <w:t xml:space="preserve"> </w:t>
      </w:r>
      <w:r w:rsidRPr="00161E98">
        <w:rPr>
          <w:sz w:val="24"/>
          <w:szCs w:val="24"/>
        </w:rPr>
        <w:t>delivery of early nutritional support i</w:t>
      </w:r>
      <w:r>
        <w:rPr>
          <w:sz w:val="24"/>
          <w:szCs w:val="24"/>
        </w:rPr>
        <w:t>n criti</w:t>
      </w:r>
      <w:r w:rsidRPr="00161E98">
        <w:rPr>
          <w:sz w:val="24"/>
          <w:szCs w:val="24"/>
        </w:rPr>
        <w:t>cally ill adults</w:t>
      </w:r>
    </w:p>
    <w:sectPr w:rsidR="00161E98" w:rsidRPr="00161E98" w:rsidSect="000637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TNEJMQuadraat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B3FF1"/>
    <w:multiLevelType w:val="hybridMultilevel"/>
    <w:tmpl w:val="F782CEA6"/>
    <w:lvl w:ilvl="0" w:tplc="0A6400B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55"/>
    <w:rsid w:val="00063755"/>
    <w:rsid w:val="00161E98"/>
    <w:rsid w:val="00390D27"/>
    <w:rsid w:val="005903C7"/>
    <w:rsid w:val="00F8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BD3606-A2C5-40A0-A0C3-F58F5D62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4</cp:revision>
  <dcterms:created xsi:type="dcterms:W3CDTF">2014-11-05T00:13:00Z</dcterms:created>
  <dcterms:modified xsi:type="dcterms:W3CDTF">2014-11-05T00:24:00Z</dcterms:modified>
</cp:coreProperties>
</file>