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13D6" w14:textId="77777777" w:rsidR="00496744" w:rsidRPr="007D6B3A" w:rsidRDefault="00A12C22" w:rsidP="00A12C22">
      <w:pPr>
        <w:widowControl w:val="0"/>
        <w:autoSpaceDE w:val="0"/>
        <w:autoSpaceDN w:val="0"/>
        <w:adjustRightInd w:val="0"/>
        <w:rPr>
          <w:rStyle w:val="SubtleEmphasis"/>
        </w:rPr>
      </w:pPr>
      <w:r w:rsidRPr="007D6B3A">
        <w:rPr>
          <w:rStyle w:val="SubtleEmphasis"/>
        </w:rPr>
        <w:t>L</w:t>
      </w:r>
      <w:bookmarkStart w:id="0" w:name="_GoBack"/>
      <w:bookmarkEnd w:id="0"/>
      <w:r w:rsidRPr="007D6B3A">
        <w:rPr>
          <w:rStyle w:val="SubtleEmphasis"/>
        </w:rPr>
        <w:t xml:space="preserve">iu et al. </w:t>
      </w:r>
      <w:proofErr w:type="gramStart"/>
      <w:r w:rsidRPr="007D6B3A">
        <w:rPr>
          <w:rStyle w:val="SubtleEmphasis"/>
        </w:rPr>
        <w:t>Early</w:t>
      </w:r>
      <w:proofErr w:type="gramEnd"/>
      <w:r w:rsidRPr="007D6B3A">
        <w:rPr>
          <w:rStyle w:val="SubtleEmphasis"/>
        </w:rPr>
        <w:t xml:space="preserve"> nutritional support is associated with decreased length of hospitalization in dogs with septic peritonitis: A retrospective study of 45 cases (2000–2009). </w:t>
      </w:r>
      <w:proofErr w:type="gramStart"/>
      <w:r w:rsidRPr="007D6B3A">
        <w:rPr>
          <w:rStyle w:val="SubtleEmphasis"/>
        </w:rPr>
        <w:t>JVECC 22(4) 2012, p 453-459.</w:t>
      </w:r>
      <w:proofErr w:type="gramEnd"/>
    </w:p>
    <w:p w14:paraId="1D63B450" w14:textId="77777777" w:rsidR="00A12C22" w:rsidRDefault="00A12C22" w:rsidP="00A12C22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1509240D" w14:textId="77777777" w:rsidR="00A12C22" w:rsidRPr="00A12C22" w:rsidRDefault="00A12C22" w:rsidP="00A12C22">
      <w:pPr>
        <w:widowControl w:val="0"/>
        <w:autoSpaceDE w:val="0"/>
        <w:autoSpaceDN w:val="0"/>
        <w:adjustRightInd w:val="0"/>
        <w:rPr>
          <w:rFonts w:cs="Times New Roman"/>
        </w:rPr>
      </w:pPr>
      <w:r w:rsidRPr="0066390A">
        <w:rPr>
          <w:rFonts w:cs="Times New Roman"/>
          <w:u w:val="single"/>
        </w:rPr>
        <w:t>Main Points</w:t>
      </w:r>
      <w:r>
        <w:rPr>
          <w:rFonts w:cs="Times New Roman"/>
        </w:rPr>
        <w:t xml:space="preserve"> - </w:t>
      </w:r>
      <w:r w:rsidRPr="00A12C22">
        <w:rPr>
          <w:rFonts w:cs="Times New Roman"/>
        </w:rPr>
        <w:t xml:space="preserve">Retrospective study evaluating early nutritional support (EN or PN) in 45 dogs that survived septic peritonitis. </w:t>
      </w:r>
    </w:p>
    <w:p w14:paraId="1AB8C909" w14:textId="77777777" w:rsidR="00A12C22" w:rsidRDefault="00A12C22" w:rsidP="00A12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Dogs that received early nutrition (defined as CPN or EN with consistent caloric intake that occurred within 24 hours after surgery) had significantly shorter hospitalization length (by 1.6 days)</w:t>
      </w:r>
    </w:p>
    <w:p w14:paraId="3E052E98" w14:textId="77777777" w:rsidR="00A12C22" w:rsidRDefault="00A12C22" w:rsidP="00A12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No statistically significant association found between route of nutrition (EN </w:t>
      </w:r>
      <w:proofErr w:type="spellStart"/>
      <w:r>
        <w:rPr>
          <w:rFonts w:cs="Times New Roman"/>
        </w:rPr>
        <w:t>vs</w:t>
      </w:r>
      <w:proofErr w:type="spellEnd"/>
      <w:r>
        <w:rPr>
          <w:rFonts w:cs="Times New Roman"/>
        </w:rPr>
        <w:t xml:space="preserve"> CP) and hospitalization length.</w:t>
      </w:r>
    </w:p>
    <w:p w14:paraId="67D94C44" w14:textId="77777777" w:rsidR="00A12C22" w:rsidRDefault="00A12C22" w:rsidP="00A12C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Metabolic complications were the most common nutrition related complication. Other complications included mechanical and septic complications.</w:t>
      </w:r>
    </w:p>
    <w:p w14:paraId="164FBEBF" w14:textId="77777777" w:rsidR="00A12C22" w:rsidRDefault="00A12C22" w:rsidP="00A12C22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0C556A66" w14:textId="77777777" w:rsidR="0066390A" w:rsidRDefault="0066390A" w:rsidP="00A12C22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43DF89B2" w14:textId="77777777" w:rsidR="00A12C22" w:rsidRPr="0066390A" w:rsidRDefault="00A12C22" w:rsidP="00A12C22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66390A">
        <w:rPr>
          <w:rFonts w:cs="Times New Roman"/>
          <w:u w:val="single"/>
        </w:rPr>
        <w:t>Summary</w:t>
      </w:r>
    </w:p>
    <w:p w14:paraId="71B245CE" w14:textId="77777777" w:rsidR="00A12C22" w:rsidRDefault="00A12C22" w:rsidP="00A12C2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Mortality rates for dogs with septic peritonitis reported as </w:t>
      </w:r>
      <w:proofErr w:type="spellStart"/>
      <w:r>
        <w:rPr>
          <w:rFonts w:cs="Times New Roman"/>
        </w:rPr>
        <w:t>igj</w:t>
      </w:r>
      <w:proofErr w:type="spellEnd"/>
      <w:r>
        <w:rPr>
          <w:rFonts w:cs="Times New Roman"/>
        </w:rPr>
        <w:t xml:space="preserve"> as 70% in dogs with MODS and 25% in dogs without MODS</w:t>
      </w:r>
    </w:p>
    <w:p w14:paraId="5F2CEF5D" w14:textId="77777777" w:rsidR="00A12C22" w:rsidRDefault="00A12C22" w:rsidP="00A12C2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Optimal time frame or acceptable delay prior to commencement of nutritional support has not been defined in critically ill animals. </w:t>
      </w:r>
    </w:p>
    <w:p w14:paraId="59E7A29E" w14:textId="77777777" w:rsidR="00A12C22" w:rsidRDefault="00A12C22" w:rsidP="00A12C2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EN generally recommended first for its beneficial effect on integrity of gut mucosa. In this study defined as assisted tube feeding or voluntary eating.</w:t>
      </w:r>
    </w:p>
    <w:p w14:paraId="26566D74" w14:textId="77777777" w:rsidR="00A12C22" w:rsidRDefault="00A12C22" w:rsidP="00A12C2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 w:rsidRPr="00A12C22">
        <w:rPr>
          <w:rFonts w:cs="Times New Roman"/>
        </w:rPr>
        <w:t>PN – concerns for effects on cytokine production, hormonal release and immunosuppression</w:t>
      </w:r>
    </w:p>
    <w:p w14:paraId="5CB1BDC0" w14:textId="77777777" w:rsidR="00A12C22" w:rsidRDefault="00A12C22" w:rsidP="00A12C2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Severity of illness evaluated by Survival Prediction Index (SPI2) score. Lower score associated with more severe disease and higher risk of fatality. Formula uses MAP, RR, creatinine, PCV, albumin, medical </w:t>
      </w:r>
      <w:proofErr w:type="spellStart"/>
      <w:r>
        <w:rPr>
          <w:rFonts w:cs="Times New Roman"/>
        </w:rPr>
        <w:t>vs</w:t>
      </w:r>
      <w:proofErr w:type="spellEnd"/>
      <w:r>
        <w:rPr>
          <w:rFonts w:cs="Times New Roman"/>
        </w:rPr>
        <w:t xml:space="preserve"> surgical status.</w:t>
      </w:r>
    </w:p>
    <w:p w14:paraId="29C95AF3" w14:textId="77777777" w:rsidR="00306A34" w:rsidRDefault="00306A34" w:rsidP="00A12C2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Complications divided into mechanical, metabolic, and septic categories</w:t>
      </w:r>
    </w:p>
    <w:p w14:paraId="2CB2DAD8" w14:textId="77777777" w:rsidR="00306A34" w:rsidRDefault="00306A34" w:rsidP="00A12C2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Most common cause of septic peritonitis in this study was FI foreign body obstruction (13/45)</w:t>
      </w:r>
    </w:p>
    <w:p w14:paraId="64825DA5" w14:textId="77777777" w:rsidR="00306A34" w:rsidRDefault="00306A34" w:rsidP="00306A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42% of dogs developed nutrition related metabolic complications which hypomagnesemia and hypokalemia the most common types, hypophosphatemia occurred inly in digs fed PN. Lipemia did not occur in PN or EN.</w:t>
      </w:r>
    </w:p>
    <w:p w14:paraId="784F6039" w14:textId="77777777" w:rsidR="002C03A2" w:rsidRDefault="002C03A2" w:rsidP="00306A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Hypomagnesemia, hypophosphatemia and hypokalemia may be associated with </w:t>
      </w:r>
      <w:proofErr w:type="spellStart"/>
      <w:r>
        <w:rPr>
          <w:rFonts w:cs="Times New Roman"/>
        </w:rPr>
        <w:t>transcellular</w:t>
      </w:r>
      <w:proofErr w:type="spellEnd"/>
      <w:r>
        <w:rPr>
          <w:rFonts w:cs="Times New Roman"/>
        </w:rPr>
        <w:t xml:space="preserve"> shifts or total body depletion of these ions secondary to </w:t>
      </w:r>
      <w:proofErr w:type="spellStart"/>
      <w:r>
        <w:rPr>
          <w:rFonts w:cs="Times New Roman"/>
        </w:rPr>
        <w:t>refeeding</w:t>
      </w:r>
      <w:proofErr w:type="spellEnd"/>
      <w:r>
        <w:rPr>
          <w:rFonts w:cs="Times New Roman"/>
        </w:rPr>
        <w:t xml:space="preserve"> syndrome, acid base imbalances </w:t>
      </w:r>
      <w:r w:rsidR="0066390A">
        <w:rPr>
          <w:rFonts w:cs="Times New Roman"/>
        </w:rPr>
        <w:t>o</w:t>
      </w:r>
      <w:r>
        <w:rPr>
          <w:rFonts w:cs="Times New Roman"/>
        </w:rPr>
        <w:t>r GI losses</w:t>
      </w:r>
    </w:p>
    <w:p w14:paraId="182B7062" w14:textId="77777777" w:rsidR="002C03A2" w:rsidRDefault="002C03A2" w:rsidP="00306A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Hyperglycemia may be secondary to nutritional support or a manifestation of sepsis from increased gluconeogenesis and insulin resistance </w:t>
      </w:r>
    </w:p>
    <w:p w14:paraId="558314E0" w14:textId="77777777" w:rsidR="002C03A2" w:rsidRDefault="002C03A2" w:rsidP="00306A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Three variables remained significant in the final model – timing of nutritional support, presence of concurrent illness, presence of nutrition related metabolic complications </w:t>
      </w:r>
    </w:p>
    <w:p w14:paraId="20C4B4D6" w14:textId="77777777" w:rsidR="002C03A2" w:rsidRDefault="002C03A2" w:rsidP="00306A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In septic dogs the activation of local or systemic inflammatory response and release of stress hormones (catecholamines, glucagon, cortisol) result in sustained hypermetabolic state characterized by profound catabolism.</w:t>
      </w:r>
    </w:p>
    <w:p w14:paraId="355A38F4" w14:textId="77777777" w:rsidR="002C03A2" w:rsidRDefault="002C03A2" w:rsidP="00306A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Mechanism by which early nutrition decreased LOH in dogs with septic peritonitis is not well understood</w:t>
      </w:r>
    </w:p>
    <w:p w14:paraId="6147BFDB" w14:textId="77777777" w:rsidR="002C03A2" w:rsidRDefault="002C03A2" w:rsidP="00306A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>EN maintains GI barrier function and is associated with improved blood flow to the GI tract, liver and kidneys</w:t>
      </w:r>
    </w:p>
    <w:p w14:paraId="18981EE2" w14:textId="77777777" w:rsidR="002C03A2" w:rsidRPr="00306A34" w:rsidRDefault="002C03A2" w:rsidP="00306A3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Use of </w:t>
      </w:r>
      <w:proofErr w:type="spellStart"/>
      <w:r>
        <w:rPr>
          <w:rFonts w:cs="Times New Roman"/>
        </w:rPr>
        <w:t>jejunostomy</w:t>
      </w:r>
      <w:proofErr w:type="spellEnd"/>
      <w:r>
        <w:rPr>
          <w:rFonts w:cs="Times New Roman"/>
        </w:rPr>
        <w:t xml:space="preserve"> or </w:t>
      </w:r>
      <w:proofErr w:type="spellStart"/>
      <w:r>
        <w:rPr>
          <w:rFonts w:cs="Times New Roman"/>
        </w:rPr>
        <w:t>nasojejunostomy</w:t>
      </w:r>
      <w:proofErr w:type="spellEnd"/>
      <w:r>
        <w:rPr>
          <w:rFonts w:cs="Times New Roman"/>
        </w:rPr>
        <w:t xml:space="preserve"> tube in dogs affected by septic peritonitis warrants further evaluation</w:t>
      </w:r>
    </w:p>
    <w:p w14:paraId="1EE59447" w14:textId="77777777" w:rsidR="00A12C22" w:rsidRDefault="00A12C22" w:rsidP="00A12C22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687628E7" w14:textId="77777777" w:rsidR="00A12C22" w:rsidRDefault="00A12C22" w:rsidP="00A12C22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180C2034" w14:textId="77777777" w:rsidR="00A12C22" w:rsidRDefault="00A12C22" w:rsidP="00A12C22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243C2F27" w14:textId="77777777" w:rsidR="0066390A" w:rsidRDefault="0066390A" w:rsidP="00A12C22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33E9B0DA" w14:textId="77777777" w:rsidR="0066390A" w:rsidRDefault="0066390A" w:rsidP="00A12C22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27327230" w14:textId="77777777" w:rsidR="0066390A" w:rsidRDefault="0066390A" w:rsidP="00A12C22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555370DB" w14:textId="77777777" w:rsidR="00A12C22" w:rsidRPr="0066390A" w:rsidRDefault="00A12C22" w:rsidP="00A12C22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66390A">
        <w:rPr>
          <w:rFonts w:cs="Times New Roman"/>
          <w:u w:val="single"/>
        </w:rPr>
        <w:lastRenderedPageBreak/>
        <w:t>Questions</w:t>
      </w:r>
    </w:p>
    <w:p w14:paraId="7D1D5E17" w14:textId="77777777" w:rsidR="00A12C22" w:rsidRDefault="00A12C22" w:rsidP="002C03A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rPr>
          <w:rFonts w:cs="Times New Roman"/>
        </w:rPr>
      </w:pPr>
      <w:r w:rsidRPr="0066390A">
        <w:rPr>
          <w:rFonts w:cs="Times New Roman"/>
        </w:rPr>
        <w:t>True</w:t>
      </w:r>
      <w:r w:rsidRPr="00A12C22">
        <w:rPr>
          <w:rFonts w:cs="Times New Roman"/>
        </w:rPr>
        <w:t xml:space="preserve"> or False. EN is generally recommended first for its beneficial effect on integrity of gut mucosa. </w:t>
      </w:r>
    </w:p>
    <w:p w14:paraId="6AAFA512" w14:textId="77777777" w:rsidR="00306A34" w:rsidRDefault="00306A34" w:rsidP="002C03A2">
      <w:pPr>
        <w:pStyle w:val="ListParagraph"/>
        <w:widowControl w:val="0"/>
        <w:autoSpaceDE w:val="0"/>
        <w:autoSpaceDN w:val="0"/>
        <w:adjustRightInd w:val="0"/>
        <w:ind w:left="360"/>
        <w:rPr>
          <w:rFonts w:cs="Times New Roman"/>
        </w:rPr>
      </w:pPr>
    </w:p>
    <w:p w14:paraId="6F5C822C" w14:textId="77777777" w:rsidR="00306A34" w:rsidRDefault="00306A34" w:rsidP="002C03A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rPr>
          <w:rFonts w:cs="Times New Roman"/>
        </w:rPr>
      </w:pPr>
      <w:r>
        <w:rPr>
          <w:rFonts w:cs="Times New Roman"/>
        </w:rPr>
        <w:t>Which of the following is not included in</w:t>
      </w:r>
      <w:r w:rsidR="00A12C22">
        <w:rPr>
          <w:rFonts w:cs="Times New Roman"/>
        </w:rPr>
        <w:t xml:space="preserve"> </w:t>
      </w:r>
      <w:r>
        <w:rPr>
          <w:rFonts w:cs="Times New Roman"/>
        </w:rPr>
        <w:t>the formula used to calculate</w:t>
      </w:r>
      <w:r w:rsidR="00A12C22" w:rsidRPr="00A12C22">
        <w:rPr>
          <w:rFonts w:cs="Times New Roman"/>
        </w:rPr>
        <w:t xml:space="preserve"> Survival Prediction Index (SPI2) score</w:t>
      </w:r>
      <w:r>
        <w:rPr>
          <w:rFonts w:cs="Times New Roman"/>
        </w:rPr>
        <w:t>?</w:t>
      </w:r>
    </w:p>
    <w:p w14:paraId="4AFABBA2" w14:textId="77777777" w:rsidR="00306A34" w:rsidRDefault="00306A34" w:rsidP="002C03A2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ind w:left="1080"/>
        <w:rPr>
          <w:rFonts w:cs="Times New Roman"/>
        </w:rPr>
      </w:pPr>
      <w:r>
        <w:rPr>
          <w:rFonts w:cs="Times New Roman"/>
        </w:rPr>
        <w:t>MAP</w:t>
      </w:r>
    </w:p>
    <w:p w14:paraId="0FFD1431" w14:textId="77777777" w:rsidR="00306A34" w:rsidRDefault="00306A34" w:rsidP="002C03A2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ind w:left="1080"/>
        <w:rPr>
          <w:rFonts w:cs="Times New Roman"/>
        </w:rPr>
      </w:pPr>
      <w:r>
        <w:rPr>
          <w:rFonts w:cs="Times New Roman"/>
        </w:rPr>
        <w:t>RR</w:t>
      </w:r>
    </w:p>
    <w:p w14:paraId="7AFC4336" w14:textId="77777777" w:rsidR="00306A34" w:rsidRDefault="00306A34" w:rsidP="002C03A2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ind w:left="1080"/>
        <w:rPr>
          <w:rFonts w:cs="Times New Roman"/>
        </w:rPr>
      </w:pPr>
      <w:r>
        <w:rPr>
          <w:rFonts w:cs="Times New Roman"/>
        </w:rPr>
        <w:t>Creatinine</w:t>
      </w:r>
    </w:p>
    <w:p w14:paraId="3AAB5D49" w14:textId="77777777" w:rsidR="00306A34" w:rsidRPr="0066390A" w:rsidRDefault="00306A34" w:rsidP="002C03A2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ind w:left="1080"/>
        <w:rPr>
          <w:rFonts w:cs="Times New Roman"/>
        </w:rPr>
      </w:pPr>
      <w:r w:rsidRPr="0066390A">
        <w:rPr>
          <w:rFonts w:cs="Times New Roman"/>
        </w:rPr>
        <w:t>HR</w:t>
      </w:r>
    </w:p>
    <w:p w14:paraId="5B269E4C" w14:textId="77777777" w:rsidR="00306A34" w:rsidRDefault="00306A34" w:rsidP="002C03A2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ind w:left="1080"/>
        <w:rPr>
          <w:rFonts w:cs="Times New Roman"/>
        </w:rPr>
      </w:pPr>
      <w:r>
        <w:rPr>
          <w:rFonts w:cs="Times New Roman"/>
        </w:rPr>
        <w:t>Albumin</w:t>
      </w:r>
    </w:p>
    <w:p w14:paraId="7393AF36" w14:textId="77777777" w:rsidR="00306A34" w:rsidRPr="00306A34" w:rsidRDefault="00306A34" w:rsidP="002C03A2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03B59026" w14:textId="77777777" w:rsidR="00A12C22" w:rsidRDefault="002C03A2" w:rsidP="002C03A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rPr>
          <w:rFonts w:cs="Times New Roman"/>
        </w:rPr>
      </w:pPr>
      <w:r>
        <w:rPr>
          <w:rFonts w:cs="Times New Roman"/>
        </w:rPr>
        <w:t>Which of the following variables were NOT found to be significant in the final model</w:t>
      </w:r>
    </w:p>
    <w:p w14:paraId="6767BA13" w14:textId="77777777" w:rsidR="002C03A2" w:rsidRDefault="002C03A2" w:rsidP="002C03A2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ind w:left="1080"/>
        <w:rPr>
          <w:rFonts w:cs="Times New Roman"/>
        </w:rPr>
      </w:pPr>
      <w:r>
        <w:rPr>
          <w:rFonts w:cs="Times New Roman"/>
        </w:rPr>
        <w:t>Timing of nutritional support</w:t>
      </w:r>
    </w:p>
    <w:p w14:paraId="115A548E" w14:textId="77777777" w:rsidR="002C03A2" w:rsidRPr="0066390A" w:rsidRDefault="002C03A2" w:rsidP="002C03A2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ind w:left="1080"/>
        <w:rPr>
          <w:rFonts w:cs="Times New Roman"/>
        </w:rPr>
      </w:pPr>
      <w:r w:rsidRPr="0066390A">
        <w:rPr>
          <w:rFonts w:cs="Times New Roman"/>
        </w:rPr>
        <w:t>SPI2 score</w:t>
      </w:r>
    </w:p>
    <w:p w14:paraId="516A8368" w14:textId="77777777" w:rsidR="002C03A2" w:rsidRDefault="002C03A2" w:rsidP="002C03A2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ind w:left="1080"/>
        <w:rPr>
          <w:rFonts w:cs="Times New Roman"/>
        </w:rPr>
      </w:pPr>
      <w:r>
        <w:rPr>
          <w:rFonts w:cs="Times New Roman"/>
        </w:rPr>
        <w:t>Presence of concurrent illness</w:t>
      </w:r>
    </w:p>
    <w:p w14:paraId="7E4012FB" w14:textId="77777777" w:rsidR="002C03A2" w:rsidRDefault="002C03A2" w:rsidP="002C03A2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ind w:left="1080"/>
        <w:rPr>
          <w:rFonts w:cs="Times New Roman"/>
        </w:rPr>
      </w:pPr>
      <w:r>
        <w:rPr>
          <w:rFonts w:cs="Times New Roman"/>
        </w:rPr>
        <w:t xml:space="preserve">Presence of nutrition related metabolic complications </w:t>
      </w:r>
    </w:p>
    <w:p w14:paraId="7B251E17" w14:textId="77777777" w:rsidR="002C03A2" w:rsidRDefault="002C03A2" w:rsidP="002C03A2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5A0062BF" w14:textId="77777777" w:rsidR="0066390A" w:rsidRDefault="0066390A" w:rsidP="0066390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rPr>
          <w:rFonts w:cs="Times New Roman"/>
        </w:rPr>
      </w:pPr>
      <w:r>
        <w:rPr>
          <w:rFonts w:cs="Times New Roman"/>
        </w:rPr>
        <w:t>In this study, which of the following was the most common cause of septic peritonitis?</w:t>
      </w:r>
    </w:p>
    <w:p w14:paraId="5BD9261B" w14:textId="77777777" w:rsidR="0066390A" w:rsidRDefault="0066390A" w:rsidP="0066390A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ind w:left="1080"/>
        <w:rPr>
          <w:rFonts w:cs="Times New Roman"/>
        </w:rPr>
      </w:pPr>
      <w:r>
        <w:rPr>
          <w:rFonts w:cs="Times New Roman"/>
        </w:rPr>
        <w:t>Call bladder rupture</w:t>
      </w:r>
    </w:p>
    <w:p w14:paraId="3497C927" w14:textId="77777777" w:rsidR="0066390A" w:rsidRDefault="0066390A" w:rsidP="0066390A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ind w:left="1080"/>
        <w:rPr>
          <w:rFonts w:cs="Times New Roman"/>
        </w:rPr>
      </w:pPr>
      <w:r>
        <w:rPr>
          <w:rFonts w:cs="Times New Roman"/>
        </w:rPr>
        <w:t>Dehiscence from post OVH</w:t>
      </w:r>
    </w:p>
    <w:p w14:paraId="3E0CB3DC" w14:textId="77777777" w:rsidR="0066390A" w:rsidRDefault="0066390A" w:rsidP="0066390A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ind w:left="1080"/>
        <w:rPr>
          <w:rFonts w:cs="Times New Roman"/>
        </w:rPr>
      </w:pPr>
      <w:r>
        <w:rPr>
          <w:rFonts w:cs="Times New Roman"/>
        </w:rPr>
        <w:t>GI ulceration and perforation</w:t>
      </w:r>
    </w:p>
    <w:p w14:paraId="085CDED5" w14:textId="77777777" w:rsidR="0066390A" w:rsidRDefault="0066390A" w:rsidP="0066390A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ind w:left="1080"/>
        <w:rPr>
          <w:rFonts w:cs="Times New Roman"/>
        </w:rPr>
      </w:pPr>
      <w:r w:rsidRPr="0066390A">
        <w:rPr>
          <w:rFonts w:cs="Times New Roman"/>
        </w:rPr>
        <w:t>GI FB obstruction</w:t>
      </w:r>
    </w:p>
    <w:p w14:paraId="6DDD5809" w14:textId="77777777" w:rsidR="0066390A" w:rsidRPr="0066390A" w:rsidRDefault="0066390A" w:rsidP="0066390A">
      <w:pPr>
        <w:pStyle w:val="ListParagraph"/>
        <w:widowControl w:val="0"/>
        <w:autoSpaceDE w:val="0"/>
        <w:autoSpaceDN w:val="0"/>
        <w:adjustRightInd w:val="0"/>
        <w:ind w:left="1080"/>
        <w:rPr>
          <w:rFonts w:cs="Times New Roman"/>
        </w:rPr>
      </w:pPr>
    </w:p>
    <w:p w14:paraId="5F87361F" w14:textId="77777777" w:rsidR="002C03A2" w:rsidRDefault="0066390A" w:rsidP="0066390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rPr>
          <w:rFonts w:cs="Times New Roman"/>
        </w:rPr>
      </w:pPr>
      <w:r>
        <w:rPr>
          <w:rFonts w:cs="Times New Roman"/>
        </w:rPr>
        <w:t>Which of the following were the most common metabolic complications to occur in these dogs?</w:t>
      </w:r>
    </w:p>
    <w:p w14:paraId="61342FFB" w14:textId="77777777" w:rsidR="0066390A" w:rsidRDefault="0066390A" w:rsidP="0066390A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ind w:left="1080"/>
        <w:rPr>
          <w:rFonts w:cs="Times New Roman"/>
        </w:rPr>
      </w:pPr>
      <w:r>
        <w:rPr>
          <w:rFonts w:cs="Times New Roman"/>
        </w:rPr>
        <w:t>Hyperglycemia and hypokalemia</w:t>
      </w:r>
    </w:p>
    <w:p w14:paraId="2A219F87" w14:textId="77777777" w:rsidR="0066390A" w:rsidRPr="0066390A" w:rsidRDefault="0066390A" w:rsidP="0066390A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ind w:left="1080"/>
        <w:rPr>
          <w:rFonts w:cs="Times New Roman"/>
        </w:rPr>
      </w:pPr>
      <w:r w:rsidRPr="0066390A">
        <w:rPr>
          <w:rFonts w:cs="Times New Roman"/>
        </w:rPr>
        <w:t xml:space="preserve">Hypokalemia and hypomagnesemia </w:t>
      </w:r>
    </w:p>
    <w:p w14:paraId="66F1D4BC" w14:textId="77777777" w:rsidR="0066390A" w:rsidRDefault="0066390A" w:rsidP="0066390A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ind w:left="1080"/>
        <w:rPr>
          <w:rFonts w:cs="Times New Roman"/>
        </w:rPr>
      </w:pPr>
      <w:r>
        <w:rPr>
          <w:rFonts w:cs="Times New Roman"/>
        </w:rPr>
        <w:t>Hypomagnesemia and hypophosphatemia</w:t>
      </w:r>
    </w:p>
    <w:p w14:paraId="667B1034" w14:textId="77777777" w:rsidR="0066390A" w:rsidRDefault="0066390A" w:rsidP="0066390A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ind w:left="1080"/>
        <w:rPr>
          <w:rFonts w:cs="Times New Roman"/>
        </w:rPr>
      </w:pPr>
      <w:r>
        <w:rPr>
          <w:rFonts w:cs="Times New Roman"/>
        </w:rPr>
        <w:t xml:space="preserve">Hypophosphatemia and Lipemia </w:t>
      </w:r>
    </w:p>
    <w:p w14:paraId="1A2987EA" w14:textId="77777777" w:rsidR="0066390A" w:rsidRPr="002C03A2" w:rsidRDefault="0066390A" w:rsidP="0066390A">
      <w:pPr>
        <w:pStyle w:val="ListParagraph"/>
        <w:widowControl w:val="0"/>
        <w:autoSpaceDE w:val="0"/>
        <w:autoSpaceDN w:val="0"/>
        <w:adjustRightInd w:val="0"/>
        <w:ind w:left="1080"/>
        <w:rPr>
          <w:rFonts w:cs="Times New Roman"/>
        </w:rPr>
      </w:pPr>
    </w:p>
    <w:p w14:paraId="464FDA7F" w14:textId="77777777" w:rsidR="002C03A2" w:rsidRDefault="0066390A" w:rsidP="0066390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ind w:left="360"/>
        <w:rPr>
          <w:rFonts w:cs="Times New Roman"/>
        </w:rPr>
      </w:pPr>
      <w:r>
        <w:rPr>
          <w:rFonts w:cs="Times New Roman"/>
        </w:rPr>
        <w:t xml:space="preserve">True or </w:t>
      </w:r>
      <w:r w:rsidRPr="0066390A">
        <w:rPr>
          <w:rFonts w:cs="Times New Roman"/>
        </w:rPr>
        <w:t>False</w:t>
      </w:r>
      <w:r>
        <w:rPr>
          <w:rFonts w:cs="Times New Roman"/>
        </w:rPr>
        <w:t>. Hypophosphatemia occurred in the EN and PN groups.</w:t>
      </w:r>
    </w:p>
    <w:p w14:paraId="007E26B6" w14:textId="77777777" w:rsidR="0066390A" w:rsidRDefault="0066390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029FCF2A" w14:textId="77777777" w:rsidR="0066390A" w:rsidRDefault="0066390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47DB36D4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3FD34DAD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2857AB3C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4650D7EA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267811EA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6753F2AE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1A91F1A7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6BF0517B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7D72D643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3992CED6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5015C361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6DF53FB2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7499793C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3ECCF074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57315D25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1BCF2777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7529BD98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5D5B675A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1698E0B5" w14:textId="77777777" w:rsidR="007D6B3A" w:rsidRDefault="007D6B3A" w:rsidP="0066390A">
      <w:pPr>
        <w:widowControl w:val="0"/>
        <w:autoSpaceDE w:val="0"/>
        <w:autoSpaceDN w:val="0"/>
        <w:adjustRightInd w:val="0"/>
        <w:rPr>
          <w:rFonts w:cs="Times New Roman"/>
          <w:i/>
        </w:rPr>
      </w:pPr>
    </w:p>
    <w:p w14:paraId="01F140A5" w14:textId="77777777" w:rsidR="0066390A" w:rsidRPr="0066390A" w:rsidRDefault="0066390A" w:rsidP="0066390A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66390A">
        <w:rPr>
          <w:rFonts w:cs="Times New Roman"/>
          <w:u w:val="single"/>
        </w:rPr>
        <w:lastRenderedPageBreak/>
        <w:t>Questions and Answers</w:t>
      </w:r>
    </w:p>
    <w:p w14:paraId="1F49B8F5" w14:textId="77777777" w:rsidR="0066390A" w:rsidRPr="0066390A" w:rsidRDefault="0066390A" w:rsidP="0066390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left="360"/>
        <w:rPr>
          <w:rFonts w:cs="Times New Roman"/>
        </w:rPr>
      </w:pPr>
      <w:r w:rsidRPr="0066390A">
        <w:rPr>
          <w:rFonts w:cs="Times New Roman"/>
          <w:b/>
        </w:rPr>
        <w:t>True</w:t>
      </w:r>
      <w:r w:rsidRPr="0066390A">
        <w:rPr>
          <w:rFonts w:cs="Times New Roman"/>
        </w:rPr>
        <w:t xml:space="preserve"> or False. EN is generally recommended first for its beneficial effect on integrity of gut mucosa. </w:t>
      </w:r>
    </w:p>
    <w:p w14:paraId="6A495FA0" w14:textId="77777777" w:rsidR="0066390A" w:rsidRDefault="0066390A" w:rsidP="0066390A">
      <w:pPr>
        <w:pStyle w:val="ListParagraph"/>
        <w:widowControl w:val="0"/>
        <w:autoSpaceDE w:val="0"/>
        <w:autoSpaceDN w:val="0"/>
        <w:adjustRightInd w:val="0"/>
        <w:ind w:left="0"/>
        <w:rPr>
          <w:rFonts w:cs="Times New Roman"/>
        </w:rPr>
      </w:pPr>
    </w:p>
    <w:p w14:paraId="1BE67F0E" w14:textId="77777777" w:rsidR="0066390A" w:rsidRDefault="0066390A" w:rsidP="0066390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left="360"/>
        <w:rPr>
          <w:rFonts w:cs="Times New Roman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2A9000" wp14:editId="5AE33A8C">
                <wp:simplePos x="0" y="0"/>
                <wp:positionH relativeFrom="column">
                  <wp:posOffset>3200400</wp:posOffset>
                </wp:positionH>
                <wp:positionV relativeFrom="paragraph">
                  <wp:posOffset>298450</wp:posOffset>
                </wp:positionV>
                <wp:extent cx="1943100" cy="117094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170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1F0A" w14:textId="77777777" w:rsidR="009636A2" w:rsidRDefault="009636A2" w:rsidP="0066390A">
                            <w:r w:rsidRPr="00306A34">
                              <w:drawing>
                                <wp:inline distT="0" distB="0" distL="0" distR="0" wp14:anchorId="79DB8BEB" wp14:editId="7693B67F">
                                  <wp:extent cx="1710983" cy="972582"/>
                                  <wp:effectExtent l="25400" t="25400" r="16510" b="1841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1744" cy="9730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2pt;margin-top:23.5pt;width:153pt;height:92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" filled="f" stroked="f">
                <v:textbox>
                  <w:txbxContent>
                    <w:p w14:paraId="61D91F0A" w14:textId="77777777" w:rsidR="009636A2" w:rsidRDefault="009636A2" w:rsidP="0066390A">
                      <w:r w:rsidRPr="00306A34">
                        <w:drawing>
                          <wp:inline distT="0" distB="0" distL="0" distR="0" wp14:anchorId="79DB8BEB" wp14:editId="7693B67F">
                            <wp:extent cx="1710983" cy="972582"/>
                            <wp:effectExtent l="25400" t="25400" r="16510" b="1841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1744" cy="9730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Times New Roman"/>
        </w:rPr>
        <w:t>Which of the following is not included in the formula used to calculate</w:t>
      </w:r>
      <w:r w:rsidRPr="00A12C22">
        <w:rPr>
          <w:rFonts w:cs="Times New Roman"/>
        </w:rPr>
        <w:t xml:space="preserve"> Survival Prediction Index (SPI2) score</w:t>
      </w:r>
      <w:r>
        <w:rPr>
          <w:rFonts w:cs="Times New Roman"/>
        </w:rPr>
        <w:t>?</w:t>
      </w:r>
    </w:p>
    <w:p w14:paraId="74A4EE36" w14:textId="77777777" w:rsidR="0066390A" w:rsidRDefault="0066390A" w:rsidP="0066390A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ind w:left="1080"/>
        <w:rPr>
          <w:rFonts w:cs="Times New Roman"/>
        </w:rPr>
      </w:pPr>
      <w:r>
        <w:rPr>
          <w:rFonts w:cs="Times New Roman"/>
        </w:rPr>
        <w:t>MAP</w:t>
      </w:r>
    </w:p>
    <w:p w14:paraId="76537B4F" w14:textId="77777777" w:rsidR="0066390A" w:rsidRDefault="0066390A" w:rsidP="0066390A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ind w:left="1080"/>
        <w:rPr>
          <w:rFonts w:cs="Times New Roman"/>
        </w:rPr>
      </w:pPr>
      <w:r w:rsidRPr="0066390A">
        <w:rPr>
          <w:rFonts w:cs="Times New Roman"/>
        </w:rPr>
        <w:t>RR</w:t>
      </w:r>
    </w:p>
    <w:p w14:paraId="7BAE82E7" w14:textId="77777777" w:rsidR="0066390A" w:rsidRDefault="0066390A" w:rsidP="0066390A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ind w:left="1080"/>
        <w:rPr>
          <w:rFonts w:cs="Times New Roman"/>
        </w:rPr>
      </w:pPr>
      <w:r w:rsidRPr="0066390A">
        <w:rPr>
          <w:rFonts w:cs="Times New Roman"/>
        </w:rPr>
        <w:t>Creatinine</w:t>
      </w:r>
    </w:p>
    <w:p w14:paraId="70E0C5D6" w14:textId="77777777" w:rsidR="0066390A" w:rsidRPr="0066390A" w:rsidRDefault="0066390A" w:rsidP="0066390A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ind w:left="1080"/>
        <w:rPr>
          <w:rFonts w:cs="Times New Roman"/>
        </w:rPr>
      </w:pPr>
      <w:r w:rsidRPr="0066390A">
        <w:rPr>
          <w:rFonts w:cs="Times New Roman"/>
          <w:b/>
        </w:rPr>
        <w:t>HR</w:t>
      </w:r>
    </w:p>
    <w:p w14:paraId="7A128E90" w14:textId="77777777" w:rsidR="0066390A" w:rsidRPr="0066390A" w:rsidRDefault="0066390A" w:rsidP="0066390A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ind w:left="1080"/>
        <w:rPr>
          <w:rFonts w:cs="Times New Roman"/>
        </w:rPr>
      </w:pPr>
      <w:r w:rsidRPr="0066390A">
        <w:rPr>
          <w:rFonts w:cs="Times New Roman"/>
        </w:rPr>
        <w:t>Albumin</w:t>
      </w:r>
    </w:p>
    <w:p w14:paraId="34F412D7" w14:textId="77777777" w:rsidR="0066390A" w:rsidRDefault="0066390A" w:rsidP="0066390A">
      <w:pPr>
        <w:widowControl w:val="0"/>
        <w:autoSpaceDE w:val="0"/>
        <w:autoSpaceDN w:val="0"/>
        <w:adjustRightInd w:val="0"/>
        <w:ind w:left="852" w:hanging="426"/>
        <w:rPr>
          <w:rFonts w:cs="Times New Roman"/>
          <w:i/>
        </w:rPr>
      </w:pPr>
      <w:r>
        <w:rPr>
          <w:rFonts w:cs="Times New Roman"/>
          <w:i/>
        </w:rPr>
        <w:t xml:space="preserve">Mean SPI2 of 45 dogs in the study was </w:t>
      </w:r>
    </w:p>
    <w:p w14:paraId="12838492" w14:textId="77777777" w:rsidR="0066390A" w:rsidRPr="00306A34" w:rsidRDefault="0066390A" w:rsidP="0066390A">
      <w:pPr>
        <w:widowControl w:val="0"/>
        <w:autoSpaceDE w:val="0"/>
        <w:autoSpaceDN w:val="0"/>
        <w:adjustRightInd w:val="0"/>
        <w:ind w:left="852" w:hanging="426"/>
        <w:rPr>
          <w:rFonts w:cs="Times New Roman"/>
          <w:i/>
        </w:rPr>
      </w:pPr>
      <w:r>
        <w:rPr>
          <w:rFonts w:cs="Times New Roman"/>
          <w:i/>
        </w:rPr>
        <w:t>0.84 (range 0.521-0.959)</w:t>
      </w:r>
    </w:p>
    <w:p w14:paraId="5A818CEF" w14:textId="77777777" w:rsidR="0066390A" w:rsidRPr="00306A34" w:rsidRDefault="0066390A" w:rsidP="0066390A">
      <w:pPr>
        <w:widowControl w:val="0"/>
        <w:autoSpaceDE w:val="0"/>
        <w:autoSpaceDN w:val="0"/>
        <w:adjustRightInd w:val="0"/>
        <w:ind w:left="426" w:hanging="426"/>
        <w:rPr>
          <w:rFonts w:cs="Times New Roman"/>
        </w:rPr>
      </w:pPr>
    </w:p>
    <w:p w14:paraId="370899FF" w14:textId="77777777" w:rsidR="0066390A" w:rsidRDefault="0066390A" w:rsidP="0066390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left="426" w:hanging="426"/>
        <w:rPr>
          <w:rFonts w:cs="Times New Roman"/>
        </w:rPr>
      </w:pPr>
      <w:r>
        <w:rPr>
          <w:rFonts w:cs="Times New Roman"/>
        </w:rPr>
        <w:t>Which of the following variables were NOT found to be significant in the final model</w:t>
      </w:r>
    </w:p>
    <w:p w14:paraId="60089810" w14:textId="77777777" w:rsidR="0066390A" w:rsidRDefault="0066390A" w:rsidP="0066390A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ind w:left="852" w:hanging="426"/>
        <w:rPr>
          <w:rFonts w:cs="Times New Roman"/>
        </w:rPr>
      </w:pPr>
      <w:r>
        <w:rPr>
          <w:rFonts w:cs="Times New Roman"/>
        </w:rPr>
        <w:t>Timing of nutritional support</w:t>
      </w:r>
    </w:p>
    <w:p w14:paraId="44BE8224" w14:textId="77777777" w:rsidR="0066390A" w:rsidRPr="002C03A2" w:rsidRDefault="0066390A" w:rsidP="0066390A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ind w:left="852" w:hanging="426"/>
        <w:rPr>
          <w:rFonts w:cs="Times New Roman"/>
          <w:b/>
        </w:rPr>
      </w:pPr>
      <w:r>
        <w:rPr>
          <w:rFonts w:cs="Times New Roman"/>
          <w:b/>
        </w:rPr>
        <w:t>SPI2 score</w:t>
      </w:r>
    </w:p>
    <w:p w14:paraId="5B93813C" w14:textId="77777777" w:rsidR="0066390A" w:rsidRDefault="0066390A" w:rsidP="0066390A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ind w:left="852" w:hanging="426"/>
        <w:rPr>
          <w:rFonts w:cs="Times New Roman"/>
        </w:rPr>
      </w:pPr>
      <w:r>
        <w:rPr>
          <w:rFonts w:cs="Times New Roman"/>
        </w:rPr>
        <w:t>Presence of concurrent illness</w:t>
      </w:r>
    </w:p>
    <w:p w14:paraId="44D1B2B0" w14:textId="77777777" w:rsidR="0066390A" w:rsidRDefault="0066390A" w:rsidP="0066390A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ind w:left="852" w:hanging="426"/>
        <w:rPr>
          <w:rFonts w:cs="Times New Roman"/>
        </w:rPr>
      </w:pPr>
      <w:r>
        <w:rPr>
          <w:rFonts w:cs="Times New Roman"/>
        </w:rPr>
        <w:t xml:space="preserve">Presence of nutrition related metabolic complications </w:t>
      </w:r>
    </w:p>
    <w:p w14:paraId="3BC0E640" w14:textId="77777777" w:rsidR="0066390A" w:rsidRDefault="0066390A" w:rsidP="0066390A">
      <w:pPr>
        <w:widowControl w:val="0"/>
        <w:autoSpaceDE w:val="0"/>
        <w:autoSpaceDN w:val="0"/>
        <w:adjustRightInd w:val="0"/>
        <w:ind w:left="852" w:hanging="426"/>
        <w:rPr>
          <w:rFonts w:cs="Times New Roman"/>
        </w:rPr>
      </w:pPr>
    </w:p>
    <w:p w14:paraId="724DF6B2" w14:textId="77777777" w:rsidR="0066390A" w:rsidRDefault="0066390A" w:rsidP="0066390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left="426" w:hanging="426"/>
        <w:rPr>
          <w:rFonts w:cs="Times New Roman"/>
        </w:rPr>
      </w:pPr>
      <w:r>
        <w:rPr>
          <w:rFonts w:cs="Times New Roman"/>
        </w:rPr>
        <w:t>In this study, which of the following was the most common cause of septic peritonitis?</w:t>
      </w:r>
    </w:p>
    <w:p w14:paraId="33FDF583" w14:textId="77777777" w:rsidR="0066390A" w:rsidRPr="0066390A" w:rsidRDefault="0066390A" w:rsidP="006639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</w:rPr>
      </w:pPr>
      <w:r w:rsidRPr="0066390A">
        <w:rPr>
          <w:rFonts w:cs="Times New Roman"/>
        </w:rPr>
        <w:t>Call bladder rupture</w:t>
      </w:r>
    </w:p>
    <w:p w14:paraId="30C07D54" w14:textId="77777777" w:rsidR="0066390A" w:rsidRPr="0066390A" w:rsidRDefault="0066390A" w:rsidP="006639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</w:rPr>
      </w:pPr>
      <w:r w:rsidRPr="0066390A">
        <w:rPr>
          <w:rFonts w:cs="Times New Roman"/>
        </w:rPr>
        <w:t>Dehiscence from post OVH</w:t>
      </w:r>
    </w:p>
    <w:p w14:paraId="6394D814" w14:textId="77777777" w:rsidR="0066390A" w:rsidRPr="0066390A" w:rsidRDefault="0066390A" w:rsidP="006639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</w:rPr>
      </w:pPr>
      <w:r w:rsidRPr="0066390A">
        <w:rPr>
          <w:rFonts w:cs="Times New Roman"/>
        </w:rPr>
        <w:t>GI ulceration and perforation</w:t>
      </w:r>
    </w:p>
    <w:p w14:paraId="60326BED" w14:textId="77777777" w:rsidR="0066390A" w:rsidRPr="0066390A" w:rsidRDefault="0066390A" w:rsidP="0066390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Times New Roman"/>
          <w:b/>
        </w:rPr>
      </w:pPr>
      <w:r w:rsidRPr="0066390A">
        <w:rPr>
          <w:rFonts w:cs="Times New Roman"/>
          <w:b/>
        </w:rPr>
        <w:t>GI FB obstruction</w:t>
      </w:r>
    </w:p>
    <w:p w14:paraId="09635C2F" w14:textId="77777777" w:rsidR="0066390A" w:rsidRDefault="0066390A" w:rsidP="0066390A">
      <w:pPr>
        <w:pStyle w:val="ListParagraph"/>
        <w:widowControl w:val="0"/>
        <w:autoSpaceDE w:val="0"/>
        <w:autoSpaceDN w:val="0"/>
        <w:adjustRightInd w:val="0"/>
        <w:ind w:left="426" w:hanging="426"/>
        <w:rPr>
          <w:rFonts w:cs="Times New Roman"/>
        </w:rPr>
      </w:pPr>
    </w:p>
    <w:p w14:paraId="43D43EEE" w14:textId="77777777" w:rsidR="0066390A" w:rsidRDefault="0066390A" w:rsidP="0066390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left="426" w:hanging="426"/>
        <w:rPr>
          <w:rFonts w:cs="Times New Roman"/>
        </w:rPr>
      </w:pPr>
      <w:r>
        <w:rPr>
          <w:rFonts w:cs="Times New Roman"/>
        </w:rPr>
        <w:t>Which of the following were the most common metabolic complications to occur in these dogs?</w:t>
      </w:r>
    </w:p>
    <w:p w14:paraId="407F11B8" w14:textId="77777777" w:rsidR="0066390A" w:rsidRDefault="0066390A" w:rsidP="0066390A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ind w:left="852" w:hanging="426"/>
        <w:rPr>
          <w:rFonts w:cs="Times New Roman"/>
        </w:rPr>
      </w:pPr>
      <w:r>
        <w:rPr>
          <w:rFonts w:cs="Times New Roman"/>
        </w:rPr>
        <w:t>Hyperglycemia and hypokalemia</w:t>
      </w:r>
    </w:p>
    <w:p w14:paraId="65D790D7" w14:textId="77777777" w:rsidR="0066390A" w:rsidRPr="0066390A" w:rsidRDefault="0066390A" w:rsidP="0066390A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ind w:left="852" w:hanging="426"/>
        <w:rPr>
          <w:rFonts w:cs="Times New Roman"/>
          <w:b/>
        </w:rPr>
      </w:pPr>
      <w:r w:rsidRPr="0066390A">
        <w:rPr>
          <w:rFonts w:cs="Times New Roman"/>
          <w:b/>
        </w:rPr>
        <w:t xml:space="preserve">Hypokalemia and hypomagnesemia </w:t>
      </w:r>
    </w:p>
    <w:p w14:paraId="19DC6F82" w14:textId="77777777" w:rsidR="0066390A" w:rsidRDefault="0066390A" w:rsidP="0066390A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ind w:left="852" w:hanging="426"/>
        <w:rPr>
          <w:rFonts w:cs="Times New Roman"/>
        </w:rPr>
      </w:pPr>
      <w:r>
        <w:rPr>
          <w:rFonts w:cs="Times New Roman"/>
        </w:rPr>
        <w:t>Hypomagnesemia and hypophosphatemia</w:t>
      </w:r>
    </w:p>
    <w:p w14:paraId="38AE9B2E" w14:textId="77777777" w:rsidR="0066390A" w:rsidRDefault="0066390A" w:rsidP="0066390A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ind w:left="852" w:hanging="426"/>
        <w:rPr>
          <w:rFonts w:cs="Times New Roman"/>
        </w:rPr>
      </w:pPr>
      <w:r>
        <w:rPr>
          <w:rFonts w:cs="Times New Roman"/>
        </w:rPr>
        <w:t xml:space="preserve">Hypophosphatemia and Lipemia </w:t>
      </w:r>
    </w:p>
    <w:p w14:paraId="1D83FC18" w14:textId="77777777" w:rsidR="0066390A" w:rsidRPr="002C03A2" w:rsidRDefault="0066390A" w:rsidP="0066390A">
      <w:pPr>
        <w:pStyle w:val="ListParagraph"/>
        <w:widowControl w:val="0"/>
        <w:autoSpaceDE w:val="0"/>
        <w:autoSpaceDN w:val="0"/>
        <w:adjustRightInd w:val="0"/>
        <w:ind w:left="852" w:hanging="426"/>
        <w:rPr>
          <w:rFonts w:cs="Times New Roman"/>
        </w:rPr>
      </w:pPr>
    </w:p>
    <w:p w14:paraId="6B6AEA06" w14:textId="77777777" w:rsidR="0066390A" w:rsidRDefault="0066390A" w:rsidP="0066390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ind w:left="426" w:hanging="426"/>
        <w:rPr>
          <w:rFonts w:cs="Times New Roman"/>
        </w:rPr>
      </w:pPr>
      <w:r>
        <w:rPr>
          <w:rFonts w:cs="Times New Roman"/>
        </w:rPr>
        <w:t xml:space="preserve">True or </w:t>
      </w:r>
      <w:r w:rsidRPr="0066390A">
        <w:rPr>
          <w:rFonts w:cs="Times New Roman"/>
          <w:b/>
        </w:rPr>
        <w:t>False</w:t>
      </w:r>
      <w:r>
        <w:rPr>
          <w:rFonts w:cs="Times New Roman"/>
        </w:rPr>
        <w:t>. Hypophosphatemia occurred in the EN and PN groups.</w:t>
      </w:r>
    </w:p>
    <w:p w14:paraId="7FA0E90E" w14:textId="77777777" w:rsidR="0066390A" w:rsidRPr="0066390A" w:rsidRDefault="0066390A" w:rsidP="0066390A">
      <w:pPr>
        <w:widowControl w:val="0"/>
        <w:autoSpaceDE w:val="0"/>
        <w:autoSpaceDN w:val="0"/>
        <w:adjustRightInd w:val="0"/>
        <w:ind w:left="852" w:hanging="426"/>
        <w:rPr>
          <w:rFonts w:cs="Times New Roman"/>
          <w:i/>
        </w:rPr>
      </w:pPr>
      <w:r>
        <w:rPr>
          <w:rFonts w:cs="Times New Roman"/>
          <w:i/>
        </w:rPr>
        <w:t>Only in enteral groups</w:t>
      </w:r>
    </w:p>
    <w:p w14:paraId="5B19A81C" w14:textId="77777777" w:rsidR="0066390A" w:rsidRDefault="0066390A" w:rsidP="0066390A">
      <w:pPr>
        <w:widowControl w:val="0"/>
        <w:autoSpaceDE w:val="0"/>
        <w:autoSpaceDN w:val="0"/>
        <w:adjustRightInd w:val="0"/>
        <w:ind w:left="426" w:hanging="426"/>
        <w:rPr>
          <w:rFonts w:cs="Times New Roman"/>
        </w:rPr>
      </w:pPr>
    </w:p>
    <w:p w14:paraId="025314EA" w14:textId="77777777" w:rsidR="0066390A" w:rsidRPr="002C03A2" w:rsidRDefault="0066390A" w:rsidP="0066390A">
      <w:pPr>
        <w:widowControl w:val="0"/>
        <w:autoSpaceDE w:val="0"/>
        <w:autoSpaceDN w:val="0"/>
        <w:adjustRightInd w:val="0"/>
        <w:ind w:left="426" w:hanging="426"/>
        <w:rPr>
          <w:rFonts w:cs="Times New Roman"/>
        </w:rPr>
      </w:pPr>
    </w:p>
    <w:p w14:paraId="48560736" w14:textId="77777777" w:rsidR="0066390A" w:rsidRPr="0066390A" w:rsidRDefault="0066390A" w:rsidP="0066390A">
      <w:pPr>
        <w:widowControl w:val="0"/>
        <w:autoSpaceDE w:val="0"/>
        <w:autoSpaceDN w:val="0"/>
        <w:adjustRightInd w:val="0"/>
        <w:ind w:left="426" w:hanging="426"/>
        <w:rPr>
          <w:rFonts w:cs="Times New Roman"/>
          <w:i/>
        </w:rPr>
      </w:pPr>
    </w:p>
    <w:p w14:paraId="275F70EC" w14:textId="77777777" w:rsidR="002C03A2" w:rsidRDefault="002C03A2" w:rsidP="0066390A">
      <w:pPr>
        <w:widowControl w:val="0"/>
        <w:autoSpaceDE w:val="0"/>
        <w:autoSpaceDN w:val="0"/>
        <w:adjustRightInd w:val="0"/>
        <w:ind w:left="426" w:hanging="426"/>
        <w:rPr>
          <w:rFonts w:cs="Times New Roman"/>
        </w:rPr>
      </w:pPr>
    </w:p>
    <w:p w14:paraId="137BD119" w14:textId="77777777" w:rsidR="002C03A2" w:rsidRDefault="002C03A2" w:rsidP="0066390A">
      <w:pPr>
        <w:widowControl w:val="0"/>
        <w:autoSpaceDE w:val="0"/>
        <w:autoSpaceDN w:val="0"/>
        <w:adjustRightInd w:val="0"/>
        <w:ind w:left="426" w:hanging="426"/>
        <w:rPr>
          <w:rFonts w:cs="Times New Roman"/>
        </w:rPr>
      </w:pPr>
    </w:p>
    <w:p w14:paraId="10116AE0" w14:textId="77777777" w:rsidR="007D6B3A" w:rsidRDefault="007D6B3A" w:rsidP="0066390A">
      <w:pPr>
        <w:widowControl w:val="0"/>
        <w:autoSpaceDE w:val="0"/>
        <w:autoSpaceDN w:val="0"/>
        <w:adjustRightInd w:val="0"/>
        <w:ind w:left="426" w:hanging="426"/>
        <w:rPr>
          <w:rFonts w:cs="Times New Roman"/>
        </w:rPr>
      </w:pPr>
    </w:p>
    <w:p w14:paraId="073DCF19" w14:textId="77777777" w:rsidR="007D6B3A" w:rsidRDefault="007D6B3A" w:rsidP="0066390A">
      <w:pPr>
        <w:widowControl w:val="0"/>
        <w:autoSpaceDE w:val="0"/>
        <w:autoSpaceDN w:val="0"/>
        <w:adjustRightInd w:val="0"/>
        <w:ind w:left="426" w:hanging="426"/>
        <w:rPr>
          <w:rFonts w:cs="Times New Roman"/>
        </w:rPr>
      </w:pPr>
    </w:p>
    <w:p w14:paraId="693E9CA4" w14:textId="77777777" w:rsidR="007D6B3A" w:rsidRDefault="007D6B3A" w:rsidP="0066390A">
      <w:pPr>
        <w:widowControl w:val="0"/>
        <w:autoSpaceDE w:val="0"/>
        <w:autoSpaceDN w:val="0"/>
        <w:adjustRightInd w:val="0"/>
        <w:ind w:left="426" w:hanging="426"/>
        <w:rPr>
          <w:rFonts w:cs="Times New Roman"/>
        </w:rPr>
      </w:pPr>
    </w:p>
    <w:p w14:paraId="220C2003" w14:textId="77777777" w:rsidR="007D6B3A" w:rsidRDefault="007D6B3A" w:rsidP="0066390A">
      <w:pPr>
        <w:widowControl w:val="0"/>
        <w:autoSpaceDE w:val="0"/>
        <w:autoSpaceDN w:val="0"/>
        <w:adjustRightInd w:val="0"/>
        <w:ind w:left="426" w:hanging="426"/>
        <w:rPr>
          <w:rFonts w:cs="Times New Roman"/>
        </w:rPr>
      </w:pPr>
    </w:p>
    <w:p w14:paraId="4634E42A" w14:textId="77777777" w:rsidR="007D6B3A" w:rsidRDefault="007D6B3A" w:rsidP="0066390A">
      <w:pPr>
        <w:widowControl w:val="0"/>
        <w:autoSpaceDE w:val="0"/>
        <w:autoSpaceDN w:val="0"/>
        <w:adjustRightInd w:val="0"/>
        <w:ind w:left="426" w:hanging="426"/>
        <w:rPr>
          <w:rFonts w:cs="Times New Roman"/>
        </w:rPr>
      </w:pPr>
    </w:p>
    <w:p w14:paraId="7621E743" w14:textId="77777777" w:rsidR="007D6B3A" w:rsidRDefault="007D6B3A" w:rsidP="0066390A">
      <w:pPr>
        <w:widowControl w:val="0"/>
        <w:autoSpaceDE w:val="0"/>
        <w:autoSpaceDN w:val="0"/>
        <w:adjustRightInd w:val="0"/>
        <w:ind w:left="426" w:hanging="426"/>
        <w:rPr>
          <w:rFonts w:cs="Times New Roman"/>
        </w:rPr>
      </w:pPr>
    </w:p>
    <w:p w14:paraId="0DB1E489" w14:textId="77777777" w:rsidR="007D6B3A" w:rsidRDefault="007D6B3A" w:rsidP="0066390A">
      <w:pPr>
        <w:widowControl w:val="0"/>
        <w:autoSpaceDE w:val="0"/>
        <w:autoSpaceDN w:val="0"/>
        <w:adjustRightInd w:val="0"/>
        <w:ind w:left="426" w:hanging="426"/>
        <w:rPr>
          <w:rFonts w:cs="Times New Roman"/>
        </w:rPr>
      </w:pPr>
    </w:p>
    <w:p w14:paraId="7C992486" w14:textId="77777777" w:rsidR="007D6B3A" w:rsidRDefault="007D6B3A" w:rsidP="0066390A">
      <w:pPr>
        <w:widowControl w:val="0"/>
        <w:autoSpaceDE w:val="0"/>
        <w:autoSpaceDN w:val="0"/>
        <w:adjustRightInd w:val="0"/>
        <w:ind w:left="426" w:hanging="426"/>
        <w:rPr>
          <w:rFonts w:cs="Times New Roman"/>
        </w:rPr>
      </w:pPr>
    </w:p>
    <w:p w14:paraId="1A1B10D5" w14:textId="77777777" w:rsidR="007D6B3A" w:rsidRDefault="007D6B3A" w:rsidP="0066390A">
      <w:pPr>
        <w:widowControl w:val="0"/>
        <w:autoSpaceDE w:val="0"/>
        <w:autoSpaceDN w:val="0"/>
        <w:adjustRightInd w:val="0"/>
        <w:ind w:left="426" w:hanging="426"/>
        <w:rPr>
          <w:rFonts w:cs="Times New Roman"/>
        </w:rPr>
      </w:pPr>
    </w:p>
    <w:p w14:paraId="1B618170" w14:textId="77777777" w:rsidR="007D6B3A" w:rsidRDefault="007D6B3A" w:rsidP="0066390A">
      <w:pPr>
        <w:widowControl w:val="0"/>
        <w:autoSpaceDE w:val="0"/>
        <w:autoSpaceDN w:val="0"/>
        <w:adjustRightInd w:val="0"/>
        <w:ind w:left="426" w:hanging="426"/>
        <w:rPr>
          <w:rFonts w:cs="Times New Roman"/>
        </w:rPr>
      </w:pPr>
    </w:p>
    <w:p w14:paraId="06AF7929" w14:textId="77777777" w:rsidR="007D6B3A" w:rsidRDefault="007D6B3A" w:rsidP="0066390A">
      <w:pPr>
        <w:widowControl w:val="0"/>
        <w:autoSpaceDE w:val="0"/>
        <w:autoSpaceDN w:val="0"/>
        <w:adjustRightInd w:val="0"/>
        <w:ind w:left="426" w:hanging="426"/>
        <w:rPr>
          <w:rFonts w:cs="Times New Roman"/>
        </w:rPr>
      </w:pPr>
    </w:p>
    <w:p w14:paraId="14C7DAB6" w14:textId="77777777" w:rsidR="007D6B3A" w:rsidRDefault="007D6B3A" w:rsidP="0066390A">
      <w:pPr>
        <w:widowControl w:val="0"/>
        <w:autoSpaceDE w:val="0"/>
        <w:autoSpaceDN w:val="0"/>
        <w:adjustRightInd w:val="0"/>
        <w:ind w:left="426" w:hanging="426"/>
        <w:rPr>
          <w:rFonts w:cs="Times New Roman"/>
        </w:rPr>
      </w:pPr>
    </w:p>
    <w:p w14:paraId="521E302A" w14:textId="77777777" w:rsidR="006B0F1B" w:rsidRPr="002C03A2" w:rsidRDefault="006B0F1B" w:rsidP="000B0E74">
      <w:pPr>
        <w:widowControl w:val="0"/>
        <w:autoSpaceDE w:val="0"/>
        <w:autoSpaceDN w:val="0"/>
        <w:adjustRightInd w:val="0"/>
        <w:rPr>
          <w:rFonts w:cs="Times New Roman"/>
        </w:rPr>
      </w:pPr>
    </w:p>
    <w:sectPr w:rsidR="006B0F1B" w:rsidRPr="002C03A2" w:rsidSect="0066390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1EF9"/>
    <w:multiLevelType w:val="hybridMultilevel"/>
    <w:tmpl w:val="BE5C69F2"/>
    <w:lvl w:ilvl="0" w:tplc="F6388E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F2F13"/>
    <w:multiLevelType w:val="hybridMultilevel"/>
    <w:tmpl w:val="3D7408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855B6B"/>
    <w:multiLevelType w:val="hybridMultilevel"/>
    <w:tmpl w:val="DEE4720C"/>
    <w:lvl w:ilvl="0" w:tplc="93A6BF5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0723EA"/>
    <w:multiLevelType w:val="hybridMultilevel"/>
    <w:tmpl w:val="D9AE8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1563C"/>
    <w:multiLevelType w:val="hybridMultilevel"/>
    <w:tmpl w:val="F4B677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3BC312A"/>
    <w:multiLevelType w:val="hybridMultilevel"/>
    <w:tmpl w:val="850EF7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6B7230D"/>
    <w:multiLevelType w:val="hybridMultilevel"/>
    <w:tmpl w:val="AC8609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7216DEC"/>
    <w:multiLevelType w:val="hybridMultilevel"/>
    <w:tmpl w:val="AF6AEF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BD33A3"/>
    <w:multiLevelType w:val="hybridMultilevel"/>
    <w:tmpl w:val="6CD8F3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A5B3765"/>
    <w:multiLevelType w:val="hybridMultilevel"/>
    <w:tmpl w:val="9FC847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2"/>
  </w:num>
  <w:num w:numId="7">
    <w:abstractNumId w:val="9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C22"/>
    <w:rsid w:val="00035A49"/>
    <w:rsid w:val="000B0E74"/>
    <w:rsid w:val="002C03A2"/>
    <w:rsid w:val="00306A34"/>
    <w:rsid w:val="00431B00"/>
    <w:rsid w:val="00496744"/>
    <w:rsid w:val="004A4376"/>
    <w:rsid w:val="0066390A"/>
    <w:rsid w:val="006B0F1B"/>
    <w:rsid w:val="007D6B3A"/>
    <w:rsid w:val="00826388"/>
    <w:rsid w:val="009636A2"/>
    <w:rsid w:val="00A12C22"/>
    <w:rsid w:val="00AD789B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05C33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C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6A3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34"/>
    <w:rPr>
      <w:rFonts w:ascii="Lucida Grande" w:hAnsi="Lucida Grande" w:cs="Lucida Grande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7D6B3A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C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6A3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34"/>
    <w:rPr>
      <w:rFonts w:ascii="Lucida Grande" w:hAnsi="Lucida Grande" w:cs="Lucida Grande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7D6B3A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740</Words>
  <Characters>4224</Characters>
  <Application>Microsoft Macintosh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2</cp:revision>
  <dcterms:created xsi:type="dcterms:W3CDTF">2014-08-03T12:40:00Z</dcterms:created>
  <dcterms:modified xsi:type="dcterms:W3CDTF">2014-08-03T15:41:00Z</dcterms:modified>
</cp:coreProperties>
</file>