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92FF8" w14:textId="77777777" w:rsidR="009C411F" w:rsidRDefault="00964FF6">
      <w:r>
        <w:rPr>
          <w:noProof/>
          <w:lang w:val="fr-FR"/>
        </w:rPr>
        <w:drawing>
          <wp:inline distT="0" distB="0" distL="0" distR="0" wp14:anchorId="296E77C2" wp14:editId="765099FE">
            <wp:extent cx="3247402" cy="624102"/>
            <wp:effectExtent l="0" t="0" r="3810" b="1143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111"/>
                    <a:stretch/>
                  </pic:blipFill>
                  <pic:spPr bwMode="auto">
                    <a:xfrm>
                      <a:off x="0" y="0"/>
                      <a:ext cx="3250619" cy="62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B7F91" w14:textId="0B0B061E" w:rsidR="00301C7A" w:rsidRPr="00301C7A" w:rsidRDefault="00301C7A">
      <w:pPr>
        <w:rPr>
          <w:sz w:val="20"/>
          <w:szCs w:val="20"/>
        </w:rPr>
      </w:pPr>
      <w:r w:rsidRPr="00301C7A">
        <w:rPr>
          <w:sz w:val="20"/>
          <w:szCs w:val="20"/>
        </w:rPr>
        <w:t xml:space="preserve">JAVMA, </w:t>
      </w:r>
      <w:proofErr w:type="spellStart"/>
      <w:r w:rsidRPr="00301C7A">
        <w:rPr>
          <w:sz w:val="20"/>
          <w:szCs w:val="20"/>
        </w:rPr>
        <w:t>Vol</w:t>
      </w:r>
      <w:proofErr w:type="spellEnd"/>
      <w:r w:rsidRPr="00301C7A">
        <w:rPr>
          <w:sz w:val="20"/>
          <w:szCs w:val="20"/>
        </w:rPr>
        <w:t xml:space="preserve"> 246, No. 11, June 1, 2015</w:t>
      </w:r>
    </w:p>
    <w:p w14:paraId="46D54210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>16 had CNS deficit on presentation</w:t>
      </w:r>
      <w:proofErr w:type="gramStart"/>
      <w:r>
        <w:t>;</w:t>
      </w:r>
      <w:proofErr w:type="gramEnd"/>
      <w:r>
        <w:t xml:space="preserve"> GCS from 4-18.</w:t>
      </w:r>
    </w:p>
    <w:p w14:paraId="7E544AF5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 xml:space="preserve">18 dogs underwent MRI w/in 48 hours after TBI; </w:t>
      </w:r>
      <w:r w:rsidRPr="004E2C2B">
        <w:rPr>
          <w:b/>
        </w:rPr>
        <w:t>17</w:t>
      </w:r>
      <w:r>
        <w:rPr>
          <w:b/>
        </w:rPr>
        <w:t>/18</w:t>
      </w:r>
      <w:r>
        <w:t xml:space="preserve"> had evidence of intracranial trauma on MRI.</w:t>
      </w:r>
    </w:p>
    <w:p w14:paraId="02CC8F78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>Small magnet (0.4T)</w:t>
      </w:r>
    </w:p>
    <w:p w14:paraId="7CA8A8CF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>1/18 dog had intracranial decompression (epidural hemorrhage)</w:t>
      </w:r>
    </w:p>
    <w:p w14:paraId="6D611292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>3/18 died: recovery from anesthesia for imaging, euthanasia (no improvement), euthanasia (head injuries and spinal fracture).</w:t>
      </w:r>
    </w:p>
    <w:p w14:paraId="4012683F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 xml:space="preserve">15/18 survived:  1 with major persistent </w:t>
      </w:r>
      <w:proofErr w:type="spellStart"/>
      <w:r>
        <w:t>neuro</w:t>
      </w:r>
      <w:proofErr w:type="spellEnd"/>
      <w:r>
        <w:t xml:space="preserve"> deficits, 9 had full recovery, 5 had minor </w:t>
      </w:r>
      <w:proofErr w:type="spellStart"/>
      <w:r>
        <w:t>neuro</w:t>
      </w:r>
      <w:proofErr w:type="spellEnd"/>
      <w:r>
        <w:t xml:space="preserve"> deficits. </w:t>
      </w:r>
    </w:p>
    <w:p w14:paraId="1D360072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 xml:space="preserve">13 had intra-axial changes; 13 had </w:t>
      </w:r>
      <w:r w:rsidR="007D0C5A">
        <w:t>extra-axial hemorrhage (*subdural, coup side); epidural hemorrhages were more extensive.</w:t>
      </w:r>
    </w:p>
    <w:p w14:paraId="3BBBDACC" w14:textId="77777777" w:rsidR="004E2C2B" w:rsidRDefault="004E2C2B" w:rsidP="004E2C2B">
      <w:pPr>
        <w:pStyle w:val="Paragraphedeliste"/>
        <w:numPr>
          <w:ilvl w:val="0"/>
          <w:numId w:val="1"/>
        </w:numPr>
      </w:pPr>
      <w:r>
        <w:t>T2 and FLAIR for intra-axial changes</w:t>
      </w:r>
      <w:r w:rsidR="007D0C5A">
        <w:t xml:space="preserve">; FLAIR for extra-axial changes. </w:t>
      </w:r>
    </w:p>
    <w:p w14:paraId="30C5A598" w14:textId="77777777" w:rsidR="007D0C5A" w:rsidRDefault="007D0C5A" w:rsidP="004E2C2B">
      <w:pPr>
        <w:pStyle w:val="Paragraphedeliste"/>
        <w:numPr>
          <w:ilvl w:val="0"/>
          <w:numId w:val="1"/>
        </w:numPr>
      </w:pPr>
      <w:r>
        <w:t>Lesions affecting caudal fossa or both rostral and caudal fossae – poorer outcome.</w:t>
      </w:r>
    </w:p>
    <w:p w14:paraId="03487551" w14:textId="77777777" w:rsidR="009A2E90" w:rsidRDefault="009A2E90" w:rsidP="009A2E90"/>
    <w:p w14:paraId="5B214E33" w14:textId="77777777" w:rsidR="009A2E90" w:rsidRDefault="009A2E90" w:rsidP="009A2E90"/>
    <w:p w14:paraId="26FA9815" w14:textId="77777777" w:rsidR="006A464C" w:rsidRDefault="009A2E90" w:rsidP="009A2E90">
      <w:r>
        <w:rPr>
          <w:noProof/>
          <w:lang w:val="fr-FR"/>
        </w:rPr>
        <w:drawing>
          <wp:inline distT="0" distB="0" distL="0" distR="0" wp14:anchorId="1A7DA282" wp14:editId="2F50AB4C">
            <wp:extent cx="3880810" cy="350378"/>
            <wp:effectExtent l="0" t="0" r="5715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398"/>
                    <a:stretch/>
                  </pic:blipFill>
                  <pic:spPr bwMode="auto">
                    <a:xfrm>
                      <a:off x="0" y="0"/>
                      <a:ext cx="3884251" cy="35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464C" w:rsidRPr="006A464C">
        <w:t xml:space="preserve"> </w:t>
      </w:r>
    </w:p>
    <w:p w14:paraId="27C1E680" w14:textId="55B93C32" w:rsidR="009A2E90" w:rsidRPr="00301C7A" w:rsidRDefault="006A464C" w:rsidP="009A2E90">
      <w:pPr>
        <w:rPr>
          <w:sz w:val="20"/>
          <w:szCs w:val="20"/>
        </w:rPr>
      </w:pPr>
      <w:r w:rsidRPr="00301C7A">
        <w:rPr>
          <w:sz w:val="20"/>
          <w:szCs w:val="20"/>
        </w:rPr>
        <w:t xml:space="preserve">AJVR, </w:t>
      </w:r>
      <w:proofErr w:type="spellStart"/>
      <w:r w:rsidRPr="00301C7A">
        <w:rPr>
          <w:sz w:val="20"/>
          <w:szCs w:val="20"/>
        </w:rPr>
        <w:t>Vol</w:t>
      </w:r>
      <w:proofErr w:type="spellEnd"/>
      <w:r w:rsidRPr="00301C7A">
        <w:rPr>
          <w:sz w:val="20"/>
          <w:szCs w:val="20"/>
        </w:rPr>
        <w:t xml:space="preserve"> 76, No. 6, June 2015</w:t>
      </w:r>
    </w:p>
    <w:p w14:paraId="541B182D" w14:textId="7A4C261A" w:rsidR="009A2E90" w:rsidRDefault="009A2E90" w:rsidP="009A2E90">
      <w:pPr>
        <w:pStyle w:val="Paragraphedeliste"/>
        <w:numPr>
          <w:ilvl w:val="0"/>
          <w:numId w:val="2"/>
        </w:numPr>
      </w:pPr>
      <w:r>
        <w:t xml:space="preserve">TRX = small redox protein; present </w:t>
      </w:r>
      <w:r w:rsidR="00301C7A">
        <w:t xml:space="preserve">in all cells; defensive protein: </w:t>
      </w:r>
      <w:proofErr w:type="spellStart"/>
      <w:r>
        <w:t>antioxidative</w:t>
      </w:r>
      <w:proofErr w:type="spellEnd"/>
      <w:r>
        <w:t xml:space="preserve">, </w:t>
      </w:r>
      <w:proofErr w:type="spellStart"/>
      <w:r>
        <w:t>antiapoptotic</w:t>
      </w:r>
      <w:proofErr w:type="spellEnd"/>
      <w:r>
        <w:t xml:space="preserve"> and anti-inflammatory properties. </w:t>
      </w:r>
    </w:p>
    <w:p w14:paraId="75C2C17E" w14:textId="7DE0999F" w:rsidR="009A2E90" w:rsidRDefault="009A2E90" w:rsidP="009A2E90">
      <w:pPr>
        <w:pStyle w:val="Paragraphedeliste"/>
        <w:numPr>
          <w:ilvl w:val="0"/>
          <w:numId w:val="2"/>
        </w:numPr>
      </w:pPr>
      <w:r>
        <w:t>Utility: diagnostic (biomarker), prognosis, therapeutic response, treatment</w:t>
      </w:r>
      <w:r w:rsidR="000527C7">
        <w:t>.</w:t>
      </w:r>
    </w:p>
    <w:p w14:paraId="44A4B5D6" w14:textId="63C30BD5" w:rsidR="000527C7" w:rsidRDefault="00301C7A" w:rsidP="009A2E90">
      <w:pPr>
        <w:pStyle w:val="Paragraphedeliste"/>
        <w:numPr>
          <w:ilvl w:val="0"/>
          <w:numId w:val="2"/>
        </w:numPr>
      </w:pPr>
      <w:r>
        <w:t xml:space="preserve">5/10 dogs: </w:t>
      </w:r>
      <w:r w:rsidR="000527C7">
        <w:t xml:space="preserve">100% </w:t>
      </w:r>
      <w:r>
        <w:t xml:space="preserve">O2 </w:t>
      </w:r>
      <w:proofErr w:type="gramStart"/>
      <w:r>
        <w:t>for  3</w:t>
      </w:r>
      <w:proofErr w:type="gramEnd"/>
      <w:r>
        <w:t xml:space="preserve"> hours</w:t>
      </w:r>
      <w:r w:rsidR="000527C7">
        <w:t xml:space="preserve">; 5/10 </w:t>
      </w:r>
      <w:r>
        <w:t>:</w:t>
      </w:r>
      <w:r w:rsidR="000527C7">
        <w:t xml:space="preserve"> 21% oxygen </w:t>
      </w:r>
      <w:r>
        <w:t>for 3 hours</w:t>
      </w:r>
    </w:p>
    <w:p w14:paraId="7168B63C" w14:textId="4A76FC42" w:rsidR="006A464C" w:rsidRDefault="000527C7" w:rsidP="009A2E90">
      <w:pPr>
        <w:pStyle w:val="Paragraphedeliste"/>
        <w:numPr>
          <w:ilvl w:val="0"/>
          <w:numId w:val="2"/>
        </w:numPr>
      </w:pPr>
      <w:r>
        <w:t xml:space="preserve">TRX-1 in plasma and in urine </w:t>
      </w:r>
      <w:r w:rsidR="00301C7A">
        <w:t xml:space="preserve"> and </w:t>
      </w:r>
      <w:bookmarkStart w:id="0" w:name="_GoBack"/>
      <w:bookmarkEnd w:id="0"/>
      <w:r>
        <w:t xml:space="preserve">8-OHdG in urine (compared to creatinine). </w:t>
      </w:r>
    </w:p>
    <w:p w14:paraId="4408B99B" w14:textId="09240907" w:rsidR="000527C7" w:rsidRDefault="006A464C" w:rsidP="009A2E90">
      <w:pPr>
        <w:pStyle w:val="Paragraphedeliste"/>
        <w:numPr>
          <w:ilvl w:val="0"/>
          <w:numId w:val="2"/>
        </w:numPr>
      </w:pPr>
      <w:r>
        <w:rPr>
          <w:noProof/>
          <w:lang w:val="fr-FR"/>
        </w:rPr>
        <w:drawing>
          <wp:inline distT="0" distB="0" distL="0" distR="0" wp14:anchorId="64D9F194" wp14:editId="0ADF0F1D">
            <wp:extent cx="2448156" cy="193968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79" cy="193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64C">
        <w:drawing>
          <wp:inline distT="0" distB="0" distL="0" distR="0" wp14:anchorId="467B0A0A" wp14:editId="71E2CEAB">
            <wp:extent cx="2760292" cy="2056000"/>
            <wp:effectExtent l="0" t="0" r="889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04" cy="205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E8DD6" w14:textId="77777777" w:rsidR="00301C7A" w:rsidRDefault="00301C7A" w:rsidP="00301C7A">
      <w:pPr>
        <w:pStyle w:val="Paragraphedeliste"/>
      </w:pPr>
      <w:r w:rsidRPr="00301C7A">
        <w:drawing>
          <wp:inline distT="0" distB="0" distL="0" distR="0" wp14:anchorId="15CC3C98" wp14:editId="772DD41B">
            <wp:extent cx="1897166" cy="1405678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26" cy="140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7C78" w14:textId="369F00B9" w:rsidR="006A464C" w:rsidRDefault="00301C7A" w:rsidP="00301C7A">
      <w:pPr>
        <w:pStyle w:val="Paragraphedeliste"/>
        <w:numPr>
          <w:ilvl w:val="0"/>
          <w:numId w:val="3"/>
        </w:numPr>
      </w:pPr>
      <w:r>
        <w:t xml:space="preserve">100% for 3 hours enough to induce oxidative stress </w:t>
      </w:r>
      <w:r w:rsidR="006A464C">
        <w:t xml:space="preserve"> </w:t>
      </w:r>
    </w:p>
    <w:sectPr w:rsidR="006A464C" w:rsidSect="00301C7A">
      <w:pgSz w:w="12240" w:h="15840"/>
      <w:pgMar w:top="993" w:right="1440" w:bottom="113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4213"/>
    <w:multiLevelType w:val="hybridMultilevel"/>
    <w:tmpl w:val="367E0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D2C11"/>
    <w:multiLevelType w:val="hybridMultilevel"/>
    <w:tmpl w:val="935E01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849EA"/>
    <w:multiLevelType w:val="hybridMultilevel"/>
    <w:tmpl w:val="A7503C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F6"/>
    <w:rsid w:val="000527C7"/>
    <w:rsid w:val="002C4D29"/>
    <w:rsid w:val="00301C7A"/>
    <w:rsid w:val="00437961"/>
    <w:rsid w:val="004E2C2B"/>
    <w:rsid w:val="006A464C"/>
    <w:rsid w:val="007D0C5A"/>
    <w:rsid w:val="00964FF6"/>
    <w:rsid w:val="00980435"/>
    <w:rsid w:val="009A2E90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CD6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4FF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4FF6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E2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4FF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4FF6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E2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188</Words>
  <Characters>1034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2015-06-01T06:32:00Z</dcterms:created>
  <dcterms:modified xsi:type="dcterms:W3CDTF">2015-06-01T17:23:00Z</dcterms:modified>
</cp:coreProperties>
</file>