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10" w:rsidRDefault="004E4D74">
      <w:proofErr w:type="gramStart"/>
      <w:r>
        <w:t>CCM  Oct</w:t>
      </w:r>
      <w:proofErr w:type="gramEnd"/>
      <w:r>
        <w:t>/Nov 2014</w:t>
      </w:r>
    </w:p>
    <w:p w:rsidR="004E4D74" w:rsidRPr="004E4D74" w:rsidRDefault="004E4D74" w:rsidP="004E4D74">
      <w:pPr>
        <w:jc w:val="center"/>
        <w:rPr>
          <w:b/>
          <w:sz w:val="28"/>
          <w:szCs w:val="28"/>
        </w:rPr>
      </w:pPr>
      <w:r w:rsidRPr="004E4D74">
        <w:rPr>
          <w:b/>
          <w:sz w:val="28"/>
          <w:szCs w:val="28"/>
        </w:rPr>
        <w:t>Low-Dose Corticosteroid Treatment in Septic Shock: A Propensity-Matching Study</w:t>
      </w:r>
    </w:p>
    <w:p w:rsidR="004E4D74" w:rsidRDefault="004E4D74" w:rsidP="004E4D74">
      <w:r w:rsidRPr="004E4D74">
        <w:rPr>
          <w:b/>
        </w:rPr>
        <w:t>Goal</w:t>
      </w:r>
      <w:r>
        <w:t>: E</w:t>
      </w:r>
      <w:r>
        <w:t xml:space="preserve">valuate the therapeutic benefit of early low-dose corticosteroid </w:t>
      </w:r>
      <w:r>
        <w:t>in patients</w:t>
      </w:r>
      <w:r>
        <w:t xml:space="preserve"> with septic shock.</w:t>
      </w:r>
    </w:p>
    <w:p w:rsidR="004E4D74" w:rsidRDefault="004E4D74" w:rsidP="004E4D74">
      <w:r w:rsidRPr="004E4D74">
        <w:rPr>
          <w:b/>
        </w:rPr>
        <w:t>Design</w:t>
      </w:r>
      <w:r>
        <w:t>: Retrospective, multicenter, propensity-matched cohort</w:t>
      </w:r>
      <w:r>
        <w:t xml:space="preserve"> </w:t>
      </w:r>
      <w:r>
        <w:t>study.</w:t>
      </w:r>
    </w:p>
    <w:p w:rsidR="004E4D74" w:rsidRDefault="004E4D74" w:rsidP="004E4D74">
      <w:r w:rsidRPr="004E4D74">
        <w:rPr>
          <w:b/>
        </w:rPr>
        <w:t>Setting</w:t>
      </w:r>
      <w:r>
        <w:t>: ICUs of 28 academic and community hospitals in three</w:t>
      </w:r>
      <w:r>
        <w:t xml:space="preserve"> </w:t>
      </w:r>
      <w:r>
        <w:t>countries between 1996 and 2007.</w:t>
      </w:r>
    </w:p>
    <w:p w:rsidR="004E4D74" w:rsidRDefault="004E4D74" w:rsidP="004E4D74">
      <w:r w:rsidRPr="004E4D74">
        <w:rPr>
          <w:b/>
        </w:rPr>
        <w:t>Subjects</w:t>
      </w:r>
      <w:r>
        <w:t>: Six thousand six hundred sixty-three eligible patients</w:t>
      </w:r>
      <w:r>
        <w:t xml:space="preserve"> </w:t>
      </w:r>
      <w:r>
        <w:t>with septic shock of whom 1,838 received IV low-dose corticosteroid</w:t>
      </w:r>
      <w:r>
        <w:t xml:space="preserve"> </w:t>
      </w:r>
      <w:r>
        <w:t>treatment within 48 hours of the diagnosis of septic shock</w:t>
      </w:r>
      <w:r>
        <w:t xml:space="preserve"> </w:t>
      </w:r>
      <w:r>
        <w:t>and were matched to a comparable group who did not receive</w:t>
      </w:r>
      <w:r>
        <w:t xml:space="preserve"> </w:t>
      </w:r>
      <w:r>
        <w:t>low-dose corticosteroid.</w:t>
      </w:r>
    </w:p>
    <w:p w:rsidR="004E4D74" w:rsidRDefault="004E4D74" w:rsidP="004E4D74">
      <w:r w:rsidRPr="004E4D74">
        <w:rPr>
          <w:b/>
        </w:rPr>
        <w:t>Main Results:</w:t>
      </w:r>
      <w:r>
        <w:t xml:space="preserve"> The primary outcome was</w:t>
      </w:r>
      <w:r>
        <w:t xml:space="preserve"> </w:t>
      </w:r>
      <w:r>
        <w:t>30-day mortality. Mortality analyses were stratified by severity</w:t>
      </w:r>
      <w:r>
        <w:t xml:space="preserve"> </w:t>
      </w:r>
      <w:r>
        <w:t>of illness (</w:t>
      </w:r>
      <w:r>
        <w:t>APACHE II</w:t>
      </w:r>
      <w:r>
        <w:t>). Using a Cox proportional hazards model, corticosteroid</w:t>
      </w:r>
      <w:r>
        <w:t xml:space="preserve"> </w:t>
      </w:r>
      <w:r>
        <w:t>therapy was associated with similar 30-day mortality</w:t>
      </w:r>
      <w:r>
        <w:t xml:space="preserve"> </w:t>
      </w:r>
      <w:r>
        <w:t>when compared with the matched control cohort (652/1,838</w:t>
      </w:r>
      <w:r>
        <w:t xml:space="preserve"> </w:t>
      </w:r>
      <w:r>
        <w:t xml:space="preserve">[35.5%] </w:t>
      </w:r>
      <w:proofErr w:type="spellStart"/>
      <w:r>
        <w:t>vs</w:t>
      </w:r>
      <w:proofErr w:type="spellEnd"/>
      <w:r>
        <w:t xml:space="preserve"> 641/1,838 [34.9%]; hazard ratio, 0.98; 95% CI,</w:t>
      </w:r>
      <w:r>
        <w:t xml:space="preserve"> </w:t>
      </w:r>
      <w:r>
        <w:t xml:space="preserve">0.88–1.10; p = 0.77). </w:t>
      </w:r>
    </w:p>
    <w:p w:rsidR="004E4D74" w:rsidRDefault="004E4D74" w:rsidP="004E4D74">
      <w:r>
        <w:t>In the subgroup of patients with the</w:t>
      </w:r>
      <w:r>
        <w:t xml:space="preserve"> </w:t>
      </w:r>
      <w:r>
        <w:t>Acute Physiology and Chronic Health Evaluation II score</w:t>
      </w:r>
      <w:r>
        <w:t xml:space="preserve"> </w:t>
      </w:r>
      <w:r>
        <w:t>quartile more than or equal to 30, low-dose corticosteroid</w:t>
      </w:r>
      <w:r>
        <w:t xml:space="preserve"> </w:t>
      </w:r>
      <w:r>
        <w:t xml:space="preserve">was associated with lower mortality (232/461 [50.6%] </w:t>
      </w:r>
      <w:proofErr w:type="spellStart"/>
      <w:r>
        <w:t>vs</w:t>
      </w:r>
      <w:proofErr w:type="spellEnd"/>
      <w:r>
        <w:t xml:space="preserve"> </w:t>
      </w:r>
      <w:r>
        <w:t>251/450 [55.8%]; hazard ratio, 0.81; 95% CI, 0.68–0.97;</w:t>
      </w:r>
      <w:r>
        <w:t xml:space="preserve"> </w:t>
      </w:r>
      <w:r>
        <w:t xml:space="preserve">p = 0.02). </w:t>
      </w:r>
    </w:p>
    <w:p w:rsidR="004E4D74" w:rsidRDefault="004E4D74" w:rsidP="004E4D74">
      <w:r>
        <w:t>There</w:t>
      </w:r>
      <w:r>
        <w:t xml:space="preserve"> were no significant differences in</w:t>
      </w:r>
      <w:r>
        <w:t xml:space="preserve"> </w:t>
      </w:r>
      <w:r>
        <w:t xml:space="preserve">ventilator- (median and interquartile range, 13 [0–25] </w:t>
      </w:r>
      <w:proofErr w:type="spellStart"/>
      <w:r>
        <w:t>vs</w:t>
      </w:r>
      <w:proofErr w:type="spellEnd"/>
      <w:r>
        <w:t xml:space="preserve"> 15</w:t>
      </w:r>
      <w:r>
        <w:t xml:space="preserve"> </w:t>
      </w:r>
      <w:r>
        <w:t xml:space="preserve">[0–25]; p = 0.8) and </w:t>
      </w:r>
      <w:proofErr w:type="spellStart"/>
      <w:r>
        <w:t>pressor</w:t>
      </w:r>
      <w:proofErr w:type="spellEnd"/>
      <w:r>
        <w:t>/inotrope-free days (median and</w:t>
      </w:r>
      <w:r>
        <w:t xml:space="preserve"> </w:t>
      </w:r>
      <w:r>
        <w:t xml:space="preserve">interquartile range, 25 [3–27] </w:t>
      </w:r>
      <w:proofErr w:type="spellStart"/>
      <w:r>
        <w:t>vs</w:t>
      </w:r>
      <w:proofErr w:type="spellEnd"/>
      <w:r>
        <w:t xml:space="preserve"> 24 [2–28]; p = 0.63) up to</w:t>
      </w:r>
      <w:r>
        <w:t xml:space="preserve"> </w:t>
      </w:r>
      <w:r>
        <w:t>30 days between groups.</w:t>
      </w:r>
    </w:p>
    <w:p w:rsidR="004E4D74" w:rsidRDefault="004E4D74" w:rsidP="004E4D74">
      <w:r w:rsidRPr="004E4D74">
        <w:rPr>
          <w:b/>
        </w:rPr>
        <w:t>Conclusion</w:t>
      </w:r>
      <w:r>
        <w:t>: Early administration of low-dose corticosteroid is</w:t>
      </w:r>
      <w:r>
        <w:t xml:space="preserve"> </w:t>
      </w:r>
      <w:r>
        <w:t>not associated with decreased mortality when it is administered</w:t>
      </w:r>
      <w:r>
        <w:t xml:space="preserve"> </w:t>
      </w:r>
      <w:r>
        <w:t>to unselected patients with septic shock. A beneficial effect of</w:t>
      </w:r>
      <w:r>
        <w:t xml:space="preserve"> </w:t>
      </w:r>
      <w:r>
        <w:t>low-dose corticosteroid on mortality may exist in patients with the</w:t>
      </w:r>
      <w:r>
        <w:t xml:space="preserve"> </w:t>
      </w:r>
      <w:r>
        <w:t>highest severity of illness. Future trials of low-dose corticosteroid</w:t>
      </w:r>
      <w:r>
        <w:t xml:space="preserve"> </w:t>
      </w:r>
      <w:r>
        <w:t>in septic shock should consider restricting the study population to</w:t>
      </w:r>
      <w:r>
        <w:t xml:space="preserve"> </w:t>
      </w:r>
      <w:r>
        <w:t>this cohort</w:t>
      </w:r>
      <w:r>
        <w:t>.</w:t>
      </w:r>
      <w:bookmarkStart w:id="0" w:name="_GoBack"/>
      <w:bookmarkEnd w:id="0"/>
    </w:p>
    <w:p w:rsidR="004E4D74" w:rsidRDefault="004E4D74" w:rsidP="004E4D74"/>
    <w:sectPr w:rsidR="004E4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D74"/>
    <w:rsid w:val="004E4D74"/>
    <w:rsid w:val="0090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1</cp:revision>
  <dcterms:created xsi:type="dcterms:W3CDTF">2014-11-05T17:23:00Z</dcterms:created>
  <dcterms:modified xsi:type="dcterms:W3CDTF">2014-11-05T17:29:00Z</dcterms:modified>
</cp:coreProperties>
</file>