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756" w:rsidRDefault="00606AA9" w:rsidP="00606AA9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sz w:val="44"/>
          <w:szCs w:val="44"/>
        </w:rPr>
      </w:pPr>
      <w:r>
        <w:rPr>
          <w:rFonts w:ascii="Helvetica-Bold" w:hAnsi="Helvetica-Bold" w:cs="Helvetica-Bold"/>
          <w:b/>
          <w:bCs/>
          <w:sz w:val="44"/>
          <w:szCs w:val="44"/>
        </w:rPr>
        <w:t>Positive impact of an emergency department</w:t>
      </w:r>
      <w:r>
        <w:rPr>
          <w:rFonts w:ascii="Helvetica-Bold" w:hAnsi="Helvetica-Bold" w:cs="Helvetica-Bold"/>
          <w:b/>
          <w:bCs/>
          <w:sz w:val="44"/>
          <w:szCs w:val="44"/>
        </w:rPr>
        <w:t xml:space="preserve"> </w:t>
      </w:r>
      <w:r>
        <w:rPr>
          <w:rFonts w:ascii="Helvetica-Bold" w:hAnsi="Helvetica-Bold" w:cs="Helvetica-Bold"/>
          <w:b/>
          <w:bCs/>
          <w:sz w:val="44"/>
          <w:szCs w:val="44"/>
        </w:rPr>
        <w:t>protocol on time to antimicrobial</w:t>
      </w:r>
      <w:r>
        <w:rPr>
          <w:rFonts w:ascii="Helvetica-Bold" w:hAnsi="Helvetica-Bold" w:cs="Helvetica-Bold"/>
          <w:b/>
          <w:bCs/>
          <w:sz w:val="44"/>
          <w:szCs w:val="44"/>
        </w:rPr>
        <w:t xml:space="preserve"> </w:t>
      </w:r>
      <w:r>
        <w:rPr>
          <w:rFonts w:ascii="Helvetica-Bold" w:hAnsi="Helvetica-Bold" w:cs="Helvetica-Bold"/>
          <w:b/>
          <w:bCs/>
          <w:sz w:val="44"/>
          <w:szCs w:val="44"/>
        </w:rPr>
        <w:t>administration in dogs with septic peritonitis</w:t>
      </w:r>
    </w:p>
    <w:p w:rsidR="00606AA9" w:rsidRDefault="00606AA9" w:rsidP="00606AA9">
      <w:pPr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sz w:val="16"/>
          <w:szCs w:val="16"/>
        </w:rPr>
        <w:t xml:space="preserve">Journal of Veterinary Emergency and Critical Care </w:t>
      </w:r>
      <w:r>
        <w:rPr>
          <w:rFonts w:ascii="Helvetica-Bold" w:hAnsi="Helvetica-Bold" w:cs="Helvetica-Bold"/>
          <w:b/>
          <w:bCs/>
          <w:sz w:val="16"/>
          <w:szCs w:val="16"/>
        </w:rPr>
        <w:t>23</w:t>
      </w:r>
      <w:r>
        <w:rPr>
          <w:rFonts w:ascii="Helvetica" w:hAnsi="Helvetica" w:cs="Helvetica"/>
          <w:sz w:val="16"/>
          <w:szCs w:val="16"/>
        </w:rPr>
        <w:t>(5) 2013, pp 551–556</w:t>
      </w:r>
    </w:p>
    <w:p w:rsidR="00606AA9" w:rsidRDefault="00606AA9" w:rsidP="00606AA9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8"/>
          <w:szCs w:val="18"/>
        </w:rPr>
      </w:pPr>
      <w:r w:rsidRPr="00606AA9">
        <w:rPr>
          <w:rFonts w:ascii="Palatino-Roman" w:hAnsi="Palatino-Roman" w:cs="Palatino-Roman"/>
          <w:sz w:val="18"/>
          <w:szCs w:val="18"/>
        </w:rPr>
        <w:t xml:space="preserve">Amanda L. Abelson, DVM, DACVECC; Gareth J. Buckley, MA, </w:t>
      </w:r>
      <w:proofErr w:type="spellStart"/>
      <w:r w:rsidRPr="00606AA9">
        <w:rPr>
          <w:rFonts w:ascii="Palatino-Roman" w:hAnsi="Palatino-Roman" w:cs="Palatino-Roman"/>
          <w:sz w:val="18"/>
          <w:szCs w:val="18"/>
        </w:rPr>
        <w:t>VetMB</w:t>
      </w:r>
      <w:proofErr w:type="spellEnd"/>
      <w:r w:rsidRPr="00606AA9">
        <w:rPr>
          <w:rFonts w:ascii="Palatino-Roman" w:hAnsi="Palatino-Roman" w:cs="Palatino-Roman"/>
          <w:sz w:val="18"/>
          <w:szCs w:val="18"/>
        </w:rPr>
        <w:t>, DACVECC and Elizabeth A.</w:t>
      </w:r>
      <w:r w:rsidRPr="00606AA9">
        <w:rPr>
          <w:rFonts w:ascii="Palatino-Roman" w:hAnsi="Palatino-Roman" w:cs="Palatino-Roman"/>
          <w:sz w:val="18"/>
          <w:szCs w:val="18"/>
        </w:rPr>
        <w:t xml:space="preserve"> </w:t>
      </w:r>
      <w:proofErr w:type="spellStart"/>
      <w:r w:rsidRPr="00606AA9">
        <w:rPr>
          <w:rFonts w:ascii="Palatino-Roman" w:hAnsi="Palatino-Roman" w:cs="Palatino-Roman"/>
          <w:sz w:val="18"/>
          <w:szCs w:val="18"/>
        </w:rPr>
        <w:t>Rozanski</w:t>
      </w:r>
      <w:proofErr w:type="spellEnd"/>
      <w:r w:rsidRPr="00606AA9">
        <w:rPr>
          <w:rFonts w:ascii="Palatino-Roman" w:hAnsi="Palatino-Roman" w:cs="Palatino-Roman"/>
          <w:sz w:val="18"/>
          <w:szCs w:val="18"/>
        </w:rPr>
        <w:t>, DVM, DACVIM, DACVECC</w:t>
      </w:r>
    </w:p>
    <w:p w:rsidR="00606AA9" w:rsidRDefault="00606AA9" w:rsidP="00606AA9">
      <w:pPr>
        <w:autoSpaceDE w:val="0"/>
        <w:autoSpaceDN w:val="0"/>
        <w:adjustRightInd w:val="0"/>
        <w:spacing w:after="0" w:line="240" w:lineRule="auto"/>
        <w:rPr>
          <w:rFonts w:ascii="Palatino-Roman" w:hAnsi="Palatino-Roman" w:cs="Palatino-Roman"/>
          <w:sz w:val="18"/>
          <w:szCs w:val="18"/>
        </w:rPr>
      </w:pPr>
    </w:p>
    <w:p w:rsidR="00606AA9" w:rsidRPr="009928A0" w:rsidRDefault="00606AA9" w:rsidP="00606AA9">
      <w:pPr>
        <w:autoSpaceDE w:val="0"/>
        <w:autoSpaceDN w:val="0"/>
        <w:adjustRightInd w:val="0"/>
        <w:spacing w:after="0" w:line="240" w:lineRule="auto"/>
        <w:rPr>
          <w:rFonts w:cs="Palatino-Roman"/>
          <w:b/>
          <w:szCs w:val="18"/>
        </w:rPr>
      </w:pPr>
      <w:r w:rsidRPr="009928A0">
        <w:rPr>
          <w:rFonts w:cs="Palatino-Roman"/>
          <w:b/>
          <w:szCs w:val="18"/>
        </w:rPr>
        <w:t>Key Points:</w:t>
      </w:r>
    </w:p>
    <w:p w:rsidR="009A5604" w:rsidRPr="009A5604" w:rsidRDefault="009A5604" w:rsidP="009A560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18"/>
        </w:rPr>
      </w:pPr>
      <w:r w:rsidRPr="009A5604">
        <w:rPr>
          <w:szCs w:val="18"/>
        </w:rPr>
        <w:t>Median time from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diagnosis to antimicrobial administration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was 6 hours (range 1–10 h) in the PRE, and 1 hour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(range 1–2 h) in the POST which was significantly different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(P = 0.001). In the PRE, 5 of 20 dogs (25%)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received antimicrobials within 2 hours of diagnosis of</w:t>
      </w:r>
      <w:r>
        <w:rPr>
          <w:szCs w:val="18"/>
        </w:rPr>
        <w:t xml:space="preserve"> </w:t>
      </w:r>
      <w:r w:rsidRPr="009A5604">
        <w:rPr>
          <w:szCs w:val="18"/>
        </w:rPr>
        <w:t>septic peritonitis versus 40 of 40 dogs (100%) in the POST</w:t>
      </w:r>
      <w:r>
        <w:rPr>
          <w:szCs w:val="18"/>
        </w:rPr>
        <w:t xml:space="preserve">. </w:t>
      </w:r>
      <w:r w:rsidRPr="009A5604">
        <w:rPr>
          <w:szCs w:val="18"/>
        </w:rPr>
        <w:t>W</w:t>
      </w:r>
      <w:r w:rsidRPr="009A5604">
        <w:rPr>
          <w:szCs w:val="18"/>
        </w:rPr>
        <w:t>ithin 1 hour of diagnosis was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2 of 20 dogs (10%) in the PRE, versus 35 of 40 dogs</w:t>
      </w:r>
      <w:r w:rsidRPr="009A5604">
        <w:rPr>
          <w:szCs w:val="18"/>
        </w:rPr>
        <w:t xml:space="preserve"> (87.5%) in the POST.</w:t>
      </w:r>
    </w:p>
    <w:p w:rsidR="009A5604" w:rsidRDefault="009A5604" w:rsidP="00C25E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18"/>
        </w:rPr>
      </w:pPr>
      <w:r w:rsidRPr="009A5604">
        <w:rPr>
          <w:szCs w:val="18"/>
        </w:rPr>
        <w:t>C</w:t>
      </w:r>
      <w:r w:rsidRPr="009A5604">
        <w:rPr>
          <w:szCs w:val="18"/>
        </w:rPr>
        <w:t>reation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of a specific antimicrobial protocol for the treatment</w:t>
      </w:r>
      <w:r w:rsidRPr="009A5604">
        <w:rPr>
          <w:szCs w:val="18"/>
        </w:rPr>
        <w:t xml:space="preserve"> </w:t>
      </w:r>
      <w:r w:rsidRPr="009A5604">
        <w:rPr>
          <w:szCs w:val="18"/>
        </w:rPr>
        <w:t>of canine abdominal sepsis significantly improves</w:t>
      </w:r>
      <w:r>
        <w:rPr>
          <w:szCs w:val="18"/>
        </w:rPr>
        <w:t xml:space="preserve"> </w:t>
      </w:r>
      <w:r w:rsidRPr="009A5604">
        <w:rPr>
          <w:szCs w:val="18"/>
        </w:rPr>
        <w:t>time to antimicrobial administration</w:t>
      </w:r>
      <w:r>
        <w:rPr>
          <w:szCs w:val="18"/>
        </w:rPr>
        <w:t>, which improves outcome/mortality</w:t>
      </w:r>
    </w:p>
    <w:p w:rsidR="009A5604" w:rsidRDefault="009A5604" w:rsidP="00C25EF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szCs w:val="18"/>
        </w:rPr>
      </w:pPr>
      <w:r>
        <w:rPr>
          <w:szCs w:val="18"/>
        </w:rPr>
        <w:t xml:space="preserve">Give </w:t>
      </w:r>
      <w:proofErr w:type="spellStart"/>
      <w:r>
        <w:rPr>
          <w:szCs w:val="18"/>
        </w:rPr>
        <w:t>Abx</w:t>
      </w:r>
      <w:proofErr w:type="spellEnd"/>
      <w:r>
        <w:rPr>
          <w:szCs w:val="18"/>
        </w:rPr>
        <w:t xml:space="preserve"> early, don’t fuck around, if you are concerned then just give them.</w:t>
      </w:r>
    </w:p>
    <w:p w:rsidR="009A5604" w:rsidRDefault="009A5604" w:rsidP="009A5604">
      <w:pPr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9A5604" w:rsidRDefault="009A5604" w:rsidP="009A5604">
      <w:pPr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9A5604" w:rsidRDefault="009A5604" w:rsidP="009A5604">
      <w:pPr>
        <w:autoSpaceDE w:val="0"/>
        <w:autoSpaceDN w:val="0"/>
        <w:adjustRightInd w:val="0"/>
        <w:spacing w:after="0" w:line="240" w:lineRule="auto"/>
        <w:rPr>
          <w:szCs w:val="18"/>
        </w:rPr>
      </w:pPr>
    </w:p>
    <w:p w:rsidR="00C05110" w:rsidRDefault="00C05110" w:rsidP="0099226A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36"/>
          <w:szCs w:val="36"/>
        </w:rPr>
      </w:pPr>
      <w:r>
        <w:rPr>
          <w:rFonts w:ascii="Times-Roman" w:hAnsi="Times-Roman" w:cs="Times-Roman"/>
          <w:sz w:val="36"/>
          <w:szCs w:val="36"/>
        </w:rPr>
        <w:t>Comparison of Peritoneal Fluid and Peripheral Blood pH,</w:t>
      </w:r>
    </w:p>
    <w:p w:rsidR="00C05110" w:rsidRDefault="00C05110" w:rsidP="0099226A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36"/>
          <w:szCs w:val="36"/>
        </w:rPr>
      </w:pPr>
      <w:r>
        <w:rPr>
          <w:rFonts w:ascii="Times-Roman" w:hAnsi="Times-Roman" w:cs="Times-Roman"/>
          <w:sz w:val="36"/>
          <w:szCs w:val="36"/>
        </w:rPr>
        <w:t>Bicarbonate, Glucose, and Lactate Concentration as a Diagnostic</w:t>
      </w:r>
    </w:p>
    <w:p w:rsidR="009A5604" w:rsidRDefault="00C05110" w:rsidP="0099226A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36"/>
          <w:szCs w:val="36"/>
        </w:rPr>
      </w:pPr>
      <w:r>
        <w:rPr>
          <w:rFonts w:ascii="Times-Roman" w:hAnsi="Times-Roman" w:cs="Times-Roman"/>
          <w:sz w:val="36"/>
          <w:szCs w:val="36"/>
        </w:rPr>
        <w:t>Tool for Septic Peritonitis in Dogs and Cats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jc w:val="center"/>
        <w:rPr>
          <w:rFonts w:ascii="Times-Roman" w:hAnsi="Times-Roman" w:cs="Times-Roman"/>
          <w:sz w:val="14"/>
          <w:szCs w:val="14"/>
        </w:rPr>
      </w:pPr>
      <w:r>
        <w:rPr>
          <w:rFonts w:ascii="Times-Roman" w:hAnsi="Times-Roman" w:cs="Times-Roman"/>
          <w:sz w:val="14"/>
          <w:szCs w:val="14"/>
        </w:rPr>
        <w:t>Veterinary Surgery</w:t>
      </w:r>
      <w:r>
        <w:rPr>
          <w:rFonts w:ascii="Times-Roman" w:hAnsi="Times-Roman" w:cs="Times-Roman"/>
          <w:sz w:val="14"/>
          <w:szCs w:val="14"/>
        </w:rPr>
        <w:t xml:space="preserve"> </w:t>
      </w:r>
      <w:r>
        <w:rPr>
          <w:rFonts w:ascii="Times-Roman" w:hAnsi="Times-Roman" w:cs="Times-Roman"/>
          <w:sz w:val="14"/>
          <w:szCs w:val="14"/>
        </w:rPr>
        <w:t>32:161-166, 2003</w:t>
      </w: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4"/>
          <w:szCs w:val="14"/>
        </w:rPr>
      </w:pPr>
    </w:p>
    <w:p w:rsidR="0099226A" w:rsidRPr="009928A0" w:rsidRDefault="0099226A" w:rsidP="0099226A">
      <w:pPr>
        <w:autoSpaceDE w:val="0"/>
        <w:autoSpaceDN w:val="0"/>
        <w:adjustRightInd w:val="0"/>
        <w:spacing w:after="0" w:line="240" w:lineRule="auto"/>
        <w:rPr>
          <w:rFonts w:cs="Times-Roman"/>
          <w:b/>
        </w:rPr>
      </w:pPr>
      <w:r w:rsidRPr="009928A0">
        <w:rPr>
          <w:rFonts w:cs="Times-Roman"/>
          <w:b/>
        </w:rPr>
        <w:t>Key Points:</w:t>
      </w:r>
    </w:p>
    <w:p w:rsidR="0099226A" w:rsidRDefault="0099226A" w:rsidP="00AC5C3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 dogs, with septic effusion, peritoneal fluid glucose concentration was always lower than</w:t>
      </w:r>
      <w:r>
        <w:t xml:space="preserve"> </w:t>
      </w:r>
      <w:r>
        <w:t xml:space="preserve">the blood glucose concentration. A blood-to-fluid glucose (BFG) difference </w:t>
      </w:r>
      <w:r>
        <w:t>&gt;</w:t>
      </w:r>
      <w:r>
        <w:t xml:space="preserve"> 20 mg/</w:t>
      </w:r>
      <w:proofErr w:type="spellStart"/>
      <w:r>
        <w:t>dL</w:t>
      </w:r>
      <w:proofErr w:type="spellEnd"/>
      <w:r>
        <w:t xml:space="preserve"> was 100%</w:t>
      </w:r>
      <w:r>
        <w:t xml:space="preserve"> </w:t>
      </w:r>
      <w:r>
        <w:t>sensitive and 100% specific for the diagnosis of septic peritoneal effusion in dogs. Peritoneal fluid cytology has been reported</w:t>
      </w:r>
      <w:r>
        <w:t xml:space="preserve"> </w:t>
      </w:r>
      <w:r>
        <w:t>to be 57%-87% accurate in the diagnosis of septic</w:t>
      </w:r>
      <w:r>
        <w:t xml:space="preserve"> </w:t>
      </w:r>
      <w:r>
        <w:t>peritonitis</w:t>
      </w:r>
      <w:r>
        <w:t>.</w:t>
      </w:r>
    </w:p>
    <w:p w:rsidR="0099226A" w:rsidRDefault="0099226A" w:rsidP="00A253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In 7 dogs in which</w:t>
      </w:r>
      <w:r>
        <w:t xml:space="preserve"> </w:t>
      </w:r>
      <w:r>
        <w:t>it was evaluated, a blood-to-fl</w:t>
      </w:r>
      <w:r>
        <w:t>uid lactate (BFL) difference &gt;2.</w:t>
      </w:r>
      <w:r>
        <w:t xml:space="preserve">0 </w:t>
      </w:r>
      <w:proofErr w:type="spellStart"/>
      <w:r>
        <w:t>mmol</w:t>
      </w:r>
      <w:proofErr w:type="spellEnd"/>
      <w:r>
        <w:t>/L was also 100% sensitive</w:t>
      </w:r>
      <w:r>
        <w:t xml:space="preserve"> </w:t>
      </w:r>
      <w:r>
        <w:t>and specific for a diagnosis of septic peritoneal effusion. In cats, the BFG difference was 86%</w:t>
      </w:r>
      <w:r>
        <w:t xml:space="preserve"> </w:t>
      </w:r>
      <w:r>
        <w:t>sensitive and 100% specific for a diagnosis of septic peritonitis</w:t>
      </w:r>
      <w:r>
        <w:t>.</w:t>
      </w:r>
    </w:p>
    <w:p w:rsidR="008D4694" w:rsidRDefault="008D4694" w:rsidP="00DB28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>It is</w:t>
      </w:r>
      <w:r>
        <w:t xml:space="preserve"> </w:t>
      </w:r>
      <w:r>
        <w:t>hypothesized that the glucose concentrations decrease</w:t>
      </w:r>
      <w:r>
        <w:t xml:space="preserve"> </w:t>
      </w:r>
      <w:r>
        <w:t>in the abdominal fluid as bacterial invasion increases.</w:t>
      </w:r>
      <w:r>
        <w:t xml:space="preserve"> </w:t>
      </w:r>
      <w:r>
        <w:t>This may be because of glucose use by</w:t>
      </w:r>
      <w:r>
        <w:t xml:space="preserve"> </w:t>
      </w:r>
      <w:r>
        <w:t>bacteria and phagocytic cells, glycolysis in the peritoneal</w:t>
      </w:r>
      <w:r>
        <w:t xml:space="preserve"> </w:t>
      </w:r>
      <w:r w:rsidR="0053684F">
        <w:t>fluid, or low blood to fluid glucose</w:t>
      </w:r>
      <w:r>
        <w:t xml:space="preserve"> transport</w:t>
      </w:r>
      <w:r w:rsidR="0053684F">
        <w:t>.</w:t>
      </w:r>
    </w:p>
    <w:p w:rsidR="0099226A" w:rsidRDefault="00F26FC3" w:rsidP="0099226A">
      <w:pPr>
        <w:autoSpaceDE w:val="0"/>
        <w:autoSpaceDN w:val="0"/>
        <w:adjustRightInd w:val="0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6848475" cy="1352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C3" w:rsidRDefault="00F26FC3" w:rsidP="0099226A">
      <w:pPr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>
            <wp:extent cx="6848475" cy="1133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FC3" w:rsidRDefault="00F26FC3" w:rsidP="0099226A">
      <w:pPr>
        <w:autoSpaceDE w:val="0"/>
        <w:autoSpaceDN w:val="0"/>
        <w:adjustRightInd w:val="0"/>
        <w:spacing w:after="0" w:line="240" w:lineRule="auto"/>
      </w:pPr>
    </w:p>
    <w:p w:rsidR="0099226A" w:rsidRDefault="0099226A" w:rsidP="0099226A">
      <w:pPr>
        <w:autoSpaceDE w:val="0"/>
        <w:autoSpaceDN w:val="0"/>
        <w:adjustRightInd w:val="0"/>
        <w:spacing w:after="0" w:line="240" w:lineRule="auto"/>
      </w:pPr>
    </w:p>
    <w:p w:rsidR="009928A0" w:rsidRDefault="009928A0" w:rsidP="0099226A">
      <w:pPr>
        <w:autoSpaceDE w:val="0"/>
        <w:autoSpaceDN w:val="0"/>
        <w:adjustRightInd w:val="0"/>
        <w:spacing w:after="0" w:line="240" w:lineRule="auto"/>
      </w:pPr>
    </w:p>
    <w:p w:rsidR="009928A0" w:rsidRDefault="009928A0" w:rsidP="0099226A">
      <w:pPr>
        <w:autoSpaceDE w:val="0"/>
        <w:autoSpaceDN w:val="0"/>
        <w:adjustRightInd w:val="0"/>
        <w:spacing w:after="0" w:line="240" w:lineRule="auto"/>
      </w:pPr>
      <w:r>
        <w:lastRenderedPageBreak/>
        <w:t>Questions:</w:t>
      </w:r>
    </w:p>
    <w:p w:rsidR="009928A0" w:rsidRDefault="009928A0" w:rsidP="0099226A">
      <w:pPr>
        <w:autoSpaceDE w:val="0"/>
        <w:autoSpaceDN w:val="0"/>
        <w:adjustRightInd w:val="0"/>
        <w:spacing w:after="0" w:line="240" w:lineRule="auto"/>
      </w:pPr>
    </w:p>
    <w:p w:rsidR="009928A0" w:rsidRDefault="0089342E" w:rsidP="009928A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What is the most important part of antimicrobial therapy in septic peritonitis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Give as many as possible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Matt Damon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Use multiple drugs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Give early</w:t>
      </w:r>
      <w:r>
        <w:br/>
      </w:r>
      <w:r>
        <w:br/>
      </w:r>
      <w:r>
        <w:br/>
      </w:r>
    </w:p>
    <w:p w:rsidR="0089342E" w:rsidRDefault="0089342E" w:rsidP="0089342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True or false: The blood to fluid glucose (BFG) difference is more useful in cats than dogs</w:t>
      </w:r>
      <w:r>
        <w:br/>
      </w:r>
      <w:r>
        <w:br/>
      </w:r>
    </w:p>
    <w:p w:rsidR="0089342E" w:rsidRDefault="0089342E" w:rsidP="0089342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>Which of the following had 100% sensitivity and specificity for diagnosis of septic peritonitis in dogs.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Cytology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BFG difference &gt; 20 mg/</w:t>
      </w:r>
      <w:proofErr w:type="spellStart"/>
      <w:r>
        <w:t>dL</w:t>
      </w:r>
      <w:proofErr w:type="spellEnd"/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BFL difference &lt; -2 </w:t>
      </w:r>
      <w:proofErr w:type="spellStart"/>
      <w:r>
        <w:t>mmol</w:t>
      </w:r>
      <w:proofErr w:type="spellEnd"/>
      <w:r>
        <w:t>/L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Peritoneal fluid cell count &gt;15,000 cells/µL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Peritoneal fluid glucose &lt; 50 mg/</w:t>
      </w:r>
      <w:proofErr w:type="spellStart"/>
      <w:r>
        <w:t>dL</w:t>
      </w:r>
      <w:proofErr w:type="spellEnd"/>
      <w:r>
        <w:br/>
      </w:r>
    </w:p>
    <w:p w:rsidR="0089342E" w:rsidRDefault="0089342E" w:rsidP="0089342E">
      <w:pPr>
        <w:pStyle w:val="ListParagraph"/>
        <w:autoSpaceDE w:val="0"/>
        <w:autoSpaceDN w:val="0"/>
        <w:adjustRightInd w:val="0"/>
        <w:spacing w:after="0" w:line="240" w:lineRule="auto"/>
      </w:pPr>
    </w:p>
    <w:p w:rsidR="0089342E" w:rsidRDefault="0089342E" w:rsidP="0089342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Which of the following had 100% sensitivity and specificity for diagnosis of septic peritonitis in </w:t>
      </w:r>
      <w:r>
        <w:t>cats</w:t>
      </w:r>
      <w:r>
        <w:t>.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Cytology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BFG difference &gt; 20 mg/</w:t>
      </w:r>
      <w:proofErr w:type="spellStart"/>
      <w:r>
        <w:t>dL</w:t>
      </w:r>
      <w:proofErr w:type="spellEnd"/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BFL difference &lt; -2 </w:t>
      </w:r>
      <w:proofErr w:type="spellStart"/>
      <w:r>
        <w:t>mmol</w:t>
      </w:r>
      <w:proofErr w:type="spellEnd"/>
      <w:r>
        <w:t>/L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Peritoneal fluid cell count &gt;15,000 cells/µL</w:t>
      </w:r>
    </w:p>
    <w:p w:rsidR="0089342E" w:rsidRDefault="0089342E" w:rsidP="0089342E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</w:pPr>
      <w:r>
        <w:t>Peritoneal fluid glucose &lt; 50 mg/</w:t>
      </w:r>
      <w:proofErr w:type="spellStart"/>
      <w:r>
        <w:t>dL</w:t>
      </w:r>
      <w:proofErr w:type="spellEnd"/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  <w:r>
        <w:lastRenderedPageBreak/>
        <w:t>Questions</w:t>
      </w:r>
      <w:r>
        <w:t xml:space="preserve"> with answers</w:t>
      </w:r>
      <w:r>
        <w:t>:</w:t>
      </w:r>
    </w:p>
    <w:p w:rsidR="00AE14B9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What is the most important part of antimicrobial therapy in septic peritonitis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Give as many as possible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Matt Damon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Use multiple drugs</w:t>
      </w:r>
    </w:p>
    <w:p w:rsidR="00AE14B9" w:rsidRP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AE14B9">
        <w:rPr>
          <w:b/>
        </w:rPr>
        <w:t>Give early</w:t>
      </w:r>
      <w:r w:rsidRPr="00AE14B9">
        <w:rPr>
          <w:b/>
        </w:rPr>
        <w:br/>
      </w:r>
      <w:r w:rsidRPr="00AE14B9">
        <w:rPr>
          <w:b/>
        </w:rPr>
        <w:br/>
      </w:r>
      <w:r w:rsidRPr="00AE14B9">
        <w:rPr>
          <w:b/>
        </w:rPr>
        <w:br/>
      </w:r>
    </w:p>
    <w:p w:rsidR="00AE14B9" w:rsidRDefault="00AE14B9" w:rsidP="00AE14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True or </w:t>
      </w:r>
      <w:r w:rsidRPr="00AE14B9">
        <w:rPr>
          <w:b/>
        </w:rPr>
        <w:t>false</w:t>
      </w:r>
      <w:r>
        <w:t>: The blood to fluid glucose (BFG) difference is more useful in cats than dogs</w:t>
      </w:r>
      <w:r>
        <w:br/>
      </w:r>
      <w:r>
        <w:br/>
      </w:r>
    </w:p>
    <w:p w:rsidR="00AE14B9" w:rsidRDefault="00AE14B9" w:rsidP="00AE14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Which of the following had 100% sensitivity and specificity for diagnosis of septic peritonitis in dogs.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Cytology</w:t>
      </w:r>
    </w:p>
    <w:p w:rsidR="00AE14B9" w:rsidRP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AE14B9">
        <w:rPr>
          <w:b/>
        </w:rPr>
        <w:t>BFG difference &gt; 20 mg/</w:t>
      </w:r>
      <w:proofErr w:type="spellStart"/>
      <w:r w:rsidRPr="00AE14B9">
        <w:rPr>
          <w:b/>
        </w:rPr>
        <w:t>dL</w:t>
      </w:r>
      <w:proofErr w:type="spellEnd"/>
    </w:p>
    <w:p w:rsidR="00AE14B9" w:rsidRP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AE14B9">
        <w:rPr>
          <w:b/>
        </w:rPr>
        <w:t xml:space="preserve">BFL difference &lt; -2 </w:t>
      </w:r>
      <w:proofErr w:type="spellStart"/>
      <w:r w:rsidRPr="00AE14B9">
        <w:rPr>
          <w:b/>
        </w:rPr>
        <w:t>mmol</w:t>
      </w:r>
      <w:proofErr w:type="spellEnd"/>
      <w:r w:rsidRPr="00AE14B9">
        <w:rPr>
          <w:b/>
        </w:rPr>
        <w:t>/L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Peritoneal fluid cell count &gt;1</w:t>
      </w:r>
      <w:r>
        <w:t>3</w:t>
      </w:r>
      <w:bookmarkStart w:id="0" w:name="_GoBack"/>
      <w:bookmarkEnd w:id="0"/>
      <w:r>
        <w:t>,000 cells/µL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Peritoneal fluid glucose &lt; 50 mg/</w:t>
      </w:r>
      <w:proofErr w:type="spellStart"/>
      <w:r>
        <w:t>dL</w:t>
      </w:r>
      <w:proofErr w:type="spellEnd"/>
      <w:r>
        <w:br/>
      </w:r>
    </w:p>
    <w:p w:rsidR="00AE14B9" w:rsidRDefault="00AE14B9" w:rsidP="00AE14B9">
      <w:pPr>
        <w:pStyle w:val="ListParagraph"/>
        <w:autoSpaceDE w:val="0"/>
        <w:autoSpaceDN w:val="0"/>
        <w:adjustRightInd w:val="0"/>
        <w:spacing w:after="0" w:line="240" w:lineRule="auto"/>
      </w:pPr>
    </w:p>
    <w:p w:rsidR="00AE14B9" w:rsidRDefault="00AE14B9" w:rsidP="00AE14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</w:pPr>
      <w:r>
        <w:t>Which of the following had 100% sensitivity and specificity for diagnosis of septic peritonitis in cats.</w:t>
      </w:r>
    </w:p>
    <w:p w:rsidR="00AE14B9" w:rsidRP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AE14B9">
        <w:rPr>
          <w:b/>
        </w:rPr>
        <w:t>Cytology</w:t>
      </w:r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BFG difference &gt; 20 mg/</w:t>
      </w:r>
      <w:proofErr w:type="spellStart"/>
      <w:r>
        <w:t>dL</w:t>
      </w:r>
      <w:proofErr w:type="spellEnd"/>
    </w:p>
    <w:p w:rsid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 xml:space="preserve">BFL difference &lt; -2 </w:t>
      </w:r>
      <w:proofErr w:type="spellStart"/>
      <w:r>
        <w:t>mmol</w:t>
      </w:r>
      <w:proofErr w:type="spellEnd"/>
      <w:r>
        <w:t>/L</w:t>
      </w:r>
    </w:p>
    <w:p w:rsidR="00AE14B9" w:rsidRPr="00AE14B9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b/>
        </w:rPr>
      </w:pPr>
      <w:r w:rsidRPr="00AE14B9">
        <w:rPr>
          <w:b/>
        </w:rPr>
        <w:t>Peritoneal fluid cell count &gt;1</w:t>
      </w:r>
      <w:r w:rsidRPr="00AE14B9">
        <w:rPr>
          <w:b/>
        </w:rPr>
        <w:t>3</w:t>
      </w:r>
      <w:r w:rsidRPr="00AE14B9">
        <w:rPr>
          <w:b/>
        </w:rPr>
        <w:t>,000 cells/µL</w:t>
      </w:r>
    </w:p>
    <w:p w:rsidR="00AE14B9" w:rsidRPr="0099226A" w:rsidRDefault="00AE14B9" w:rsidP="00AE14B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</w:pPr>
      <w:r>
        <w:t>Peritoneal fluid glucose &lt; 50 mg/</w:t>
      </w:r>
      <w:proofErr w:type="spellStart"/>
      <w:r>
        <w:t>dL</w:t>
      </w:r>
      <w:proofErr w:type="spellEnd"/>
    </w:p>
    <w:p w:rsidR="00AE14B9" w:rsidRPr="0099226A" w:rsidRDefault="00AE14B9" w:rsidP="00AE14B9">
      <w:pPr>
        <w:autoSpaceDE w:val="0"/>
        <w:autoSpaceDN w:val="0"/>
        <w:adjustRightInd w:val="0"/>
        <w:spacing w:after="0" w:line="240" w:lineRule="auto"/>
      </w:pPr>
    </w:p>
    <w:p w:rsidR="0089342E" w:rsidRPr="0099226A" w:rsidRDefault="0089342E" w:rsidP="0089342E">
      <w:pPr>
        <w:pStyle w:val="ListParagraph"/>
        <w:autoSpaceDE w:val="0"/>
        <w:autoSpaceDN w:val="0"/>
        <w:adjustRightInd w:val="0"/>
        <w:spacing w:after="0" w:line="240" w:lineRule="auto"/>
      </w:pPr>
    </w:p>
    <w:sectPr w:rsidR="0089342E" w:rsidRPr="0099226A" w:rsidSect="00606AA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A70F7"/>
    <w:multiLevelType w:val="hybridMultilevel"/>
    <w:tmpl w:val="06E0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F4F44"/>
    <w:multiLevelType w:val="hybridMultilevel"/>
    <w:tmpl w:val="607E1C6E"/>
    <w:lvl w:ilvl="0" w:tplc="F4F628BE">
      <w:numFmt w:val="bullet"/>
      <w:lvlText w:val="-"/>
      <w:lvlJc w:val="left"/>
      <w:pPr>
        <w:ind w:left="720" w:hanging="360"/>
      </w:pPr>
      <w:rPr>
        <w:rFonts w:ascii="Calibri" w:eastAsiaTheme="minorHAnsi" w:hAnsi="Calibri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338FD"/>
    <w:multiLevelType w:val="hybridMultilevel"/>
    <w:tmpl w:val="06E012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A9"/>
    <w:rsid w:val="00193756"/>
    <w:rsid w:val="0053684F"/>
    <w:rsid w:val="00606AA9"/>
    <w:rsid w:val="0089342E"/>
    <w:rsid w:val="008D4694"/>
    <w:rsid w:val="0099226A"/>
    <w:rsid w:val="009928A0"/>
    <w:rsid w:val="009A5604"/>
    <w:rsid w:val="00AE14B9"/>
    <w:rsid w:val="00C05110"/>
    <w:rsid w:val="00F2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B4047-9741-4906-8216-E36285EB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7</cp:revision>
  <dcterms:created xsi:type="dcterms:W3CDTF">2014-09-20T14:54:00Z</dcterms:created>
  <dcterms:modified xsi:type="dcterms:W3CDTF">2014-09-20T17:32:00Z</dcterms:modified>
</cp:coreProperties>
</file>