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B03" w:rsidRPr="006C7280" w:rsidRDefault="00C36B03" w:rsidP="00C36B03">
      <w:pPr>
        <w:rPr>
          <w:b/>
        </w:rPr>
      </w:pPr>
      <w:r w:rsidRPr="006C7280">
        <w:rPr>
          <w:b/>
        </w:rPr>
        <w:t xml:space="preserve">ARISE: Australasian Resuscitation </w:t>
      </w:r>
      <w:proofErr w:type="gramStart"/>
      <w:r w:rsidRPr="006C7280">
        <w:rPr>
          <w:b/>
        </w:rPr>
        <w:t>In</w:t>
      </w:r>
      <w:proofErr w:type="gramEnd"/>
      <w:r w:rsidRPr="006C7280">
        <w:rPr>
          <w:b/>
        </w:rPr>
        <w:t xml:space="preserve"> Sepsis Evaluation </w:t>
      </w:r>
      <w:proofErr w:type="spellStart"/>
      <w:r w:rsidRPr="006C7280">
        <w:rPr>
          <w:b/>
        </w:rPr>
        <w:t>Randomised</w:t>
      </w:r>
      <w:proofErr w:type="spellEnd"/>
      <w:r w:rsidRPr="006C7280">
        <w:rPr>
          <w:b/>
        </w:rPr>
        <w:t xml:space="preserve"> Controlled Trial</w:t>
      </w:r>
    </w:p>
    <w:p w:rsidR="00C36B03" w:rsidRPr="00C36B03" w:rsidRDefault="00C36B03" w:rsidP="00C36B03">
      <w:pPr>
        <w:rPr>
          <w:b/>
          <w:bCs/>
        </w:rPr>
      </w:pPr>
      <w:r w:rsidRPr="00C36B03">
        <w:rPr>
          <w:b/>
          <w:bCs/>
        </w:rPr>
        <w:t>Clinical Question</w:t>
      </w:r>
    </w:p>
    <w:p w:rsidR="00C36B03" w:rsidRPr="00C36B03" w:rsidRDefault="00C36B03" w:rsidP="00C36B03">
      <w:pPr>
        <w:numPr>
          <w:ilvl w:val="0"/>
          <w:numId w:val="1"/>
        </w:numPr>
      </w:pPr>
      <w:r w:rsidRPr="00C36B03">
        <w:t>In adult patients with septic shock, does early goal-directed therapy (EGDT) compared with standard therapy reduce mortality at 90 days?</w:t>
      </w:r>
    </w:p>
    <w:p w:rsidR="00C36B03" w:rsidRPr="00C36B03" w:rsidRDefault="00C36B03" w:rsidP="00C36B03">
      <w:pPr>
        <w:rPr>
          <w:b/>
          <w:bCs/>
        </w:rPr>
      </w:pPr>
      <w:r w:rsidRPr="00C36B03">
        <w:rPr>
          <w:b/>
          <w:bCs/>
        </w:rPr>
        <w:t>Design</w:t>
      </w:r>
    </w:p>
    <w:p w:rsidR="00C36B03" w:rsidRPr="00C36B03" w:rsidRDefault="00C36B03" w:rsidP="00C36B03">
      <w:pPr>
        <w:numPr>
          <w:ilvl w:val="0"/>
          <w:numId w:val="2"/>
        </w:numPr>
      </w:pPr>
      <w:r w:rsidRPr="00C36B03">
        <w:t>Multi-</w:t>
      </w:r>
      <w:proofErr w:type="spellStart"/>
      <w:r w:rsidRPr="00C36B03">
        <w:t>centre</w:t>
      </w:r>
      <w:proofErr w:type="spellEnd"/>
      <w:r w:rsidRPr="00C36B03">
        <w:t xml:space="preserve">, </w:t>
      </w:r>
      <w:proofErr w:type="spellStart"/>
      <w:r w:rsidRPr="00C36B03">
        <w:t>unblinded</w:t>
      </w:r>
      <w:proofErr w:type="spellEnd"/>
      <w:r w:rsidRPr="00C36B03">
        <w:t xml:space="preserve">, </w:t>
      </w:r>
      <w:proofErr w:type="spellStart"/>
      <w:r w:rsidRPr="00C36B03">
        <w:t>randomised</w:t>
      </w:r>
      <w:proofErr w:type="spellEnd"/>
      <w:r w:rsidRPr="00C36B03">
        <w:t xml:space="preserve"> controlled trial</w:t>
      </w:r>
    </w:p>
    <w:p w:rsidR="00C36B03" w:rsidRPr="00C36B03" w:rsidRDefault="00C36B03" w:rsidP="00C36B03">
      <w:pPr>
        <w:numPr>
          <w:ilvl w:val="0"/>
          <w:numId w:val="2"/>
        </w:numPr>
      </w:pPr>
      <w:r w:rsidRPr="00C36B03">
        <w:t xml:space="preserve">Permuted block </w:t>
      </w:r>
      <w:proofErr w:type="spellStart"/>
      <w:r w:rsidRPr="00C36B03">
        <w:t>randomisation</w:t>
      </w:r>
      <w:proofErr w:type="spellEnd"/>
      <w:r w:rsidRPr="00C36B03">
        <w:t xml:space="preserve"> stratified by site to allocate eligible patients 1:1</w:t>
      </w:r>
    </w:p>
    <w:p w:rsidR="00C36B03" w:rsidRPr="00C36B03" w:rsidRDefault="00C36B03" w:rsidP="00C36B03">
      <w:pPr>
        <w:numPr>
          <w:ilvl w:val="0"/>
          <w:numId w:val="2"/>
        </w:numPr>
      </w:pPr>
      <w:r w:rsidRPr="00C36B03">
        <w:t>Intention to treat analysis</w:t>
      </w:r>
    </w:p>
    <w:p w:rsidR="00C36B03" w:rsidRPr="00C36B03" w:rsidRDefault="00C36B03" w:rsidP="00C36B03">
      <w:pPr>
        <w:numPr>
          <w:ilvl w:val="0"/>
          <w:numId w:val="2"/>
        </w:numPr>
      </w:pPr>
      <w:r w:rsidRPr="00C36B03">
        <w:t>Sample size calculation based on assumed in-hospital rate of death in the usual-care group of 28% with an increase to 38% by 90 days based on recent high quality studies. 1600 patients provided a power of 85-90% to detect an absolute risk reduction of 7.6%</w:t>
      </w:r>
    </w:p>
    <w:p w:rsidR="00C36B03" w:rsidRPr="00C36B03" w:rsidRDefault="00C36B03" w:rsidP="00C36B03">
      <w:pPr>
        <w:rPr>
          <w:b/>
          <w:bCs/>
        </w:rPr>
      </w:pPr>
      <w:r w:rsidRPr="00C36B03">
        <w:rPr>
          <w:b/>
          <w:bCs/>
        </w:rPr>
        <w:t>Setting</w:t>
      </w:r>
    </w:p>
    <w:p w:rsidR="00C36B03" w:rsidRPr="00C36B03" w:rsidRDefault="00C36B03" w:rsidP="00C36B03">
      <w:pPr>
        <w:numPr>
          <w:ilvl w:val="0"/>
          <w:numId w:val="3"/>
        </w:numPr>
      </w:pPr>
      <w:r w:rsidRPr="00C36B03">
        <w:t xml:space="preserve">51 hospitals (45 in Australia or New Zealand and 6 </w:t>
      </w:r>
      <w:proofErr w:type="spellStart"/>
      <w:r w:rsidRPr="00C36B03">
        <w:t>centres</w:t>
      </w:r>
      <w:proofErr w:type="spellEnd"/>
      <w:r w:rsidRPr="00C36B03">
        <w:t xml:space="preserve"> in Finland, Hong Kong and the Republic of Ireland)</w:t>
      </w:r>
    </w:p>
    <w:p w:rsidR="00C36B03" w:rsidRPr="00C36B03" w:rsidRDefault="00C36B03" w:rsidP="00C36B03">
      <w:pPr>
        <w:numPr>
          <w:ilvl w:val="0"/>
          <w:numId w:val="3"/>
        </w:numPr>
      </w:pPr>
      <w:r w:rsidRPr="00C36B03">
        <w:t>October 2008 - April 2014</w:t>
      </w:r>
    </w:p>
    <w:p w:rsidR="00C36B03" w:rsidRPr="00C36B03" w:rsidRDefault="00C36B03" w:rsidP="00C36B03">
      <w:pPr>
        <w:rPr>
          <w:b/>
          <w:bCs/>
        </w:rPr>
      </w:pPr>
      <w:r w:rsidRPr="00C36B03">
        <w:rPr>
          <w:b/>
          <w:bCs/>
        </w:rPr>
        <w:t>Population</w:t>
      </w:r>
    </w:p>
    <w:p w:rsidR="00C36B03" w:rsidRPr="00C36B03" w:rsidRDefault="00C36B03" w:rsidP="00C36B03">
      <w:pPr>
        <w:numPr>
          <w:ilvl w:val="0"/>
          <w:numId w:val="4"/>
        </w:numPr>
      </w:pPr>
      <w:r w:rsidRPr="00C36B03">
        <w:t>1600 patients</w:t>
      </w:r>
    </w:p>
    <w:p w:rsidR="00C36B03" w:rsidRPr="00C36B03" w:rsidRDefault="00C36B03" w:rsidP="00C36B03">
      <w:pPr>
        <w:numPr>
          <w:ilvl w:val="0"/>
          <w:numId w:val="4"/>
        </w:numPr>
      </w:pPr>
      <w:r w:rsidRPr="00C36B03">
        <w:t>Inclusion</w:t>
      </w:r>
    </w:p>
    <w:p w:rsidR="00C36B03" w:rsidRPr="00C36B03" w:rsidRDefault="00C36B03" w:rsidP="00C36B03">
      <w:pPr>
        <w:numPr>
          <w:ilvl w:val="1"/>
          <w:numId w:val="4"/>
        </w:numPr>
      </w:pPr>
      <w:r w:rsidRPr="00C36B03">
        <w:t>Adults presenting to the ED with suspected or confirmed infection and 2 or more SIRS criteria AND</w:t>
      </w:r>
    </w:p>
    <w:p w:rsidR="00C36B03" w:rsidRPr="00C36B03" w:rsidRDefault="00C36B03" w:rsidP="00C36B03">
      <w:pPr>
        <w:numPr>
          <w:ilvl w:val="1"/>
          <w:numId w:val="4"/>
        </w:numPr>
      </w:pPr>
      <w:r w:rsidRPr="00C36B03">
        <w:t xml:space="preserve">Evidence of either refractory hypotension OR </w:t>
      </w:r>
      <w:proofErr w:type="spellStart"/>
      <w:r w:rsidRPr="00C36B03">
        <w:t>hypoperfusion</w:t>
      </w:r>
      <w:proofErr w:type="spellEnd"/>
      <w:r w:rsidRPr="00C36B03">
        <w:t>:</w:t>
      </w:r>
    </w:p>
    <w:p w:rsidR="00C36B03" w:rsidRPr="00C36B03" w:rsidRDefault="00C36B03" w:rsidP="00C36B03">
      <w:pPr>
        <w:numPr>
          <w:ilvl w:val="2"/>
          <w:numId w:val="4"/>
        </w:numPr>
      </w:pPr>
      <w:r w:rsidRPr="00C36B03">
        <w:t>Refractory hypotension: presence of a systolic blood pressure (SBP) &lt; 90 mmHg or mean arterial pressure (MAP) &lt; 65 mmHg after a 1000ml intravenous (IV) fluid challenge within 60 minutes (including IV fluids administered pre-hospital)</w:t>
      </w:r>
    </w:p>
    <w:p w:rsidR="00C36B03" w:rsidRPr="00C36B03" w:rsidRDefault="00C36B03" w:rsidP="00C36B03">
      <w:pPr>
        <w:numPr>
          <w:ilvl w:val="2"/>
          <w:numId w:val="4"/>
        </w:numPr>
      </w:pPr>
      <w:proofErr w:type="spellStart"/>
      <w:r w:rsidRPr="00C36B03">
        <w:t>Hypoperfusion</w:t>
      </w:r>
      <w:proofErr w:type="spellEnd"/>
      <w:r w:rsidRPr="00C36B03">
        <w:t xml:space="preserve">: confirmed by the presence of a blood lactate concentration ≥ 4.0 </w:t>
      </w:r>
      <w:proofErr w:type="spellStart"/>
      <w:r w:rsidRPr="00C36B03">
        <w:t>mmol</w:t>
      </w:r>
      <w:proofErr w:type="spellEnd"/>
      <w:r w:rsidRPr="00C36B03">
        <w:t>/L</w:t>
      </w:r>
    </w:p>
    <w:p w:rsidR="00C36B03" w:rsidRPr="00C36B03" w:rsidRDefault="00C36B03" w:rsidP="00C36B03">
      <w:pPr>
        <w:numPr>
          <w:ilvl w:val="1"/>
          <w:numId w:val="4"/>
        </w:numPr>
      </w:pPr>
      <w:r w:rsidRPr="00C36B03">
        <w:t xml:space="preserve">First dose of IV antimicrobial therapy commenced prior to </w:t>
      </w:r>
      <w:proofErr w:type="spellStart"/>
      <w:r w:rsidRPr="00C36B03">
        <w:t>randomisation</w:t>
      </w:r>
      <w:proofErr w:type="spellEnd"/>
    </w:p>
    <w:p w:rsidR="00C36B03" w:rsidRPr="00C36B03" w:rsidRDefault="00C36B03" w:rsidP="00C36B03">
      <w:pPr>
        <w:numPr>
          <w:ilvl w:val="0"/>
          <w:numId w:val="4"/>
        </w:numPr>
      </w:pPr>
      <w:r w:rsidRPr="00C36B03">
        <w:t>Exclusion</w:t>
      </w:r>
    </w:p>
    <w:p w:rsidR="00C36B03" w:rsidRPr="00C36B03" w:rsidRDefault="00C36B03" w:rsidP="00C36B03">
      <w:pPr>
        <w:numPr>
          <w:ilvl w:val="1"/>
          <w:numId w:val="4"/>
        </w:numPr>
      </w:pPr>
      <w:r w:rsidRPr="00C36B03">
        <w:t>Contra-indication: CVC insertion; blood products (</w:t>
      </w:r>
      <w:proofErr w:type="spellStart"/>
      <w:r w:rsidRPr="00C36B03">
        <w:t>e.g</w:t>
      </w:r>
      <w:proofErr w:type="spellEnd"/>
      <w:r w:rsidRPr="00C36B03">
        <w:t xml:space="preserve"> Jehovah’s Witness)</w:t>
      </w:r>
    </w:p>
    <w:p w:rsidR="00C36B03" w:rsidRPr="00C36B03" w:rsidRDefault="00C36B03" w:rsidP="00C36B03">
      <w:pPr>
        <w:numPr>
          <w:ilvl w:val="1"/>
          <w:numId w:val="4"/>
        </w:numPr>
      </w:pPr>
      <w:r w:rsidRPr="00C36B03">
        <w:t xml:space="preserve">Inability to commence delivery of the EGDT protocol within 1 hour of </w:t>
      </w:r>
      <w:proofErr w:type="spellStart"/>
      <w:r w:rsidRPr="00C36B03">
        <w:t>randomisation</w:t>
      </w:r>
      <w:proofErr w:type="spellEnd"/>
      <w:r w:rsidRPr="00C36B03">
        <w:t xml:space="preserve"> or complete 6 hours of EGDT</w:t>
      </w:r>
    </w:p>
    <w:p w:rsidR="00C36B03" w:rsidRPr="00C36B03" w:rsidRDefault="00C36B03" w:rsidP="00C36B03">
      <w:pPr>
        <w:numPr>
          <w:ilvl w:val="1"/>
          <w:numId w:val="4"/>
        </w:numPr>
      </w:pPr>
      <w:proofErr w:type="spellStart"/>
      <w:r w:rsidRPr="00C36B03">
        <w:t>Haemodynamic</w:t>
      </w:r>
      <w:proofErr w:type="spellEnd"/>
      <w:r w:rsidRPr="00C36B03">
        <w:t xml:space="preserve"> instability due to active bleeding</w:t>
      </w:r>
    </w:p>
    <w:p w:rsidR="00C36B03" w:rsidRPr="00C36B03" w:rsidRDefault="00C36B03" w:rsidP="00C36B03">
      <w:pPr>
        <w:numPr>
          <w:ilvl w:val="1"/>
          <w:numId w:val="4"/>
        </w:numPr>
      </w:pPr>
      <w:r w:rsidRPr="00C36B03">
        <w:lastRenderedPageBreak/>
        <w:t>Pregnancy (confirmed or suspected)</w:t>
      </w:r>
    </w:p>
    <w:p w:rsidR="00C36B03" w:rsidRPr="00C36B03" w:rsidRDefault="00C36B03" w:rsidP="00C36B03">
      <w:pPr>
        <w:numPr>
          <w:ilvl w:val="1"/>
          <w:numId w:val="4"/>
        </w:numPr>
      </w:pPr>
      <w:r w:rsidRPr="00C36B03">
        <w:t>In-patient transfer from another acute health care facility</w:t>
      </w:r>
    </w:p>
    <w:p w:rsidR="00C36B03" w:rsidRPr="00C36B03" w:rsidRDefault="00C36B03" w:rsidP="00C36B03">
      <w:pPr>
        <w:numPr>
          <w:ilvl w:val="1"/>
          <w:numId w:val="4"/>
        </w:numPr>
      </w:pPr>
      <w:r w:rsidRPr="00C36B03">
        <w:t>The patient has an underlying disease process with a life expectancy of &lt; 90 days; death is deemed imminent and inevitable; a “limitation of therapy” order restricting implementation of the study protocol </w:t>
      </w:r>
    </w:p>
    <w:p w:rsidR="00C36B03" w:rsidRPr="00C36B03" w:rsidRDefault="00C36B03" w:rsidP="00C36B03">
      <w:pPr>
        <w:numPr>
          <w:ilvl w:val="0"/>
          <w:numId w:val="4"/>
        </w:numPr>
      </w:pPr>
      <w:r w:rsidRPr="00C36B03">
        <w:t>Baseline characteristics EGDT vs. usual care group:</w:t>
      </w:r>
    </w:p>
    <w:p w:rsidR="00C36B03" w:rsidRPr="00C36B03" w:rsidRDefault="00C36B03" w:rsidP="00C36B03">
      <w:pPr>
        <w:numPr>
          <w:ilvl w:val="1"/>
          <w:numId w:val="4"/>
        </w:numPr>
      </w:pPr>
      <w:r w:rsidRPr="00C36B03">
        <w:t>Age: 62.7 +/- 16.4 vs. 63.1 +/- 16.5</w:t>
      </w:r>
    </w:p>
    <w:p w:rsidR="00C36B03" w:rsidRPr="00C36B03" w:rsidRDefault="00C36B03" w:rsidP="00C36B03">
      <w:pPr>
        <w:numPr>
          <w:ilvl w:val="1"/>
          <w:numId w:val="4"/>
        </w:numPr>
      </w:pPr>
      <w:r w:rsidRPr="00C36B03">
        <w:t>APACHE II scores: 15.4 +/- 6.5  vs. 15.8 +/- 6.5</w:t>
      </w:r>
    </w:p>
    <w:p w:rsidR="00C36B03" w:rsidRPr="00C36B03" w:rsidRDefault="00C36B03" w:rsidP="00C36B03">
      <w:pPr>
        <w:numPr>
          <w:ilvl w:val="1"/>
          <w:numId w:val="4"/>
        </w:numPr>
      </w:pPr>
      <w:r w:rsidRPr="00C36B03">
        <w:t>Lactate (at time criterion met): 6.7 +/- 3.3 vs. 6.6 +/- 2.8</w:t>
      </w:r>
    </w:p>
    <w:p w:rsidR="00C36B03" w:rsidRPr="00C36B03" w:rsidRDefault="00C36B03" w:rsidP="00C36B03">
      <w:pPr>
        <w:numPr>
          <w:ilvl w:val="1"/>
          <w:numId w:val="4"/>
        </w:numPr>
      </w:pPr>
      <w:r w:rsidRPr="00C36B03">
        <w:t>Site of infection: 1/3 pulmonary</w:t>
      </w:r>
    </w:p>
    <w:p w:rsidR="00C36B03" w:rsidRPr="00C36B03" w:rsidRDefault="00C36B03" w:rsidP="00C36B03">
      <w:pPr>
        <w:numPr>
          <w:ilvl w:val="1"/>
          <w:numId w:val="4"/>
        </w:numPr>
      </w:pPr>
      <w:r w:rsidRPr="00C36B03">
        <w:t>Median time to first dose antibiotics following arrival in ED: 70 minutes vs. 67 minutes</w:t>
      </w:r>
    </w:p>
    <w:p w:rsidR="00C36B03" w:rsidRPr="00C36B03" w:rsidRDefault="00C36B03" w:rsidP="00C36B03">
      <w:pPr>
        <w:rPr>
          <w:b/>
          <w:bCs/>
        </w:rPr>
      </w:pPr>
      <w:r w:rsidRPr="00C36B03">
        <w:rPr>
          <w:b/>
          <w:bCs/>
        </w:rPr>
        <w:t>Intervention</w:t>
      </w:r>
    </w:p>
    <w:p w:rsidR="00C36B03" w:rsidRPr="00C36B03" w:rsidRDefault="00C36B03" w:rsidP="00C36B03">
      <w:pPr>
        <w:numPr>
          <w:ilvl w:val="0"/>
          <w:numId w:val="5"/>
        </w:numPr>
      </w:pPr>
      <w:r w:rsidRPr="00C36B03">
        <w:t>EGDT </w:t>
      </w:r>
    </w:p>
    <w:p w:rsidR="00C36B03" w:rsidRPr="00C36B03" w:rsidRDefault="00C36B03" w:rsidP="00C36B03">
      <w:pPr>
        <w:numPr>
          <w:ilvl w:val="1"/>
          <w:numId w:val="5"/>
        </w:numPr>
      </w:pPr>
      <w:r w:rsidRPr="00C36B03">
        <w:t xml:space="preserve">Arterial line and a central venous catheter capable of continuous ScvO2 measurement (Edwards </w:t>
      </w:r>
      <w:proofErr w:type="spellStart"/>
      <w:r w:rsidRPr="00C36B03">
        <w:t>Lifesciences</w:t>
      </w:r>
      <w:proofErr w:type="spellEnd"/>
      <w:r w:rsidRPr="00C36B03">
        <w:t xml:space="preserve">) was inserted within 1 hour after </w:t>
      </w:r>
      <w:proofErr w:type="spellStart"/>
      <w:r w:rsidRPr="00C36B03">
        <w:t>randomisation</w:t>
      </w:r>
      <w:proofErr w:type="spellEnd"/>
    </w:p>
    <w:p w:rsidR="00C36B03" w:rsidRPr="00C36B03" w:rsidRDefault="00C36B03" w:rsidP="00C36B03">
      <w:pPr>
        <w:numPr>
          <w:ilvl w:val="1"/>
          <w:numId w:val="5"/>
        </w:numPr>
      </w:pPr>
      <w:r w:rsidRPr="00C36B03">
        <w:t>A treatment algorithm was commenced based on Rivers' original EGDT algorithm &amp; included:</w:t>
      </w:r>
    </w:p>
    <w:p w:rsidR="00C36B03" w:rsidRPr="00C36B03" w:rsidRDefault="00C36B03" w:rsidP="00C36B03">
      <w:pPr>
        <w:numPr>
          <w:ilvl w:val="2"/>
          <w:numId w:val="5"/>
        </w:numPr>
      </w:pPr>
      <w:r w:rsidRPr="00C36B03">
        <w:t>Supplemental oxygen if not already initiated and titrated to achieve SpO2 &gt; 93%</w:t>
      </w:r>
    </w:p>
    <w:p w:rsidR="00C36B03" w:rsidRPr="00C36B03" w:rsidRDefault="00C36B03" w:rsidP="00C36B03">
      <w:pPr>
        <w:numPr>
          <w:ilvl w:val="2"/>
          <w:numId w:val="5"/>
        </w:numPr>
      </w:pPr>
      <w:r w:rsidRPr="00C36B03">
        <w:t>500mls bolus of crystalloid or colloid at least every 30 minutes until CVP &gt; 8mmHg (</w:t>
      </w:r>
      <w:proofErr w:type="spellStart"/>
      <w:r w:rsidRPr="00C36B03">
        <w:t>self ventilating</w:t>
      </w:r>
      <w:proofErr w:type="spellEnd"/>
      <w:r w:rsidRPr="00C36B03">
        <w:t>) or &gt; 12mmHg (NIV or invasive ventilation)</w:t>
      </w:r>
    </w:p>
    <w:p w:rsidR="00C36B03" w:rsidRPr="00C36B03" w:rsidRDefault="00C36B03" w:rsidP="00C36B03">
      <w:pPr>
        <w:numPr>
          <w:ilvl w:val="2"/>
          <w:numId w:val="5"/>
        </w:numPr>
      </w:pPr>
      <w:r w:rsidRPr="00C36B03">
        <w:t>Vasopressors to achieve MAP of 65–90mmHg</w:t>
      </w:r>
    </w:p>
    <w:p w:rsidR="00C36B03" w:rsidRPr="00C36B03" w:rsidRDefault="00C36B03" w:rsidP="00C36B03">
      <w:pPr>
        <w:numPr>
          <w:ilvl w:val="2"/>
          <w:numId w:val="5"/>
        </w:numPr>
      </w:pPr>
      <w:r w:rsidRPr="00C36B03">
        <w:t>ScVO2 &gt;70% once CVP and MAP targets achieved</w:t>
      </w:r>
    </w:p>
    <w:p w:rsidR="00C36B03" w:rsidRPr="00C36B03" w:rsidRDefault="00C36B03" w:rsidP="00C36B03">
      <w:pPr>
        <w:numPr>
          <w:ilvl w:val="3"/>
          <w:numId w:val="5"/>
        </w:numPr>
      </w:pPr>
      <w:r w:rsidRPr="00C36B03">
        <w:t>If ScVO2 &lt; 70% and HCT &lt; 30% → PRBC transfusion</w:t>
      </w:r>
    </w:p>
    <w:p w:rsidR="00C36B03" w:rsidRPr="00C36B03" w:rsidRDefault="00C36B03" w:rsidP="00C36B03">
      <w:pPr>
        <w:numPr>
          <w:ilvl w:val="3"/>
          <w:numId w:val="5"/>
        </w:numPr>
      </w:pPr>
      <w:r w:rsidRPr="00C36B03">
        <w:t xml:space="preserve">If ScVO2 remains &lt; 70% despite HCT &gt;30% or </w:t>
      </w:r>
      <w:proofErr w:type="spellStart"/>
      <w:r w:rsidRPr="00C36B03">
        <w:t>Hb</w:t>
      </w:r>
      <w:proofErr w:type="spellEnd"/>
      <w:r w:rsidRPr="00C36B03">
        <w:t xml:space="preserve"> &gt; 100g/dl → </w:t>
      </w:r>
      <w:proofErr w:type="spellStart"/>
      <w:r w:rsidRPr="00C36B03">
        <w:t>dobutamine</w:t>
      </w:r>
      <w:proofErr w:type="spellEnd"/>
      <w:r w:rsidRPr="00C36B03">
        <w:t xml:space="preserve"> 2.5–20mcg/kg/min</w:t>
      </w:r>
    </w:p>
    <w:p w:rsidR="00C36B03" w:rsidRPr="00C36B03" w:rsidRDefault="00C36B03" w:rsidP="00C36B03">
      <w:pPr>
        <w:numPr>
          <w:ilvl w:val="3"/>
          <w:numId w:val="5"/>
        </w:numPr>
      </w:pPr>
      <w:r w:rsidRPr="00C36B03">
        <w:t>If ScVO2 still &lt; 70% → increase oxygen → NIV → Mechanical ventilation</w:t>
      </w:r>
    </w:p>
    <w:p w:rsidR="00C36B03" w:rsidRPr="00C36B03" w:rsidRDefault="00C36B03" w:rsidP="00C36B03">
      <w:pPr>
        <w:numPr>
          <w:ilvl w:val="4"/>
          <w:numId w:val="5"/>
        </w:numPr>
      </w:pPr>
      <w:r w:rsidRPr="00C36B03">
        <w:t xml:space="preserve">Sedative and </w:t>
      </w:r>
      <w:proofErr w:type="spellStart"/>
      <w:r w:rsidRPr="00C36B03">
        <w:t>paralysing</w:t>
      </w:r>
      <w:proofErr w:type="spellEnd"/>
      <w:r w:rsidRPr="00C36B03">
        <w:t xml:space="preserve"> agents used if mechanically ventilated</w:t>
      </w:r>
    </w:p>
    <w:p w:rsidR="00C36B03" w:rsidRPr="00C36B03" w:rsidRDefault="00C36B03" w:rsidP="00C36B03">
      <w:pPr>
        <w:numPr>
          <w:ilvl w:val="0"/>
          <w:numId w:val="5"/>
        </w:numPr>
      </w:pPr>
      <w:r w:rsidRPr="00C36B03">
        <w:t>Treatment algorithm continued for 6 hours </w:t>
      </w:r>
    </w:p>
    <w:p w:rsidR="00C36B03" w:rsidRPr="00C36B03" w:rsidRDefault="00C36B03" w:rsidP="00C36B03">
      <w:pPr>
        <w:numPr>
          <w:ilvl w:val="0"/>
          <w:numId w:val="5"/>
        </w:numPr>
      </w:pPr>
      <w:r w:rsidRPr="00C36B03">
        <w:t>Intervention was provided by a study team trained in EGDT. Both the care providers and location of delivery (ED or ICU or both) were dependent on local resources </w:t>
      </w:r>
    </w:p>
    <w:p w:rsidR="00C36B03" w:rsidRPr="00C36B03" w:rsidRDefault="00C36B03" w:rsidP="00C36B03">
      <w:pPr>
        <w:rPr>
          <w:b/>
          <w:bCs/>
        </w:rPr>
      </w:pPr>
      <w:r w:rsidRPr="00C36B03">
        <w:rPr>
          <w:b/>
          <w:bCs/>
        </w:rPr>
        <w:t>Control</w:t>
      </w:r>
    </w:p>
    <w:p w:rsidR="00C36B03" w:rsidRPr="00C36B03" w:rsidRDefault="00C36B03" w:rsidP="00C36B03">
      <w:pPr>
        <w:numPr>
          <w:ilvl w:val="0"/>
          <w:numId w:val="6"/>
        </w:numPr>
      </w:pPr>
      <w:r w:rsidRPr="00C36B03">
        <w:lastRenderedPageBreak/>
        <w:t>Usual resuscitation care</w:t>
      </w:r>
    </w:p>
    <w:p w:rsidR="00C36B03" w:rsidRPr="00C36B03" w:rsidRDefault="00C36B03" w:rsidP="00C36B03">
      <w:pPr>
        <w:numPr>
          <w:ilvl w:val="1"/>
          <w:numId w:val="6"/>
        </w:numPr>
      </w:pPr>
      <w:r w:rsidRPr="00C36B03">
        <w:t>Arterial line and a CVC may be inserted if considered clinically appropriate</w:t>
      </w:r>
    </w:p>
    <w:p w:rsidR="00C36B03" w:rsidRPr="00C36B03" w:rsidRDefault="00C36B03" w:rsidP="00C36B03">
      <w:pPr>
        <w:numPr>
          <w:ilvl w:val="1"/>
          <w:numId w:val="6"/>
        </w:numPr>
      </w:pPr>
      <w:r w:rsidRPr="00C36B03">
        <w:t>ScVO2 measurement was not permitted during the 6 hour intervention period</w:t>
      </w:r>
    </w:p>
    <w:p w:rsidR="00C36B03" w:rsidRPr="00C36B03" w:rsidRDefault="00C36B03" w:rsidP="00C36B03">
      <w:pPr>
        <w:numPr>
          <w:ilvl w:val="0"/>
          <w:numId w:val="6"/>
        </w:numPr>
      </w:pPr>
      <w:r w:rsidRPr="00C36B03">
        <w:t>Decisions about the location of care delivery, investigations, monitoring, and all treatments were made at the discretion of the treating clinician</w:t>
      </w:r>
    </w:p>
    <w:p w:rsidR="00C36B03" w:rsidRPr="00C36B03" w:rsidRDefault="00C36B03" w:rsidP="00C36B03">
      <w:pPr>
        <w:rPr>
          <w:b/>
          <w:bCs/>
        </w:rPr>
      </w:pPr>
      <w:r w:rsidRPr="00C36B03">
        <w:rPr>
          <w:b/>
          <w:bCs/>
        </w:rPr>
        <w:t>Outcome</w:t>
      </w:r>
    </w:p>
    <w:p w:rsidR="00C36B03" w:rsidRPr="00C36B03" w:rsidRDefault="00C36B03" w:rsidP="00C36B03">
      <w:pPr>
        <w:numPr>
          <w:ilvl w:val="0"/>
          <w:numId w:val="7"/>
        </w:numPr>
      </w:pPr>
      <w:r w:rsidRPr="00C36B03">
        <w:t xml:space="preserve">Primary outcome: </w:t>
      </w:r>
      <w:proofErr w:type="spellStart"/>
      <w:r w:rsidRPr="00C36B03">
        <w:t>all cause</w:t>
      </w:r>
      <w:proofErr w:type="spellEnd"/>
      <w:r w:rsidRPr="00C36B03">
        <w:t xml:space="preserve"> mortality at 90-days after </w:t>
      </w:r>
      <w:proofErr w:type="spellStart"/>
      <w:r w:rsidRPr="00C36B03">
        <w:t>randomisation</w:t>
      </w:r>
      <w:proofErr w:type="spellEnd"/>
    </w:p>
    <w:p w:rsidR="00C36B03" w:rsidRPr="00C36B03" w:rsidRDefault="00C36B03" w:rsidP="00C36B03">
      <w:pPr>
        <w:numPr>
          <w:ilvl w:val="1"/>
          <w:numId w:val="7"/>
        </w:numPr>
      </w:pPr>
      <w:r w:rsidRPr="00C36B03">
        <w:t>18.6% EGDT vs. 18.8% usual care group (RR 0.98, p &lt; 0.9)</w:t>
      </w:r>
    </w:p>
    <w:p w:rsidR="00C36B03" w:rsidRPr="00C36B03" w:rsidRDefault="00C36B03" w:rsidP="00C36B03">
      <w:pPr>
        <w:numPr>
          <w:ilvl w:val="1"/>
          <w:numId w:val="7"/>
        </w:numPr>
      </w:pPr>
      <w:r w:rsidRPr="00C36B03">
        <w:t>Subgroup analysis: No difference between countries (Australia, New Zealand and 'others')</w:t>
      </w:r>
    </w:p>
    <w:p w:rsidR="00C36B03" w:rsidRPr="00C36B03" w:rsidRDefault="00C36B03" w:rsidP="00C36B03">
      <w:pPr>
        <w:numPr>
          <w:ilvl w:val="0"/>
          <w:numId w:val="7"/>
        </w:numPr>
      </w:pPr>
      <w:r w:rsidRPr="00C36B03">
        <w:t>Secondary outcome: </w:t>
      </w:r>
    </w:p>
    <w:p w:rsidR="00C36B03" w:rsidRPr="00C36B03" w:rsidRDefault="00C36B03" w:rsidP="00C36B03">
      <w:pPr>
        <w:numPr>
          <w:ilvl w:val="1"/>
          <w:numId w:val="7"/>
        </w:numPr>
      </w:pPr>
      <w:r w:rsidRPr="00C36B03">
        <w:t>Median length of stay (LOS) in the ED: 1.4 hours EGDT vs. 2.0 hours usual care group</w:t>
      </w:r>
    </w:p>
    <w:p w:rsidR="00C36B03" w:rsidRPr="00C36B03" w:rsidRDefault="00C36B03" w:rsidP="00C36B03">
      <w:pPr>
        <w:numPr>
          <w:ilvl w:val="1"/>
          <w:numId w:val="7"/>
        </w:numPr>
      </w:pPr>
      <w:r w:rsidRPr="00C36B03">
        <w:t>Hospital &amp; ICU LOS: no difference</w:t>
      </w:r>
    </w:p>
    <w:p w:rsidR="00C36B03" w:rsidRPr="00C36B03" w:rsidRDefault="00C36B03" w:rsidP="00C36B03">
      <w:pPr>
        <w:numPr>
          <w:ilvl w:val="1"/>
          <w:numId w:val="7"/>
        </w:numPr>
      </w:pPr>
      <w:r w:rsidRPr="00C36B03">
        <w:t>The need for, and duration of, organ support</w:t>
      </w:r>
    </w:p>
    <w:p w:rsidR="00C36B03" w:rsidRPr="00C36B03" w:rsidRDefault="00C36B03" w:rsidP="00C36B03">
      <w:pPr>
        <w:numPr>
          <w:ilvl w:val="2"/>
          <w:numId w:val="7"/>
        </w:numPr>
      </w:pPr>
      <w:proofErr w:type="gramStart"/>
      <w:r w:rsidRPr="00C36B03">
        <w:t>vasopressor</w:t>
      </w:r>
      <w:proofErr w:type="gramEnd"/>
      <w:r w:rsidRPr="00C36B03">
        <w:t xml:space="preserve"> requirement: EGDT 76.3% vs.  usual care group 65.8%, P&lt;0.001</w:t>
      </w:r>
    </w:p>
    <w:p w:rsidR="00C36B03" w:rsidRPr="00C36B03" w:rsidRDefault="00C36B03" w:rsidP="00C36B03">
      <w:pPr>
        <w:numPr>
          <w:ilvl w:val="2"/>
          <w:numId w:val="7"/>
        </w:numPr>
      </w:pPr>
      <w:r w:rsidRPr="00C36B03">
        <w:t>median duration of vasopressor infusion - no difference</w:t>
      </w:r>
    </w:p>
    <w:p w:rsidR="00C36B03" w:rsidRPr="00C36B03" w:rsidRDefault="00C36B03" w:rsidP="00C36B03">
      <w:pPr>
        <w:numPr>
          <w:ilvl w:val="2"/>
          <w:numId w:val="7"/>
        </w:numPr>
      </w:pPr>
      <w:r w:rsidRPr="00C36B03">
        <w:t>no difference in number receiving mechanical ventilation or RRT</w:t>
      </w:r>
    </w:p>
    <w:p w:rsidR="00C36B03" w:rsidRPr="00C36B03" w:rsidRDefault="00C36B03" w:rsidP="00C36B03">
      <w:pPr>
        <w:numPr>
          <w:ilvl w:val="0"/>
          <w:numId w:val="7"/>
        </w:numPr>
      </w:pPr>
      <w:r w:rsidRPr="00C36B03">
        <w:t>Tertiary outcome:</w:t>
      </w:r>
    </w:p>
    <w:p w:rsidR="00C36B03" w:rsidRPr="00C36B03" w:rsidRDefault="00C36B03" w:rsidP="00C36B03">
      <w:pPr>
        <w:numPr>
          <w:ilvl w:val="1"/>
          <w:numId w:val="7"/>
        </w:numPr>
      </w:pPr>
      <w:r w:rsidRPr="00C36B03">
        <w:t xml:space="preserve">28d </w:t>
      </w:r>
      <w:proofErr w:type="spellStart"/>
      <w:r w:rsidRPr="00C36B03">
        <w:t>all cause</w:t>
      </w:r>
      <w:proofErr w:type="spellEnd"/>
      <w:r w:rsidRPr="00C36B03">
        <w:t xml:space="preserve"> mortality</w:t>
      </w:r>
    </w:p>
    <w:p w:rsidR="00C36B03" w:rsidRPr="00C36B03" w:rsidRDefault="00C36B03" w:rsidP="00C36B03">
      <w:pPr>
        <w:numPr>
          <w:ilvl w:val="2"/>
          <w:numId w:val="7"/>
        </w:numPr>
      </w:pPr>
      <w:r w:rsidRPr="00C36B03">
        <w:t>14.8% EGDT vs. 15.9% usual care group (RR 0.93, P=0.53)</w:t>
      </w:r>
    </w:p>
    <w:p w:rsidR="00C36B03" w:rsidRPr="00C36B03" w:rsidRDefault="00C36B03" w:rsidP="00C36B03">
      <w:pPr>
        <w:numPr>
          <w:ilvl w:val="1"/>
          <w:numId w:val="7"/>
        </w:numPr>
      </w:pPr>
      <w:r w:rsidRPr="00C36B03">
        <w:t>mortality at ICU discharge</w:t>
      </w:r>
    </w:p>
    <w:p w:rsidR="00C36B03" w:rsidRPr="00C36B03" w:rsidRDefault="00C36B03" w:rsidP="00C36B03">
      <w:pPr>
        <w:numPr>
          <w:ilvl w:val="2"/>
          <w:numId w:val="7"/>
        </w:numPr>
      </w:pPr>
      <w:r w:rsidRPr="00C36B03">
        <w:t>10.9% EGDT vs. 12.9% usual care group (RR 0.85, P=0.28)</w:t>
      </w:r>
    </w:p>
    <w:p w:rsidR="00C36B03" w:rsidRPr="00C36B03" w:rsidRDefault="00C36B03" w:rsidP="00C36B03">
      <w:pPr>
        <w:numPr>
          <w:ilvl w:val="1"/>
          <w:numId w:val="7"/>
        </w:numPr>
      </w:pPr>
      <w:r w:rsidRPr="00C36B03">
        <w:t>hospital mortality (censored at 60d mortality)</w:t>
      </w:r>
    </w:p>
    <w:p w:rsidR="00C36B03" w:rsidRPr="00C36B03" w:rsidRDefault="00C36B03" w:rsidP="00C36B03">
      <w:pPr>
        <w:numPr>
          <w:ilvl w:val="2"/>
          <w:numId w:val="7"/>
        </w:numPr>
      </w:pPr>
      <w:r w:rsidRPr="00C36B03">
        <w:t>14.5% EGDT vs. 15.7% usual care group (RR 0.92, P=0.53)</w:t>
      </w:r>
    </w:p>
    <w:p w:rsidR="00C36B03" w:rsidRPr="00C36B03" w:rsidRDefault="00C36B03" w:rsidP="00C36B03">
      <w:pPr>
        <w:numPr>
          <w:ilvl w:val="0"/>
          <w:numId w:val="7"/>
        </w:numPr>
      </w:pPr>
      <w:r w:rsidRPr="00C36B03">
        <w:t>Volume of fluid administered during the first 6 hours:</w:t>
      </w:r>
    </w:p>
    <w:p w:rsidR="00C36B03" w:rsidRPr="00C36B03" w:rsidRDefault="00C36B03" w:rsidP="00C36B03">
      <w:pPr>
        <w:numPr>
          <w:ilvl w:val="1"/>
          <w:numId w:val="7"/>
        </w:numPr>
      </w:pPr>
      <w:r w:rsidRPr="00C36B03">
        <w:t>EGDT 1964+/-1415 vs. Usual-care group 1713+/-1401ml P&lt;0.001</w:t>
      </w:r>
    </w:p>
    <w:p w:rsidR="00C36B03" w:rsidRPr="00C36B03" w:rsidRDefault="00C36B03" w:rsidP="00C36B03">
      <w:pPr>
        <w:numPr>
          <w:ilvl w:val="0"/>
          <w:numId w:val="7"/>
        </w:numPr>
      </w:pPr>
      <w:r w:rsidRPr="00C36B03">
        <w:t>Subgroup analyses: No difference in any categories</w:t>
      </w:r>
    </w:p>
    <w:p w:rsidR="00C36B03" w:rsidRPr="00C36B03" w:rsidRDefault="00C36B03" w:rsidP="00C36B03">
      <w:pPr>
        <w:numPr>
          <w:ilvl w:val="1"/>
          <w:numId w:val="7"/>
        </w:numPr>
      </w:pPr>
      <w:r w:rsidRPr="00C36B03">
        <w:t>Country</w:t>
      </w:r>
    </w:p>
    <w:p w:rsidR="00C36B03" w:rsidRPr="00C36B03" w:rsidRDefault="00C36B03" w:rsidP="00C36B03">
      <w:pPr>
        <w:numPr>
          <w:ilvl w:val="1"/>
          <w:numId w:val="7"/>
        </w:numPr>
      </w:pPr>
      <w:r w:rsidRPr="00C36B03">
        <w:t>APACHE II &lt; 25 vs. &gt;25</w:t>
      </w:r>
    </w:p>
    <w:p w:rsidR="00C36B03" w:rsidRPr="00C36B03" w:rsidRDefault="00C36B03" w:rsidP="00C36B03">
      <w:pPr>
        <w:numPr>
          <w:ilvl w:val="1"/>
          <w:numId w:val="7"/>
        </w:numPr>
      </w:pPr>
      <w:r w:rsidRPr="00C36B03">
        <w:lastRenderedPageBreak/>
        <w:t>Presence or absence of invasive mechanical ventilation</w:t>
      </w:r>
    </w:p>
    <w:p w:rsidR="00C36B03" w:rsidRPr="00C36B03" w:rsidRDefault="00C36B03" w:rsidP="00C36B03">
      <w:pPr>
        <w:numPr>
          <w:ilvl w:val="1"/>
          <w:numId w:val="7"/>
        </w:numPr>
      </w:pPr>
      <w:r w:rsidRPr="00C36B03">
        <w:t>Presence or absence of refractory hypotension</w:t>
      </w:r>
    </w:p>
    <w:p w:rsidR="00C36B03" w:rsidRPr="00C36B03" w:rsidRDefault="00C36B03" w:rsidP="00C36B03">
      <w:pPr>
        <w:numPr>
          <w:ilvl w:val="1"/>
          <w:numId w:val="7"/>
        </w:numPr>
      </w:pPr>
      <w:r w:rsidRPr="00C36B03">
        <w:t>Lactate level (&lt;4.0mmol/l or&lt;4.0mmol/L)</w:t>
      </w:r>
    </w:p>
    <w:p w:rsidR="00C36B03" w:rsidRPr="00C36B03" w:rsidRDefault="00C36B03" w:rsidP="00C36B03">
      <w:pPr>
        <w:numPr>
          <w:ilvl w:val="1"/>
          <w:numId w:val="7"/>
        </w:numPr>
      </w:pPr>
      <w:r w:rsidRPr="00C36B03">
        <w:t>Intravenous fluid administration (&lt;20ml/kg or &gt;20ml/kg of body weight)</w:t>
      </w:r>
    </w:p>
    <w:p w:rsidR="00C36B03" w:rsidRPr="00C36B03" w:rsidRDefault="00C36B03" w:rsidP="00C36B03"/>
    <w:tbl>
      <w:tblPr>
        <w:tblW w:w="8730" w:type="dxa"/>
        <w:tblBorders>
          <w:top w:val="single" w:sz="6" w:space="0" w:color="DD6E57"/>
          <w:left w:val="single" w:sz="6" w:space="0" w:color="DD6E57"/>
          <w:bottom w:val="single" w:sz="6" w:space="0" w:color="DD6E57"/>
          <w:right w:val="single" w:sz="6" w:space="0" w:color="DD6E57"/>
        </w:tblBorders>
        <w:tblCellMar>
          <w:top w:w="15" w:type="dxa"/>
          <w:left w:w="15" w:type="dxa"/>
          <w:bottom w:w="15" w:type="dxa"/>
          <w:right w:w="15" w:type="dxa"/>
        </w:tblCellMar>
        <w:tblLook w:val="04A0" w:firstRow="1" w:lastRow="0" w:firstColumn="1" w:lastColumn="0" w:noHBand="0" w:noVBand="1"/>
      </w:tblPr>
      <w:tblGrid>
        <w:gridCol w:w="2569"/>
        <w:gridCol w:w="988"/>
        <w:gridCol w:w="1685"/>
        <w:gridCol w:w="916"/>
        <w:gridCol w:w="1839"/>
        <w:gridCol w:w="733"/>
      </w:tblGrid>
      <w:tr w:rsidR="00C36B03" w:rsidRPr="00C36B03" w:rsidTr="00C36B03">
        <w:trPr>
          <w:tblHeader/>
        </w:trPr>
        <w:tc>
          <w:tcPr>
            <w:tcW w:w="0" w:type="auto"/>
            <w:gridSpan w:val="6"/>
            <w:tcBorders>
              <w:top w:val="nil"/>
              <w:left w:val="nil"/>
              <w:bottom w:val="nil"/>
              <w:right w:val="nil"/>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Primary Outcome</w:t>
            </w:r>
          </w:p>
        </w:tc>
      </w:tr>
      <w:tr w:rsidR="00C36B03" w:rsidRPr="00C36B03" w:rsidTr="00C36B03">
        <w:trPr>
          <w:tblHeader/>
        </w:trPr>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Measure</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EGDT</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Usual Care</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AD</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95% CI</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p</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90-day mortality</w:t>
            </w:r>
            <w:r w:rsidRPr="00C36B03">
              <w:rPr>
                <w:b/>
                <w:bCs/>
              </w:rPr>
              <w:br/>
              <w:t>Mean (SD)</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18.6%</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18.8%</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-0.3%</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-4.1 to 3.6%</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0.90</w:t>
            </w:r>
          </w:p>
        </w:tc>
      </w:tr>
      <w:tr w:rsidR="00C36B03" w:rsidRPr="00C36B03" w:rsidTr="00C36B03">
        <w:tc>
          <w:tcPr>
            <w:tcW w:w="0" w:type="auto"/>
            <w:gridSpan w:val="6"/>
            <w:tcBorders>
              <w:top w:val="single" w:sz="6" w:space="0" w:color="DD6E57"/>
              <w:left w:val="nil"/>
              <w:bottom w:val="single" w:sz="6" w:space="0" w:color="DD6E57"/>
              <w:right w:val="nil"/>
            </w:tcBorders>
            <w:shd w:val="clear" w:color="auto" w:fill="E8BEAE"/>
            <w:tcMar>
              <w:top w:w="30" w:type="dxa"/>
              <w:left w:w="30" w:type="dxa"/>
              <w:bottom w:w="30" w:type="dxa"/>
              <w:right w:w="30" w:type="dxa"/>
            </w:tcMar>
            <w:vAlign w:val="center"/>
            <w:hideMark/>
          </w:tcPr>
          <w:p w:rsidR="00C36B03" w:rsidRPr="00C36B03" w:rsidRDefault="00C36B03" w:rsidP="00C36B03">
            <w:pPr>
              <w:rPr>
                <w:b/>
                <w:bCs/>
                <w:i/>
                <w:iCs/>
              </w:rPr>
            </w:pPr>
            <w:r w:rsidRPr="00C36B03">
              <w:rPr>
                <w:b/>
                <w:bCs/>
                <w:i/>
                <w:iCs/>
              </w:rPr>
              <w:t>AD = absolute difference; CI = confidence intervals; p = p value</w:t>
            </w:r>
          </w:p>
        </w:tc>
      </w:tr>
    </w:tbl>
    <w:p w:rsidR="00C36B03" w:rsidRPr="00C36B03" w:rsidRDefault="00C36B03" w:rsidP="00C36B03">
      <w:pPr>
        <w:rPr>
          <w:vanish/>
        </w:rPr>
      </w:pPr>
    </w:p>
    <w:tbl>
      <w:tblPr>
        <w:tblW w:w="8730" w:type="dxa"/>
        <w:tblBorders>
          <w:top w:val="single" w:sz="6" w:space="0" w:color="DD6E57"/>
          <w:left w:val="single" w:sz="6" w:space="0" w:color="DD6E57"/>
          <w:bottom w:val="single" w:sz="6" w:space="0" w:color="DD6E57"/>
          <w:right w:val="single" w:sz="6" w:space="0" w:color="DD6E57"/>
        </w:tblBorders>
        <w:tblCellMar>
          <w:top w:w="15" w:type="dxa"/>
          <w:left w:w="15" w:type="dxa"/>
          <w:bottom w:w="15" w:type="dxa"/>
          <w:right w:w="15" w:type="dxa"/>
        </w:tblCellMar>
        <w:tblLook w:val="04A0" w:firstRow="1" w:lastRow="0" w:firstColumn="1" w:lastColumn="0" w:noHBand="0" w:noVBand="1"/>
      </w:tblPr>
      <w:tblGrid>
        <w:gridCol w:w="2887"/>
        <w:gridCol w:w="901"/>
        <w:gridCol w:w="1534"/>
        <w:gridCol w:w="668"/>
        <w:gridCol w:w="1672"/>
        <w:gridCol w:w="1068"/>
      </w:tblGrid>
      <w:tr w:rsidR="00C36B03" w:rsidRPr="00C36B03" w:rsidTr="00C36B03">
        <w:trPr>
          <w:tblHeader/>
        </w:trPr>
        <w:tc>
          <w:tcPr>
            <w:tcW w:w="0" w:type="auto"/>
            <w:gridSpan w:val="6"/>
            <w:tcBorders>
              <w:top w:val="nil"/>
              <w:left w:val="nil"/>
              <w:bottom w:val="nil"/>
              <w:right w:val="nil"/>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Secondary Outcomes</w:t>
            </w:r>
          </w:p>
        </w:tc>
      </w:tr>
      <w:tr w:rsidR="00C36B03" w:rsidRPr="00C36B03" w:rsidTr="00C36B03">
        <w:trPr>
          <w:tblHeader/>
        </w:trPr>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Measure</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EGDT</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Usual Care</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RR</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95% CI</w:t>
            </w:r>
          </w:p>
        </w:tc>
        <w:tc>
          <w:tcPr>
            <w:tcW w:w="0" w:type="auto"/>
            <w:tcBorders>
              <w:top w:val="single" w:sz="6" w:space="0" w:color="DD6E57"/>
              <w:left w:val="single" w:sz="6" w:space="0" w:color="DD6E57"/>
              <w:bottom w:val="single" w:sz="6" w:space="0" w:color="DD6E57"/>
              <w:right w:val="single" w:sz="6" w:space="0" w:color="DD6E57"/>
            </w:tcBorders>
            <w:shd w:val="clear" w:color="auto" w:fill="E8BEAE"/>
            <w:tcMar>
              <w:top w:w="30" w:type="dxa"/>
              <w:left w:w="30" w:type="dxa"/>
              <w:bottom w:w="30" w:type="dxa"/>
              <w:right w:w="30" w:type="dxa"/>
            </w:tcMar>
            <w:vAlign w:val="center"/>
            <w:hideMark/>
          </w:tcPr>
          <w:p w:rsidR="00C36B03" w:rsidRPr="00C36B03" w:rsidRDefault="00C36B03" w:rsidP="00C36B03">
            <w:pPr>
              <w:rPr>
                <w:b/>
                <w:bCs/>
              </w:rPr>
            </w:pPr>
            <w:r w:rsidRPr="00C36B03">
              <w:rPr>
                <w:b/>
                <w:bCs/>
              </w:rPr>
              <w:t>p</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Vasopressor support</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76.3%</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65.8%</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1.16</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1.09 to 1.24</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&lt; 0.001</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ED LOS</w:t>
            </w:r>
            <w:r w:rsidRPr="00C36B03">
              <w:rPr>
                <w:b/>
                <w:bCs/>
              </w:rPr>
              <w:br/>
              <w:t>hours</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1.4</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2.0</w:t>
            </w:r>
          </w:p>
        </w:tc>
        <w:tc>
          <w:tcPr>
            <w:tcW w:w="0" w:type="auto"/>
            <w:gridSpan w:val="2"/>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n/a</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&lt; 0.001</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ICU LOS</w:t>
            </w:r>
            <w:r w:rsidRPr="00C36B03">
              <w:rPr>
                <w:b/>
                <w:bCs/>
              </w:rPr>
              <w:br/>
              <w:t>days </w:t>
            </w:r>
            <w:r w:rsidRPr="00C36B03">
              <w:rPr>
                <w:b/>
                <w:bCs/>
              </w:rPr>
              <w:br/>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2.8</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2.8</w:t>
            </w:r>
          </w:p>
        </w:tc>
        <w:tc>
          <w:tcPr>
            <w:tcW w:w="0" w:type="auto"/>
            <w:gridSpan w:val="2"/>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n/a</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0.81</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Hospital LOS</w:t>
            </w:r>
            <w:r w:rsidRPr="00C36B03">
              <w:rPr>
                <w:b/>
                <w:bCs/>
              </w:rPr>
              <w:br/>
              <w:t>days</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8.2</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8.5</w:t>
            </w:r>
          </w:p>
        </w:tc>
        <w:tc>
          <w:tcPr>
            <w:tcW w:w="0" w:type="auto"/>
            <w:gridSpan w:val="2"/>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n/a</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0.89</w:t>
            </w:r>
          </w:p>
        </w:tc>
      </w:tr>
      <w:tr w:rsidR="00C36B03" w:rsidRPr="00C36B03" w:rsidTr="00C36B03">
        <w:tc>
          <w:tcPr>
            <w:tcW w:w="0" w:type="auto"/>
            <w:tcBorders>
              <w:top w:val="single" w:sz="6" w:space="0" w:color="DD6E57"/>
              <w:left w:val="nil"/>
              <w:bottom w:val="single" w:sz="6" w:space="0" w:color="DD6E57"/>
              <w:right w:val="nil"/>
            </w:tcBorders>
            <w:shd w:val="clear" w:color="auto" w:fill="F6E8E2"/>
            <w:tcMar>
              <w:top w:w="30" w:type="dxa"/>
              <w:left w:w="30" w:type="dxa"/>
              <w:bottom w:w="30" w:type="dxa"/>
              <w:right w:w="30" w:type="dxa"/>
            </w:tcMar>
            <w:vAlign w:val="center"/>
            <w:hideMark/>
          </w:tcPr>
          <w:p w:rsidR="00C36B03" w:rsidRPr="00C36B03" w:rsidRDefault="00C36B03" w:rsidP="00C36B03">
            <w:pPr>
              <w:rPr>
                <w:b/>
                <w:bCs/>
              </w:rPr>
            </w:pPr>
            <w:r w:rsidRPr="00C36B03">
              <w:rPr>
                <w:b/>
                <w:bCs/>
              </w:rPr>
              <w:t>28-day mortality</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14.8%</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15.9%</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0.93</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0.73 to 1.17</w:t>
            </w:r>
          </w:p>
        </w:tc>
        <w:tc>
          <w:tcPr>
            <w:tcW w:w="0" w:type="auto"/>
            <w:tcBorders>
              <w:top w:val="single" w:sz="6" w:space="0" w:color="DD6E57"/>
              <w:left w:val="nil"/>
              <w:bottom w:val="single" w:sz="6" w:space="0" w:color="DD6E57"/>
              <w:right w:val="nil"/>
            </w:tcBorders>
            <w:shd w:val="clear" w:color="auto" w:fill="FFFFFF"/>
            <w:tcMar>
              <w:top w:w="30" w:type="dxa"/>
              <w:left w:w="30" w:type="dxa"/>
              <w:bottom w:w="30" w:type="dxa"/>
              <w:right w:w="30" w:type="dxa"/>
            </w:tcMar>
            <w:vAlign w:val="center"/>
            <w:hideMark/>
          </w:tcPr>
          <w:p w:rsidR="00C36B03" w:rsidRPr="00C36B03" w:rsidRDefault="00C36B03" w:rsidP="00C36B03">
            <w:r w:rsidRPr="00C36B03">
              <w:t>0.53</w:t>
            </w:r>
          </w:p>
        </w:tc>
      </w:tr>
      <w:tr w:rsidR="00C36B03" w:rsidRPr="00C36B03" w:rsidTr="00C36B03">
        <w:tc>
          <w:tcPr>
            <w:tcW w:w="0" w:type="auto"/>
            <w:gridSpan w:val="6"/>
            <w:tcBorders>
              <w:top w:val="single" w:sz="6" w:space="0" w:color="DD6E57"/>
              <w:left w:val="nil"/>
              <w:bottom w:val="single" w:sz="6" w:space="0" w:color="DD6E57"/>
              <w:right w:val="nil"/>
            </w:tcBorders>
            <w:shd w:val="clear" w:color="auto" w:fill="E8BEAE"/>
            <w:tcMar>
              <w:top w:w="30" w:type="dxa"/>
              <w:left w:w="30" w:type="dxa"/>
              <w:bottom w:w="30" w:type="dxa"/>
              <w:right w:w="30" w:type="dxa"/>
            </w:tcMar>
            <w:vAlign w:val="center"/>
            <w:hideMark/>
          </w:tcPr>
          <w:p w:rsidR="00C36B03" w:rsidRPr="00C36B03" w:rsidRDefault="00C36B03" w:rsidP="00C36B03">
            <w:pPr>
              <w:rPr>
                <w:b/>
                <w:bCs/>
                <w:i/>
                <w:iCs/>
              </w:rPr>
            </w:pPr>
            <w:r w:rsidRPr="00C36B03">
              <w:rPr>
                <w:b/>
                <w:bCs/>
                <w:i/>
                <w:iCs/>
              </w:rPr>
              <w:t>LOS = Length of Stay; ED = Emergency Department; ICU = Intensive Care Unit; RR = Relative Risk</w:t>
            </w:r>
          </w:p>
        </w:tc>
      </w:tr>
    </w:tbl>
    <w:p w:rsidR="00C36B03" w:rsidRPr="00C36B03" w:rsidRDefault="00C36B03" w:rsidP="00C36B03">
      <w:pPr>
        <w:rPr>
          <w:b/>
          <w:bCs/>
        </w:rPr>
      </w:pPr>
      <w:r w:rsidRPr="00C36B03">
        <w:rPr>
          <w:b/>
          <w:bCs/>
        </w:rPr>
        <w:t>Authors' Conclusions</w:t>
      </w:r>
    </w:p>
    <w:p w:rsidR="00C36B03" w:rsidRPr="00C36B03" w:rsidRDefault="00C36B03" w:rsidP="00C36B03">
      <w:pPr>
        <w:numPr>
          <w:ilvl w:val="0"/>
          <w:numId w:val="8"/>
        </w:numPr>
      </w:pPr>
      <w:r w:rsidRPr="00C36B03">
        <w:t>In critically ill patients presenting to the emergency department with early septic shock, EGDT did not reduce all-cause mortality at 90 days. </w:t>
      </w:r>
    </w:p>
    <w:p w:rsidR="00C36B03" w:rsidRPr="00C36B03" w:rsidRDefault="00C36B03" w:rsidP="00C36B03">
      <w:pPr>
        <w:rPr>
          <w:b/>
          <w:bCs/>
        </w:rPr>
      </w:pPr>
      <w:r w:rsidRPr="00C36B03">
        <w:rPr>
          <w:b/>
          <w:bCs/>
        </w:rPr>
        <w:t>Strengths</w:t>
      </w:r>
    </w:p>
    <w:p w:rsidR="00C36B03" w:rsidRPr="00C36B03" w:rsidRDefault="00C36B03" w:rsidP="00C36B03">
      <w:pPr>
        <w:numPr>
          <w:ilvl w:val="0"/>
          <w:numId w:val="9"/>
        </w:numPr>
      </w:pPr>
      <w:r w:rsidRPr="00C36B03">
        <w:t>Clinical relevance and high impact</w:t>
      </w:r>
    </w:p>
    <w:p w:rsidR="00C36B03" w:rsidRPr="00C36B03" w:rsidRDefault="00C36B03" w:rsidP="00C36B03">
      <w:pPr>
        <w:numPr>
          <w:ilvl w:val="0"/>
          <w:numId w:val="9"/>
        </w:numPr>
      </w:pPr>
      <w:r w:rsidRPr="00C36B03">
        <w:t>Large multi-</w:t>
      </w:r>
      <w:proofErr w:type="spellStart"/>
      <w:r w:rsidRPr="00C36B03">
        <w:t>centre</w:t>
      </w:r>
      <w:proofErr w:type="spellEnd"/>
      <w:r w:rsidRPr="00C36B03">
        <w:t xml:space="preserve"> study</w:t>
      </w:r>
    </w:p>
    <w:p w:rsidR="00C36B03" w:rsidRPr="00C36B03" w:rsidRDefault="00C36B03" w:rsidP="00C36B03">
      <w:pPr>
        <w:numPr>
          <w:ilvl w:val="0"/>
          <w:numId w:val="9"/>
        </w:numPr>
      </w:pPr>
      <w:r w:rsidRPr="00C36B03">
        <w:lastRenderedPageBreak/>
        <w:t>Use of original EGDT algorithm in the intervention group</w:t>
      </w:r>
    </w:p>
    <w:p w:rsidR="00C36B03" w:rsidRPr="00C36B03" w:rsidRDefault="00C36B03" w:rsidP="00C36B03">
      <w:pPr>
        <w:numPr>
          <w:ilvl w:val="0"/>
          <w:numId w:val="9"/>
        </w:numPr>
      </w:pPr>
      <w:r w:rsidRPr="00C36B03">
        <w:t xml:space="preserve">A pragmatic study which allowed clinician discretion in managing the 'usual care' group and also not limiting involvement of some </w:t>
      </w:r>
      <w:proofErr w:type="spellStart"/>
      <w:r w:rsidRPr="00C36B03">
        <w:t>centres</w:t>
      </w:r>
      <w:proofErr w:type="spellEnd"/>
      <w:r w:rsidRPr="00C36B03">
        <w:t xml:space="preserve"> because of resource limitations</w:t>
      </w:r>
    </w:p>
    <w:p w:rsidR="00C36B03" w:rsidRPr="00C36B03" w:rsidRDefault="00C36B03" w:rsidP="00C36B03">
      <w:pPr>
        <w:numPr>
          <w:ilvl w:val="0"/>
          <w:numId w:val="9"/>
        </w:numPr>
      </w:pPr>
      <w:r w:rsidRPr="00C36B03">
        <w:t>Information supplied regarding timing of first dose antibiotics. A sensible inclusion criteria of antimicrobials being started before enrolment addressed the potential confounding effect of late administration</w:t>
      </w:r>
    </w:p>
    <w:p w:rsidR="00C36B03" w:rsidRPr="00C36B03" w:rsidRDefault="00C36B03" w:rsidP="00C36B03">
      <w:pPr>
        <w:numPr>
          <w:ilvl w:val="0"/>
          <w:numId w:val="9"/>
        </w:numPr>
      </w:pPr>
      <w:r w:rsidRPr="00C36B03">
        <w:t>Subgroup analyses for variation in mortality between countries</w:t>
      </w:r>
    </w:p>
    <w:p w:rsidR="00C36B03" w:rsidRPr="00C36B03" w:rsidRDefault="00C36B03" w:rsidP="00C36B03">
      <w:pPr>
        <w:numPr>
          <w:ilvl w:val="0"/>
          <w:numId w:val="9"/>
        </w:numPr>
      </w:pPr>
      <w:r w:rsidRPr="00C36B03">
        <w:t>Statistical analysis plan published before recruitment was completed eliminates the risk of analytical bias</w:t>
      </w:r>
    </w:p>
    <w:p w:rsidR="00C36B03" w:rsidRPr="00C36B03" w:rsidRDefault="00C36B03" w:rsidP="00C36B03">
      <w:pPr>
        <w:rPr>
          <w:b/>
          <w:bCs/>
        </w:rPr>
      </w:pPr>
      <w:r w:rsidRPr="00C36B03">
        <w:rPr>
          <w:b/>
          <w:bCs/>
        </w:rPr>
        <w:t>Weaknesses</w:t>
      </w:r>
    </w:p>
    <w:p w:rsidR="00C36B03" w:rsidRPr="00C36B03" w:rsidRDefault="00C36B03" w:rsidP="00C36B03">
      <w:pPr>
        <w:numPr>
          <w:ilvl w:val="0"/>
          <w:numId w:val="10"/>
        </w:numPr>
      </w:pPr>
      <w:r w:rsidRPr="00C36B03">
        <w:t xml:space="preserve">Lower APACHE scores than </w:t>
      </w:r>
      <w:proofErr w:type="spellStart"/>
      <w:r w:rsidRPr="00C36B03">
        <w:t>ProCESS</w:t>
      </w:r>
      <w:proofErr w:type="spellEnd"/>
      <w:r w:rsidRPr="00C36B03">
        <w:t xml:space="preserve"> and Rivers study but this has been addressed with a subgroup analysis of those with APACHE II scores of &lt; 25 and &gt; 25. There was still no difference in mortality between EGDT and usual-care in the sicker group although the total numbers were small in &gt; 25 group (n=69)</w:t>
      </w:r>
    </w:p>
    <w:p w:rsidR="00C36B03" w:rsidRPr="00C36B03" w:rsidRDefault="00C36B03" w:rsidP="00C36B03">
      <w:pPr>
        <w:numPr>
          <w:ilvl w:val="0"/>
          <w:numId w:val="10"/>
        </w:numPr>
      </w:pPr>
      <w:r w:rsidRPr="00C36B03">
        <w:t xml:space="preserve">Low recruitment rate per month across all </w:t>
      </w:r>
      <w:proofErr w:type="spellStart"/>
      <w:r w:rsidRPr="00C36B03">
        <w:t>centres</w:t>
      </w:r>
      <w:proofErr w:type="spellEnd"/>
      <w:r w:rsidRPr="00C36B03">
        <w:t xml:space="preserve">. The largest recruiting </w:t>
      </w:r>
      <w:proofErr w:type="spellStart"/>
      <w:r w:rsidRPr="00C36B03">
        <w:t>centre</w:t>
      </w:r>
      <w:proofErr w:type="spellEnd"/>
      <w:r w:rsidRPr="00C36B03">
        <w:t xml:space="preserve"> (Austin Health) recruited at a mean rate of just over 2 patients per month. However, adherence with EGDT protocol was high and management of sepsis well established in usual care practice. This low rate reflects the complexities of conducting research studies. Multi-</w:t>
      </w:r>
      <w:proofErr w:type="spellStart"/>
      <w:r w:rsidRPr="00C36B03">
        <w:t>centre</w:t>
      </w:r>
      <w:proofErr w:type="spellEnd"/>
      <w:r w:rsidRPr="00C36B03">
        <w:t xml:space="preserve"> involvement is essential both for ensuring </w:t>
      </w:r>
      <w:proofErr w:type="spellStart"/>
      <w:r w:rsidRPr="00C36B03">
        <w:t>generalisability</w:t>
      </w:r>
      <w:proofErr w:type="spellEnd"/>
      <w:r w:rsidRPr="00C36B03">
        <w:t xml:space="preserve"> and appropriately powered trials</w:t>
      </w:r>
    </w:p>
    <w:p w:rsidR="00C36B03" w:rsidRPr="00C36B03" w:rsidRDefault="00C36B03" w:rsidP="00C36B03">
      <w:pPr>
        <w:rPr>
          <w:b/>
          <w:bCs/>
        </w:rPr>
      </w:pPr>
      <w:r w:rsidRPr="00C36B03">
        <w:rPr>
          <w:b/>
          <w:bCs/>
        </w:rPr>
        <w:t>The Bottom Line</w:t>
      </w:r>
    </w:p>
    <w:p w:rsidR="00C36B03" w:rsidRPr="00C36B03" w:rsidRDefault="00C36B03" w:rsidP="007E5559">
      <w:pPr>
        <w:numPr>
          <w:ilvl w:val="0"/>
          <w:numId w:val="11"/>
        </w:numPr>
      </w:pPr>
      <w:r w:rsidRPr="00C36B03">
        <w:t xml:space="preserve">Another nail in the coffin for EGDT and specifically continuous central venous co-oximetry, liberal blood transfusion policy and probably </w:t>
      </w:r>
      <w:proofErr w:type="spellStart"/>
      <w:r w:rsidRPr="00C36B03">
        <w:t>dobutamine</w:t>
      </w:r>
      <w:proofErr w:type="spellEnd"/>
      <w:r w:rsidRPr="00C36B03">
        <w:t xml:space="preserve">. Despite the stark difference between </w:t>
      </w:r>
      <w:proofErr w:type="spellStart"/>
      <w:r w:rsidRPr="00C36B03">
        <w:t>ProCESS</w:t>
      </w:r>
      <w:proofErr w:type="spellEnd"/>
      <w:r w:rsidRPr="00C36B03">
        <w:t xml:space="preserve"> &amp; ARISE compared with the Rivers paper, it is essential that we continue to </w:t>
      </w:r>
      <w:proofErr w:type="spellStart"/>
      <w:r w:rsidRPr="00C36B03">
        <w:t>recognise</w:t>
      </w:r>
      <w:proofErr w:type="spellEnd"/>
      <w:r w:rsidRPr="00C36B03">
        <w:t xml:space="preserve"> the importance of high standard of care in sepsis. Early recognition, source control, antimicrobial therapy, fluid resuscitation and escalation remain the fundamental treatment goals.  I eagerly await the results of </w:t>
      </w:r>
      <w:proofErr w:type="spellStart"/>
      <w:r w:rsidRPr="00C36B03">
        <w:t>ProMISe</w:t>
      </w:r>
      <w:proofErr w:type="spellEnd"/>
      <w:r w:rsidRPr="00C36B03">
        <w:t xml:space="preserve"> to complete the triumvirate of modern EGDT in sepsis trials.</w:t>
      </w:r>
      <w:bookmarkStart w:id="0" w:name="_GoBack"/>
      <w:bookmarkEnd w:id="0"/>
    </w:p>
    <w:sectPr w:rsidR="00C36B03" w:rsidRPr="00C36B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F18EC"/>
    <w:multiLevelType w:val="multilevel"/>
    <w:tmpl w:val="8DE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70458"/>
    <w:multiLevelType w:val="multilevel"/>
    <w:tmpl w:val="9CC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82C4A"/>
    <w:multiLevelType w:val="multilevel"/>
    <w:tmpl w:val="BF70D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65723"/>
    <w:multiLevelType w:val="multilevel"/>
    <w:tmpl w:val="4A620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F1E9B"/>
    <w:multiLevelType w:val="multilevel"/>
    <w:tmpl w:val="BBCA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3144E3"/>
    <w:multiLevelType w:val="multilevel"/>
    <w:tmpl w:val="0F34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7362F6"/>
    <w:multiLevelType w:val="multilevel"/>
    <w:tmpl w:val="97A63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720D57"/>
    <w:multiLevelType w:val="multilevel"/>
    <w:tmpl w:val="00AE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406AE3"/>
    <w:multiLevelType w:val="multilevel"/>
    <w:tmpl w:val="CE4E0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C42E0"/>
    <w:multiLevelType w:val="multilevel"/>
    <w:tmpl w:val="A152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3A0071"/>
    <w:multiLevelType w:val="multilevel"/>
    <w:tmpl w:val="545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6"/>
  </w:num>
  <w:num w:numId="5">
    <w:abstractNumId w:val="2"/>
  </w:num>
  <w:num w:numId="6">
    <w:abstractNumId w:val="3"/>
  </w:num>
  <w:num w:numId="7">
    <w:abstractNumId w:val="8"/>
  </w:num>
  <w:num w:numId="8">
    <w:abstractNumId w:val="4"/>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49A"/>
    <w:rsid w:val="0059349A"/>
    <w:rsid w:val="006C7280"/>
    <w:rsid w:val="00C36B03"/>
    <w:rsid w:val="00DE0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38983-ADB4-4547-A2FE-4DE06014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B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670305">
      <w:bodyDiv w:val="1"/>
      <w:marLeft w:val="0"/>
      <w:marRight w:val="0"/>
      <w:marTop w:val="0"/>
      <w:marBottom w:val="0"/>
      <w:divBdr>
        <w:top w:val="none" w:sz="0" w:space="0" w:color="auto"/>
        <w:left w:val="none" w:sz="0" w:space="0" w:color="auto"/>
        <w:bottom w:val="none" w:sz="0" w:space="0" w:color="auto"/>
        <w:right w:val="none" w:sz="0" w:space="0" w:color="auto"/>
      </w:divBdr>
    </w:div>
    <w:div w:id="1192761225">
      <w:bodyDiv w:val="1"/>
      <w:marLeft w:val="0"/>
      <w:marRight w:val="0"/>
      <w:marTop w:val="0"/>
      <w:marBottom w:val="0"/>
      <w:divBdr>
        <w:top w:val="none" w:sz="0" w:space="0" w:color="auto"/>
        <w:left w:val="none" w:sz="0" w:space="0" w:color="auto"/>
        <w:bottom w:val="none" w:sz="0" w:space="0" w:color="auto"/>
        <w:right w:val="none" w:sz="0" w:space="0" w:color="auto"/>
      </w:divBdr>
      <w:divsChild>
        <w:div w:id="507017003">
          <w:marLeft w:val="0"/>
          <w:marRight w:val="0"/>
          <w:marTop w:val="0"/>
          <w:marBottom w:val="450"/>
          <w:divBdr>
            <w:top w:val="none" w:sz="0" w:space="0" w:color="auto"/>
            <w:left w:val="none" w:sz="0" w:space="0" w:color="auto"/>
            <w:bottom w:val="none" w:sz="0" w:space="0" w:color="auto"/>
            <w:right w:val="none" w:sz="0" w:space="0" w:color="auto"/>
          </w:divBdr>
        </w:div>
        <w:div w:id="1631090822">
          <w:marLeft w:val="0"/>
          <w:marRight w:val="0"/>
          <w:marTop w:val="0"/>
          <w:marBottom w:val="0"/>
          <w:divBdr>
            <w:top w:val="none" w:sz="0" w:space="0" w:color="auto"/>
            <w:left w:val="none" w:sz="0" w:space="0" w:color="auto"/>
            <w:bottom w:val="none" w:sz="0" w:space="0" w:color="auto"/>
            <w:right w:val="none" w:sz="0" w:space="0" w:color="auto"/>
          </w:divBdr>
          <w:divsChild>
            <w:div w:id="1669819639">
              <w:marLeft w:val="240"/>
              <w:marRight w:val="240"/>
              <w:marTop w:val="0"/>
              <w:marBottom w:val="0"/>
              <w:divBdr>
                <w:top w:val="none" w:sz="0" w:space="0" w:color="auto"/>
                <w:left w:val="none" w:sz="0" w:space="0" w:color="auto"/>
                <w:bottom w:val="none" w:sz="0" w:space="0" w:color="auto"/>
                <w:right w:val="none" w:sz="0" w:space="0" w:color="auto"/>
              </w:divBdr>
            </w:div>
            <w:div w:id="1832788116">
              <w:marLeft w:val="240"/>
              <w:marRight w:val="240"/>
              <w:marTop w:val="0"/>
              <w:marBottom w:val="0"/>
              <w:divBdr>
                <w:top w:val="none" w:sz="0" w:space="0" w:color="auto"/>
                <w:left w:val="none" w:sz="0" w:space="0" w:color="auto"/>
                <w:bottom w:val="none" w:sz="0" w:space="0" w:color="auto"/>
                <w:right w:val="none" w:sz="0" w:space="0" w:color="auto"/>
              </w:divBdr>
            </w:div>
            <w:div w:id="1858038826">
              <w:marLeft w:val="240"/>
              <w:marRight w:val="240"/>
              <w:marTop w:val="0"/>
              <w:marBottom w:val="0"/>
              <w:divBdr>
                <w:top w:val="none" w:sz="0" w:space="0" w:color="auto"/>
                <w:left w:val="none" w:sz="0" w:space="0" w:color="auto"/>
                <w:bottom w:val="none" w:sz="0" w:space="0" w:color="auto"/>
                <w:right w:val="none" w:sz="0" w:space="0" w:color="auto"/>
              </w:divBdr>
            </w:div>
            <w:div w:id="810364312">
              <w:marLeft w:val="240"/>
              <w:marRight w:val="240"/>
              <w:marTop w:val="0"/>
              <w:marBottom w:val="0"/>
              <w:divBdr>
                <w:top w:val="none" w:sz="0" w:space="0" w:color="auto"/>
                <w:left w:val="none" w:sz="0" w:space="0" w:color="auto"/>
                <w:bottom w:val="none" w:sz="0" w:space="0" w:color="auto"/>
                <w:right w:val="none" w:sz="0" w:space="0" w:color="auto"/>
              </w:divBdr>
            </w:div>
            <w:div w:id="1893619356">
              <w:marLeft w:val="0"/>
              <w:marRight w:val="0"/>
              <w:marTop w:val="0"/>
              <w:marBottom w:val="0"/>
              <w:divBdr>
                <w:top w:val="none" w:sz="0" w:space="0" w:color="auto"/>
                <w:left w:val="none" w:sz="0" w:space="0" w:color="auto"/>
                <w:bottom w:val="none" w:sz="0" w:space="0" w:color="auto"/>
                <w:right w:val="none" w:sz="0" w:space="0" w:color="auto"/>
              </w:divBdr>
            </w:div>
            <w:div w:id="9176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8467">
      <w:bodyDiv w:val="1"/>
      <w:marLeft w:val="0"/>
      <w:marRight w:val="0"/>
      <w:marTop w:val="0"/>
      <w:marBottom w:val="0"/>
      <w:divBdr>
        <w:top w:val="none" w:sz="0" w:space="0" w:color="auto"/>
        <w:left w:val="none" w:sz="0" w:space="0" w:color="auto"/>
        <w:bottom w:val="none" w:sz="0" w:space="0" w:color="auto"/>
        <w:right w:val="none" w:sz="0" w:space="0" w:color="auto"/>
      </w:divBdr>
      <w:divsChild>
        <w:div w:id="1181428527">
          <w:marLeft w:val="0"/>
          <w:marRight w:val="0"/>
          <w:marTop w:val="0"/>
          <w:marBottom w:val="450"/>
          <w:divBdr>
            <w:top w:val="none" w:sz="0" w:space="0" w:color="auto"/>
            <w:left w:val="none" w:sz="0" w:space="0" w:color="auto"/>
            <w:bottom w:val="none" w:sz="0" w:space="0" w:color="auto"/>
            <w:right w:val="none" w:sz="0" w:space="0" w:color="auto"/>
          </w:divBdr>
        </w:div>
        <w:div w:id="734398880">
          <w:marLeft w:val="0"/>
          <w:marRight w:val="0"/>
          <w:marTop w:val="0"/>
          <w:marBottom w:val="0"/>
          <w:divBdr>
            <w:top w:val="none" w:sz="0" w:space="0" w:color="auto"/>
            <w:left w:val="none" w:sz="0" w:space="0" w:color="auto"/>
            <w:bottom w:val="none" w:sz="0" w:space="0" w:color="auto"/>
            <w:right w:val="none" w:sz="0" w:space="0" w:color="auto"/>
          </w:divBdr>
          <w:divsChild>
            <w:div w:id="924261099">
              <w:marLeft w:val="240"/>
              <w:marRight w:val="240"/>
              <w:marTop w:val="0"/>
              <w:marBottom w:val="0"/>
              <w:divBdr>
                <w:top w:val="none" w:sz="0" w:space="0" w:color="auto"/>
                <w:left w:val="none" w:sz="0" w:space="0" w:color="auto"/>
                <w:bottom w:val="none" w:sz="0" w:space="0" w:color="auto"/>
                <w:right w:val="none" w:sz="0" w:space="0" w:color="auto"/>
              </w:divBdr>
            </w:div>
            <w:div w:id="1248418269">
              <w:marLeft w:val="240"/>
              <w:marRight w:val="240"/>
              <w:marTop w:val="0"/>
              <w:marBottom w:val="0"/>
              <w:divBdr>
                <w:top w:val="none" w:sz="0" w:space="0" w:color="auto"/>
                <w:left w:val="none" w:sz="0" w:space="0" w:color="auto"/>
                <w:bottom w:val="none" w:sz="0" w:space="0" w:color="auto"/>
                <w:right w:val="none" w:sz="0" w:space="0" w:color="auto"/>
              </w:divBdr>
            </w:div>
            <w:div w:id="122962802">
              <w:marLeft w:val="240"/>
              <w:marRight w:val="240"/>
              <w:marTop w:val="0"/>
              <w:marBottom w:val="0"/>
              <w:divBdr>
                <w:top w:val="none" w:sz="0" w:space="0" w:color="auto"/>
                <w:left w:val="none" w:sz="0" w:space="0" w:color="auto"/>
                <w:bottom w:val="none" w:sz="0" w:space="0" w:color="auto"/>
                <w:right w:val="none" w:sz="0" w:space="0" w:color="auto"/>
              </w:divBdr>
            </w:div>
            <w:div w:id="198589597">
              <w:marLeft w:val="240"/>
              <w:marRight w:val="240"/>
              <w:marTop w:val="0"/>
              <w:marBottom w:val="0"/>
              <w:divBdr>
                <w:top w:val="none" w:sz="0" w:space="0" w:color="auto"/>
                <w:left w:val="none" w:sz="0" w:space="0" w:color="auto"/>
                <w:bottom w:val="none" w:sz="0" w:space="0" w:color="auto"/>
                <w:right w:val="none" w:sz="0" w:space="0" w:color="auto"/>
              </w:divBdr>
            </w:div>
            <w:div w:id="1555432650">
              <w:marLeft w:val="0"/>
              <w:marRight w:val="0"/>
              <w:marTop w:val="0"/>
              <w:marBottom w:val="0"/>
              <w:divBdr>
                <w:top w:val="none" w:sz="0" w:space="0" w:color="auto"/>
                <w:left w:val="none" w:sz="0" w:space="0" w:color="auto"/>
                <w:bottom w:val="none" w:sz="0" w:space="0" w:color="auto"/>
                <w:right w:val="none" w:sz="0" w:space="0" w:color="auto"/>
              </w:divBdr>
            </w:div>
            <w:div w:id="7894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2</cp:revision>
  <dcterms:created xsi:type="dcterms:W3CDTF">2014-10-08T17:48:00Z</dcterms:created>
  <dcterms:modified xsi:type="dcterms:W3CDTF">2014-10-08T17:48:00Z</dcterms:modified>
</cp:coreProperties>
</file>