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204" w:rsidRPr="00297AFB" w:rsidRDefault="00B01204" w:rsidP="00B0120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297AFB">
        <w:rPr>
          <w:rFonts w:eastAsia="Times New Roman" w:cs="Times New Roman"/>
          <w:b/>
          <w:sz w:val="24"/>
          <w:szCs w:val="24"/>
        </w:rPr>
        <w:t xml:space="preserve">In vitro potency and efficacy favor later generation </w:t>
      </w:r>
      <w:proofErr w:type="spellStart"/>
      <w:r w:rsidRPr="00297AFB">
        <w:rPr>
          <w:rFonts w:eastAsia="Times New Roman" w:cs="Times New Roman"/>
          <w:b/>
          <w:sz w:val="24"/>
          <w:szCs w:val="24"/>
        </w:rPr>
        <w:t>fluoroquinolones</w:t>
      </w:r>
      <w:proofErr w:type="spellEnd"/>
      <w:r w:rsidRPr="00297AFB">
        <w:rPr>
          <w:rFonts w:eastAsia="Times New Roman" w:cs="Times New Roman"/>
          <w:b/>
          <w:sz w:val="24"/>
          <w:szCs w:val="24"/>
        </w:rPr>
        <w:t xml:space="preserve"> for treatment of canine and feline Escherichia coli </w:t>
      </w:r>
      <w:proofErr w:type="spellStart"/>
      <w:r w:rsidRPr="00297AFB">
        <w:rPr>
          <w:rFonts w:eastAsia="Times New Roman" w:cs="Times New Roman"/>
          <w:b/>
          <w:sz w:val="24"/>
          <w:szCs w:val="24"/>
        </w:rPr>
        <w:t>uropathogens</w:t>
      </w:r>
      <w:proofErr w:type="spellEnd"/>
      <w:r w:rsidRPr="00297AFB">
        <w:rPr>
          <w:rFonts w:eastAsia="Times New Roman" w:cs="Times New Roman"/>
          <w:b/>
          <w:sz w:val="24"/>
          <w:szCs w:val="24"/>
        </w:rPr>
        <w:t xml:space="preserve"> in the United States</w:t>
      </w:r>
    </w:p>
    <w:p w:rsidR="00B01204" w:rsidRPr="00B01204" w:rsidRDefault="00B01204" w:rsidP="00B01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1204" w:rsidRDefault="00B01204" w:rsidP="00B01204">
      <w:pPr>
        <w:pStyle w:val="ListParagraph"/>
        <w:numPr>
          <w:ilvl w:val="0"/>
          <w:numId w:val="1"/>
        </w:numPr>
      </w:pPr>
      <w:r w:rsidRPr="00B01204">
        <w:t>This study describes in vitro potency and efficacy</w:t>
      </w:r>
      <w:r>
        <w:t xml:space="preserve"> </w:t>
      </w:r>
      <w:r w:rsidRPr="00B01204">
        <w:t>toward</w:t>
      </w:r>
      <w:r>
        <w:t xml:space="preserve"> </w:t>
      </w:r>
      <w:r w:rsidRPr="00B01204">
        <w:t>E. coli</w:t>
      </w:r>
      <w:r>
        <w:t xml:space="preserve"> </w:t>
      </w:r>
      <w:r w:rsidRPr="00B01204">
        <w:t xml:space="preserve">of seven FQs grouped according to similarities in chemical structure: </w:t>
      </w:r>
      <w:proofErr w:type="spellStart"/>
      <w:r w:rsidRPr="00B01204">
        <w:t>enrofloxacin</w:t>
      </w:r>
      <w:proofErr w:type="spellEnd"/>
      <w:r w:rsidRPr="00B01204">
        <w:t>, ciprofloxacin,</w:t>
      </w:r>
      <w:r>
        <w:t xml:space="preserve"> </w:t>
      </w:r>
      <w:proofErr w:type="spellStart"/>
      <w:r w:rsidRPr="00B01204">
        <w:t>orbifloxacin</w:t>
      </w:r>
      <w:proofErr w:type="spellEnd"/>
      <w:r w:rsidRPr="00B01204">
        <w:t xml:space="preserve"> (first-group), levofloxacin, </w:t>
      </w:r>
      <w:proofErr w:type="spellStart"/>
      <w:r w:rsidRPr="00B01204">
        <w:t>marbofloxacin</w:t>
      </w:r>
      <w:proofErr w:type="spellEnd"/>
      <w:r>
        <w:t xml:space="preserve"> </w:t>
      </w:r>
      <w:r w:rsidRPr="00B01204">
        <w:t xml:space="preserve">(second-group) and </w:t>
      </w:r>
      <w:proofErr w:type="spellStart"/>
      <w:r w:rsidRPr="00B01204">
        <w:t>pradofloxacin</w:t>
      </w:r>
      <w:proofErr w:type="spellEnd"/>
      <w:r w:rsidRPr="00B01204">
        <w:t xml:space="preserve">, </w:t>
      </w:r>
      <w:proofErr w:type="spellStart"/>
      <w:r w:rsidRPr="00B01204">
        <w:t>moxifloxacin</w:t>
      </w:r>
      <w:proofErr w:type="spellEnd"/>
      <w:r w:rsidRPr="00B01204">
        <w:t xml:space="preserve"> (third-</w:t>
      </w:r>
      <w:r>
        <w:t xml:space="preserve"> </w:t>
      </w:r>
      <w:r w:rsidRPr="00B01204">
        <w:t>group; latest S, S-</w:t>
      </w:r>
      <w:proofErr w:type="spellStart"/>
      <w:r w:rsidRPr="00B01204">
        <w:t>pyrrolidino</w:t>
      </w:r>
      <w:proofErr w:type="spellEnd"/>
      <w:r w:rsidRPr="00B01204">
        <w:t>-</w:t>
      </w:r>
      <w:proofErr w:type="spellStart"/>
      <w:r w:rsidRPr="00B01204">
        <w:t>piperidine</w:t>
      </w:r>
      <w:proofErr w:type="spellEnd"/>
      <w:r w:rsidRPr="00B01204">
        <w:t xml:space="preserve"> at C-7)</w:t>
      </w:r>
    </w:p>
    <w:p w:rsidR="00B01204" w:rsidRDefault="00B01204" w:rsidP="00B01204">
      <w:pPr>
        <w:pStyle w:val="ListParagraph"/>
        <w:numPr>
          <w:ilvl w:val="0"/>
          <w:numId w:val="1"/>
        </w:numPr>
      </w:pPr>
      <w:r>
        <w:t>The FQs commonly are categorized into different ‘‘generations’’ based on chemical structure and chronological approval</w:t>
      </w:r>
    </w:p>
    <w:p w:rsidR="00B01204" w:rsidRDefault="00B01204" w:rsidP="00B01204">
      <w:pPr>
        <w:pStyle w:val="ListParagraph"/>
        <w:numPr>
          <w:ilvl w:val="0"/>
          <w:numId w:val="1"/>
        </w:numPr>
      </w:pPr>
      <w:r>
        <w:t>Chemical modifications, including the addition of fluorine to the progenitor of all FQs</w:t>
      </w:r>
    </w:p>
    <w:p w:rsidR="006215D7" w:rsidRDefault="00B01204" w:rsidP="00B01204">
      <w:pPr>
        <w:pStyle w:val="ListParagraph"/>
        <w:numPr>
          <w:ilvl w:val="0"/>
          <w:numId w:val="1"/>
        </w:numPr>
      </w:pPr>
      <w:r>
        <w:t>Potency measures included minimum inhibitory concentration (MIC) (geometric mean MIC, MIC</w:t>
      </w:r>
      <w:r w:rsidRPr="00B01204">
        <w:rPr>
          <w:vertAlign w:val="subscript"/>
        </w:rPr>
        <w:t>50</w:t>
      </w:r>
      <w:r>
        <w:t>, MIC</w:t>
      </w:r>
      <w:r w:rsidRPr="00B01204">
        <w:rPr>
          <w:vertAlign w:val="subscript"/>
        </w:rPr>
        <w:t>90</w:t>
      </w:r>
      <w:r>
        <w:t xml:space="preserve">); and mutant prevention concentration (MPC) for </w:t>
      </w:r>
      <w:proofErr w:type="spellStart"/>
      <w:r>
        <w:t>fluoroquinolones</w:t>
      </w:r>
      <w:proofErr w:type="spellEnd"/>
      <w:r>
        <w:t xml:space="preserve"> susceptible isolates only</w:t>
      </w:r>
    </w:p>
    <w:p w:rsidR="00B01204" w:rsidRDefault="00B01204" w:rsidP="00B01204">
      <w:pPr>
        <w:pStyle w:val="ListParagraph"/>
        <w:numPr>
          <w:ilvl w:val="0"/>
          <w:numId w:val="1"/>
        </w:numPr>
      </w:pPr>
      <w:r>
        <w:t xml:space="preserve">For </w:t>
      </w:r>
      <w:proofErr w:type="spellStart"/>
      <w:r>
        <w:t>enrofloxacin</w:t>
      </w:r>
      <w:proofErr w:type="spellEnd"/>
      <w:r>
        <w:t xml:space="preserve"> susceptible isolates, mean MIC (g/ml) was least for each third-group drug and ciprofloxacin and greatest for </w:t>
      </w:r>
      <w:proofErr w:type="spellStart"/>
      <w:r>
        <w:t>enrofloxacin</w:t>
      </w:r>
      <w:proofErr w:type="spellEnd"/>
      <w:r>
        <w:t xml:space="preserve"> and </w:t>
      </w:r>
      <w:proofErr w:type="spellStart"/>
      <w:r>
        <w:t>orbifloxacin</w:t>
      </w:r>
      <w:proofErr w:type="spellEnd"/>
    </w:p>
    <w:p w:rsidR="00B01204" w:rsidRDefault="00B01204" w:rsidP="00B01204">
      <w:pPr>
        <w:pStyle w:val="ListParagraph"/>
        <w:numPr>
          <w:ilvl w:val="0"/>
          <w:numId w:val="1"/>
        </w:numPr>
      </w:pPr>
      <w:r>
        <w:t xml:space="preserve">For </w:t>
      </w:r>
      <w:proofErr w:type="spellStart"/>
      <w:r>
        <w:t>enrofloxacin</w:t>
      </w:r>
      <w:proofErr w:type="spellEnd"/>
      <w:r>
        <w:t xml:space="preserve"> susceptible isolates, MPC were below MIC:MIC</w:t>
      </w:r>
      <w:r w:rsidRPr="00B01204">
        <w:rPr>
          <w:vertAlign w:val="subscript"/>
        </w:rPr>
        <w:t>BP-R</w:t>
      </w:r>
      <w:r>
        <w:t xml:space="preserve"> and least for </w:t>
      </w:r>
      <w:proofErr w:type="spellStart"/>
      <w:r>
        <w:t>pradofloxacin</w:t>
      </w:r>
      <w:proofErr w:type="spellEnd"/>
      <w:r>
        <w:t xml:space="preserve"> and greatest for </w:t>
      </w:r>
      <w:proofErr w:type="spellStart"/>
      <w:r>
        <w:t>enrofloxacin</w:t>
      </w:r>
      <w:proofErr w:type="spellEnd"/>
    </w:p>
    <w:p w:rsidR="00297AFB" w:rsidRDefault="00297AFB" w:rsidP="00297AFB"/>
    <w:p w:rsidR="00297AFB" w:rsidRDefault="00297AFB" w:rsidP="00297AFB">
      <w:pPr>
        <w:jc w:val="center"/>
        <w:rPr>
          <w:b/>
          <w:sz w:val="24"/>
          <w:szCs w:val="24"/>
        </w:rPr>
      </w:pPr>
      <w:r w:rsidRPr="003D6E8E">
        <w:rPr>
          <w:b/>
          <w:sz w:val="24"/>
          <w:szCs w:val="24"/>
        </w:rPr>
        <w:t xml:space="preserve">Dogs Leaving the ICU Carry a Very Large Multi-Drug Resistant </w:t>
      </w:r>
      <w:proofErr w:type="spellStart"/>
      <w:r w:rsidRPr="003D6E8E">
        <w:rPr>
          <w:b/>
          <w:sz w:val="24"/>
          <w:szCs w:val="24"/>
        </w:rPr>
        <w:t>Enterococcal</w:t>
      </w:r>
      <w:proofErr w:type="spellEnd"/>
      <w:r w:rsidRPr="003D6E8E">
        <w:rPr>
          <w:b/>
          <w:sz w:val="24"/>
          <w:szCs w:val="24"/>
        </w:rPr>
        <w:t xml:space="preserve"> Population with Capacity for Biofilm Formation and Horizontal Gene Transfer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The </w:t>
      </w:r>
      <w:proofErr w:type="spellStart"/>
      <w:r w:rsidRPr="003D6E8E">
        <w:t>enterococcal</w:t>
      </w:r>
      <w:proofErr w:type="spellEnd"/>
      <w:r w:rsidRPr="003D6E8E">
        <w:t xml:space="preserve"> community from feces of seven dogs treated with antibiotics for 2–9 days in the veterinary intensive care</w:t>
      </w:r>
      <w:r>
        <w:t xml:space="preserve"> </w:t>
      </w:r>
      <w:r w:rsidRPr="003D6E8E">
        <w:t>unit (ICU) was characterized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Both, culture-based approach and culture-independent 16S </w:t>
      </w:r>
      <w:proofErr w:type="spellStart"/>
      <w:r w:rsidRPr="003D6E8E">
        <w:t>rDNA</w:t>
      </w:r>
      <w:proofErr w:type="spellEnd"/>
      <w:r w:rsidRPr="003D6E8E">
        <w:t xml:space="preserve"> </w:t>
      </w:r>
      <w:proofErr w:type="spellStart"/>
      <w:r w:rsidRPr="003D6E8E">
        <w:t>amplicon</w:t>
      </w:r>
      <w:proofErr w:type="spellEnd"/>
      <w:r w:rsidRPr="003D6E8E">
        <w:t xml:space="preserve"> 454</w:t>
      </w:r>
      <w:r>
        <w:t xml:space="preserve"> </w:t>
      </w:r>
      <w:proofErr w:type="spellStart"/>
      <w:r w:rsidRPr="003D6E8E">
        <w:t>pyrosequencing</w:t>
      </w:r>
      <w:proofErr w:type="spellEnd"/>
      <w:r w:rsidRPr="003D6E8E">
        <w:t xml:space="preserve">, revealed an abnormally large </w:t>
      </w:r>
      <w:proofErr w:type="spellStart"/>
      <w:r w:rsidRPr="003D6E8E">
        <w:t>enterococcal</w:t>
      </w:r>
      <w:proofErr w:type="spellEnd"/>
      <w:r w:rsidRPr="003D6E8E">
        <w:t xml:space="preserve"> community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>The diversity of the overall microbial community was very low</w:t>
      </w:r>
      <w:r>
        <w:t xml:space="preserve"> </w:t>
      </w:r>
      <w:r w:rsidRPr="003D6E8E">
        <w:t xml:space="preserve">which likely reflects a high </w:t>
      </w:r>
      <w:r>
        <w:t xml:space="preserve"> </w:t>
      </w:r>
      <w:proofErr w:type="spellStart"/>
      <w:r>
        <w:t>r</w:t>
      </w:r>
      <w:r w:rsidRPr="003D6E8E">
        <w:t>elective</w:t>
      </w:r>
      <w:proofErr w:type="spellEnd"/>
      <w:r w:rsidRPr="003D6E8E">
        <w:t xml:space="preserve"> antibiotic pressure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The </w:t>
      </w:r>
      <w:proofErr w:type="spellStart"/>
      <w:r w:rsidRPr="003D6E8E">
        <w:t>enterococcal</w:t>
      </w:r>
      <w:proofErr w:type="spellEnd"/>
      <w:r w:rsidRPr="003D6E8E">
        <w:t xml:space="preserve"> diversity based on 210 isolates was also low as</w:t>
      </w:r>
      <w:r>
        <w:t xml:space="preserve"> </w:t>
      </w:r>
      <w:r w:rsidRPr="003D6E8E">
        <w:t xml:space="preserve">represented by Enterococcus </w:t>
      </w:r>
      <w:proofErr w:type="spellStart"/>
      <w:r w:rsidRPr="003D6E8E">
        <w:t>faecium</w:t>
      </w:r>
      <w:proofErr w:type="spellEnd"/>
      <w:r w:rsidRPr="003D6E8E">
        <w:t xml:space="preserve"> (54.6%) and Enterococcus </w:t>
      </w:r>
      <w:proofErr w:type="spellStart"/>
      <w:r w:rsidRPr="003D6E8E">
        <w:t>faecalis</w:t>
      </w:r>
      <w:proofErr w:type="spellEnd"/>
      <w:r w:rsidRPr="003D6E8E">
        <w:t xml:space="preserve"> (45.4%). 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E. </w:t>
      </w:r>
      <w:proofErr w:type="spellStart"/>
      <w:r w:rsidRPr="003D6E8E">
        <w:t>faecium</w:t>
      </w:r>
      <w:proofErr w:type="spellEnd"/>
      <w:r w:rsidRPr="003D6E8E">
        <w:t xml:space="preserve"> was frequently resistant to</w:t>
      </w:r>
      <w:r>
        <w:t xml:space="preserve"> </w:t>
      </w:r>
      <w:proofErr w:type="spellStart"/>
      <w:r w:rsidRPr="003D6E8E">
        <w:t>enrofloxacin</w:t>
      </w:r>
      <w:proofErr w:type="spellEnd"/>
      <w:r w:rsidRPr="003D6E8E">
        <w:t xml:space="preserve"> (97.3%), ampicillin (96.5%), tetracycline (84.1%), doxycycline (60.2%), erythromycin (53.1%), gentamicin (48.7%),</w:t>
      </w:r>
      <w:r>
        <w:t xml:space="preserve"> </w:t>
      </w:r>
      <w:r w:rsidRPr="003D6E8E">
        <w:t>streptomycin (42.</w:t>
      </w:r>
      <w:r>
        <w:t xml:space="preserve">5%), and </w:t>
      </w:r>
      <w:proofErr w:type="spellStart"/>
      <w:r>
        <w:t>nitrofurantoin</w:t>
      </w:r>
      <w:proofErr w:type="spellEnd"/>
      <w:r>
        <w:t xml:space="preserve"> (26.5%)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In E. </w:t>
      </w:r>
      <w:proofErr w:type="spellStart"/>
      <w:r w:rsidRPr="003D6E8E">
        <w:t>faecalis</w:t>
      </w:r>
      <w:proofErr w:type="spellEnd"/>
      <w:r w:rsidRPr="003D6E8E">
        <w:t>, resistance was common to tetracycline (59.6%), erythromycin</w:t>
      </w:r>
      <w:r>
        <w:t xml:space="preserve"> </w:t>
      </w:r>
      <w:r w:rsidRPr="003D6E8E">
        <w:t xml:space="preserve">(56.4%), doxycycline (53.2%), and </w:t>
      </w:r>
      <w:proofErr w:type="spellStart"/>
      <w:r w:rsidRPr="003D6E8E">
        <w:t>enrofloxacin</w:t>
      </w:r>
      <w:proofErr w:type="spellEnd"/>
      <w:r w:rsidRPr="003D6E8E">
        <w:t xml:space="preserve"> (31.9%). No resistance was detected to </w:t>
      </w:r>
      <w:proofErr w:type="spellStart"/>
      <w:r w:rsidRPr="003D6E8E">
        <w:t>vancomycin</w:t>
      </w:r>
      <w:proofErr w:type="spellEnd"/>
      <w:r w:rsidRPr="003D6E8E">
        <w:t xml:space="preserve">, </w:t>
      </w:r>
      <w:proofErr w:type="spellStart"/>
      <w:r w:rsidRPr="003D6E8E">
        <w:t>tigecycline</w:t>
      </w:r>
      <w:proofErr w:type="spellEnd"/>
      <w:r w:rsidRPr="003D6E8E">
        <w:t>, linezolid, and</w:t>
      </w:r>
      <w:r>
        <w:t xml:space="preserve"> </w:t>
      </w:r>
      <w:proofErr w:type="spellStart"/>
      <w:r w:rsidRPr="003D6E8E">
        <w:t>quinupristin</w:t>
      </w:r>
      <w:proofErr w:type="spellEnd"/>
      <w:r w:rsidRPr="003D6E8E">
        <w:t>/</w:t>
      </w:r>
      <w:proofErr w:type="spellStart"/>
      <w:r w:rsidRPr="003D6E8E">
        <w:t>dalfopristin</w:t>
      </w:r>
      <w:proofErr w:type="spellEnd"/>
      <w:r w:rsidRPr="003D6E8E">
        <w:t xml:space="preserve"> in either species.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Many isolates carried virulence traits including </w:t>
      </w:r>
      <w:proofErr w:type="spellStart"/>
      <w:r w:rsidRPr="003D6E8E">
        <w:t>gelatinase</w:t>
      </w:r>
      <w:proofErr w:type="spellEnd"/>
      <w:r w:rsidRPr="003D6E8E">
        <w:t>, aggregation substance,</w:t>
      </w:r>
      <w:r>
        <w:t xml:space="preserve"> </w:t>
      </w:r>
      <w:proofErr w:type="spellStart"/>
      <w:r w:rsidRPr="003D6E8E">
        <w:t>cytolysin</w:t>
      </w:r>
      <w:proofErr w:type="spellEnd"/>
      <w:r w:rsidRPr="003D6E8E">
        <w:t xml:space="preserve">, and </w:t>
      </w:r>
      <w:proofErr w:type="spellStart"/>
      <w:r w:rsidRPr="003D6E8E">
        <w:t>enterococcal</w:t>
      </w:r>
      <w:proofErr w:type="spellEnd"/>
      <w:r w:rsidRPr="003D6E8E">
        <w:t xml:space="preserve"> surface protein. </w:t>
      </w:r>
    </w:p>
    <w:p w:rsidR="00297AFB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All E. </w:t>
      </w:r>
      <w:proofErr w:type="spellStart"/>
      <w:r w:rsidRPr="003D6E8E">
        <w:t>faecalis</w:t>
      </w:r>
      <w:proofErr w:type="spellEnd"/>
      <w:r w:rsidRPr="003D6E8E">
        <w:t xml:space="preserve"> strains were biofilm formers in vitro and this phenotype correlated</w:t>
      </w:r>
      <w:r>
        <w:t xml:space="preserve"> </w:t>
      </w:r>
      <w:r w:rsidRPr="003D6E8E">
        <w:t xml:space="preserve">with the presence of </w:t>
      </w:r>
      <w:proofErr w:type="spellStart"/>
      <w:r w:rsidRPr="003D6E8E">
        <w:t>gelE</w:t>
      </w:r>
      <w:proofErr w:type="spellEnd"/>
      <w:r w:rsidRPr="003D6E8E">
        <w:t xml:space="preserve"> </w:t>
      </w:r>
    </w:p>
    <w:p w:rsidR="00297AFB" w:rsidRPr="003D6E8E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 xml:space="preserve">In vitro intra-species conjugation assays demonstrated that E. </w:t>
      </w:r>
      <w:proofErr w:type="spellStart"/>
      <w:r w:rsidRPr="003D6E8E">
        <w:t>faecium</w:t>
      </w:r>
      <w:proofErr w:type="spellEnd"/>
      <w:r w:rsidRPr="003D6E8E">
        <w:t xml:space="preserve"> were capable of</w:t>
      </w:r>
      <w:r>
        <w:t xml:space="preserve"> </w:t>
      </w:r>
      <w:r w:rsidRPr="003D6E8E">
        <w:t>transferring tetracycline, doxycycline, streptomycin, gentamicin, and erythromycin resistance t</w:t>
      </w:r>
      <w:r>
        <w:t>raits to human clinical strains</w:t>
      </w:r>
    </w:p>
    <w:p w:rsidR="00297AFB" w:rsidRPr="003D6E8E" w:rsidRDefault="00297AFB" w:rsidP="00A450F6">
      <w:pPr>
        <w:pStyle w:val="ListParagraph"/>
        <w:numPr>
          <w:ilvl w:val="0"/>
          <w:numId w:val="3"/>
        </w:numPr>
        <w:spacing w:after="160" w:line="259" w:lineRule="auto"/>
      </w:pPr>
      <w:r w:rsidRPr="003D6E8E">
        <w:t>It is recommended to restrict close physical contact between pets released from the ICU</w:t>
      </w:r>
      <w:r>
        <w:t xml:space="preserve"> </w:t>
      </w:r>
      <w:r w:rsidRPr="003D6E8E">
        <w:t>and their owners to avoid potential health risks.</w:t>
      </w:r>
    </w:p>
    <w:p w:rsidR="00B01204" w:rsidRDefault="00B01204" w:rsidP="00297AFB">
      <w:pPr>
        <w:ind w:left="360"/>
      </w:pPr>
      <w:bookmarkStart w:id="0" w:name="_GoBack"/>
      <w:bookmarkEnd w:id="0"/>
    </w:p>
    <w:sectPr w:rsidR="00B01204" w:rsidSect="00A450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A520E"/>
    <w:multiLevelType w:val="hybridMultilevel"/>
    <w:tmpl w:val="6FCA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2564E"/>
    <w:multiLevelType w:val="hybridMultilevel"/>
    <w:tmpl w:val="5DFE4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C66F9C"/>
    <w:multiLevelType w:val="hybridMultilevel"/>
    <w:tmpl w:val="088C469A"/>
    <w:lvl w:ilvl="0" w:tplc="0352D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04"/>
    <w:rsid w:val="00297AFB"/>
    <w:rsid w:val="006215D7"/>
    <w:rsid w:val="00A450F6"/>
    <w:rsid w:val="00B0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F2AC5D-231E-4820-909E-C57EC0BB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VM-Cah-icu-user</dc:creator>
  <cp:lastModifiedBy>VM-Cah-icu-user</cp:lastModifiedBy>
  <cp:revision>2</cp:revision>
  <dcterms:created xsi:type="dcterms:W3CDTF">2014-07-08T20:06:00Z</dcterms:created>
  <dcterms:modified xsi:type="dcterms:W3CDTF">2014-07-08T20:06:00Z</dcterms:modified>
</cp:coreProperties>
</file>