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BD22F" w14:textId="77777777" w:rsidR="00AF5CA7" w:rsidRPr="0090767D" w:rsidRDefault="00AF5CA7">
      <w:pPr>
        <w:rPr>
          <w:rFonts w:ascii="Times New Roman" w:hAnsi="Times New Roman" w:cs="Times New Roman"/>
        </w:rPr>
      </w:pPr>
      <w:r w:rsidRPr="0090767D">
        <w:rPr>
          <w:rFonts w:ascii="Times New Roman" w:hAnsi="Times New Roman" w:cs="Times New Roman"/>
        </w:rPr>
        <w:t xml:space="preserve">Board Review: </w:t>
      </w:r>
      <w:r w:rsidR="00FC13CB" w:rsidRPr="0090767D">
        <w:rPr>
          <w:rFonts w:ascii="Times New Roman" w:hAnsi="Times New Roman" w:cs="Times New Roman"/>
        </w:rPr>
        <w:t>February 25, 2014</w:t>
      </w:r>
    </w:p>
    <w:p w14:paraId="0972D196" w14:textId="77777777" w:rsidR="00AF5CA7" w:rsidRPr="0090767D" w:rsidRDefault="00AF5CA7">
      <w:pPr>
        <w:rPr>
          <w:rFonts w:ascii="Times New Roman" w:hAnsi="Times New Roman" w:cs="Times New Roman"/>
        </w:rPr>
      </w:pPr>
    </w:p>
    <w:p w14:paraId="14DF24B6" w14:textId="77777777" w:rsidR="00AF5CA7" w:rsidRPr="00BC30C8" w:rsidRDefault="00AF5CA7" w:rsidP="00AF5CA7">
      <w:pPr>
        <w:pStyle w:val="NormalWeb"/>
        <w:rPr>
          <w:rFonts w:ascii="Times New Roman" w:hAnsi="Times New Roman"/>
          <w:sz w:val="24"/>
          <w:szCs w:val="24"/>
          <w:u w:val="single"/>
        </w:rPr>
      </w:pPr>
      <w:r w:rsidRPr="00BC30C8">
        <w:rPr>
          <w:rFonts w:ascii="Times New Roman" w:hAnsi="Times New Roman"/>
          <w:b/>
          <w:bCs/>
          <w:color w:val="211E1E"/>
          <w:sz w:val="24"/>
          <w:szCs w:val="24"/>
          <w:u w:val="single"/>
        </w:rPr>
        <w:t xml:space="preserve">The Syndrome of Inappropriate Antidiuresis: Pathophysiology, Clinical Management and New Therapeutic Options </w:t>
      </w:r>
    </w:p>
    <w:p w14:paraId="12C33CCE" w14:textId="1288B6AE" w:rsidR="00AF5CA7" w:rsidRPr="0090767D" w:rsidRDefault="00AF5CA7" w:rsidP="00F256E5">
      <w:pPr>
        <w:pStyle w:val="NormalWeb"/>
        <w:rPr>
          <w:rFonts w:ascii="Times New Roman" w:hAnsi="Times New Roman"/>
          <w:sz w:val="24"/>
          <w:szCs w:val="24"/>
        </w:rPr>
      </w:pPr>
      <w:r w:rsidRPr="0090767D">
        <w:rPr>
          <w:rFonts w:ascii="Times New Roman" w:hAnsi="Times New Roman"/>
          <w:color w:val="211E1E"/>
          <w:sz w:val="24"/>
          <w:szCs w:val="24"/>
        </w:rPr>
        <w:t>Pasquale Esposito Giovanni Piotti Stefania Bianzina Yehuda Malul</w:t>
      </w:r>
      <w:r w:rsidR="00FC13CB" w:rsidRPr="0090767D">
        <w:rPr>
          <w:rFonts w:ascii="Times New Roman" w:hAnsi="Times New Roman"/>
          <w:color w:val="211E1E"/>
          <w:sz w:val="24"/>
          <w:szCs w:val="24"/>
        </w:rPr>
        <w:t xml:space="preserve">, </w:t>
      </w:r>
      <w:r w:rsidRPr="0090767D">
        <w:rPr>
          <w:rFonts w:ascii="Times New Roman" w:hAnsi="Times New Roman"/>
          <w:color w:val="211E1E"/>
          <w:sz w:val="24"/>
          <w:szCs w:val="24"/>
        </w:rPr>
        <w:t xml:space="preserve">Antonio Dal Canton </w:t>
      </w:r>
      <w:r w:rsidR="00FC13CB" w:rsidRPr="0090767D">
        <w:rPr>
          <w:rFonts w:ascii="Times New Roman" w:hAnsi="Times New Roman"/>
          <w:color w:val="211E1E"/>
          <w:sz w:val="24"/>
          <w:szCs w:val="24"/>
        </w:rPr>
        <w:t xml:space="preserve">Nephron Clin Pract 2011;119:c62–c73 </w:t>
      </w:r>
      <w:r w:rsidR="00FC13CB" w:rsidRPr="0090767D">
        <w:rPr>
          <w:rFonts w:ascii="Times New Roman" w:hAnsi="Times New Roman"/>
          <w:b/>
          <w:sz w:val="24"/>
          <w:szCs w:val="24"/>
        </w:rPr>
        <w:t>Review Article</w:t>
      </w:r>
    </w:p>
    <w:p w14:paraId="67007922" w14:textId="77777777" w:rsidR="00FC13CB" w:rsidRPr="0090767D" w:rsidRDefault="00FC13CB">
      <w:pPr>
        <w:rPr>
          <w:rFonts w:ascii="Times New Roman" w:hAnsi="Times New Roman" w:cs="Times New Roman"/>
        </w:rPr>
      </w:pPr>
    </w:p>
    <w:p w14:paraId="18340670" w14:textId="77777777" w:rsidR="00FC13CB" w:rsidRPr="0090767D" w:rsidRDefault="00FC13CB">
      <w:pPr>
        <w:rPr>
          <w:rFonts w:ascii="Times New Roman" w:hAnsi="Times New Roman" w:cs="Times New Roman"/>
        </w:rPr>
      </w:pPr>
      <w:r w:rsidRPr="0090767D">
        <w:rPr>
          <w:rFonts w:ascii="Times New Roman" w:hAnsi="Times New Roman" w:cs="Times New Roman"/>
          <w:b/>
          <w:u w:val="single"/>
        </w:rPr>
        <w:t>Summary</w:t>
      </w:r>
      <w:r w:rsidRPr="0090767D">
        <w:rPr>
          <w:rFonts w:ascii="Times New Roman" w:hAnsi="Times New Roman" w:cs="Times New Roman"/>
        </w:rPr>
        <w:t>:</w:t>
      </w:r>
    </w:p>
    <w:p w14:paraId="7FD47FEA" w14:textId="77777777" w:rsidR="00F256E5" w:rsidRPr="0090767D" w:rsidRDefault="00FA25E7" w:rsidP="001159FD">
      <w:pPr>
        <w:pStyle w:val="NormalWeb"/>
        <w:rPr>
          <w:rFonts w:ascii="Times New Roman" w:hAnsi="Times New Roman"/>
          <w:sz w:val="24"/>
          <w:szCs w:val="24"/>
        </w:rPr>
      </w:pPr>
      <w:r w:rsidRPr="0090767D">
        <w:rPr>
          <w:rFonts w:ascii="Times New Roman" w:hAnsi="Times New Roman"/>
          <w:b/>
          <w:sz w:val="24"/>
          <w:szCs w:val="24"/>
        </w:rPr>
        <w:t>Intro</w:t>
      </w:r>
      <w:r w:rsidRPr="0090767D">
        <w:rPr>
          <w:rFonts w:ascii="Times New Roman" w:hAnsi="Times New Roman"/>
          <w:sz w:val="24"/>
          <w:szCs w:val="24"/>
        </w:rPr>
        <w:t>:</w:t>
      </w:r>
    </w:p>
    <w:p w14:paraId="625E6B08" w14:textId="163C3E41" w:rsidR="001159FD" w:rsidRPr="0090767D" w:rsidRDefault="001159FD" w:rsidP="001159FD">
      <w:pPr>
        <w:pStyle w:val="NormalWeb"/>
        <w:rPr>
          <w:rFonts w:ascii="Times New Roman" w:hAnsi="Times New Roman"/>
          <w:sz w:val="24"/>
          <w:szCs w:val="24"/>
        </w:rPr>
      </w:pPr>
      <w:r w:rsidRPr="0090767D">
        <w:rPr>
          <w:rFonts w:ascii="Times New Roman" w:hAnsi="Times New Roman"/>
          <w:sz w:val="24"/>
          <w:szCs w:val="24"/>
        </w:rPr>
        <w:t>T</w:t>
      </w:r>
      <w:r w:rsidRPr="0090767D">
        <w:rPr>
          <w:rFonts w:ascii="Times New Roman" w:hAnsi="Times New Roman"/>
          <w:color w:val="211E1E"/>
          <w:sz w:val="24"/>
          <w:szCs w:val="24"/>
        </w:rPr>
        <w:t>he syndrome of inappropriate antidiuresis (SIAD) is one of the most common causes of hyponatremia</w:t>
      </w:r>
    </w:p>
    <w:p w14:paraId="780D25C0" w14:textId="1FA6F95B" w:rsidR="001159FD" w:rsidRPr="0090767D" w:rsidRDefault="001159FD" w:rsidP="001159FD">
      <w:pPr>
        <w:pStyle w:val="NormalWeb"/>
        <w:rPr>
          <w:rFonts w:ascii="Times New Roman" w:hAnsi="Times New Roman"/>
          <w:sz w:val="24"/>
          <w:szCs w:val="24"/>
        </w:rPr>
      </w:pPr>
      <w:r w:rsidRPr="0090767D">
        <w:rPr>
          <w:rFonts w:ascii="Times New Roman" w:hAnsi="Times New Roman"/>
          <w:color w:val="211E1E"/>
          <w:sz w:val="24"/>
          <w:szCs w:val="24"/>
        </w:rPr>
        <w:t xml:space="preserve">It is a disorder of sodium and water balance characterized by urinary dilution impair- ment and hypotonic hyponatremia, in the absence of renal disease or any identifiable non-osmotic stimulus able to induce antidiuretic hormone (ADH) release </w:t>
      </w:r>
    </w:p>
    <w:p w14:paraId="24567C6C" w14:textId="4C46DC8D" w:rsidR="00E17751" w:rsidRPr="0090767D" w:rsidRDefault="00E17751" w:rsidP="00E17751">
      <w:pPr>
        <w:pStyle w:val="NormalWeb"/>
        <w:rPr>
          <w:rFonts w:ascii="Times New Roman" w:hAnsi="Times New Roman"/>
          <w:sz w:val="24"/>
          <w:szCs w:val="24"/>
        </w:rPr>
      </w:pPr>
      <w:r w:rsidRPr="0090767D">
        <w:rPr>
          <w:rFonts w:ascii="Times New Roman" w:hAnsi="Times New Roman"/>
          <w:sz w:val="24"/>
          <w:szCs w:val="24"/>
        </w:rPr>
        <w:t xml:space="preserve">** NOTE: Name change!  </w:t>
      </w:r>
      <w:r w:rsidRPr="0090767D">
        <w:rPr>
          <w:rFonts w:ascii="Times New Roman" w:hAnsi="Times New Roman"/>
          <w:sz w:val="24"/>
          <w:szCs w:val="24"/>
        </w:rPr>
        <w:sym w:font="Wingdings" w:char="F0E0"/>
      </w:r>
      <w:r w:rsidRPr="0090767D">
        <w:rPr>
          <w:rFonts w:ascii="Times New Roman" w:hAnsi="Times New Roman"/>
          <w:sz w:val="24"/>
          <w:szCs w:val="24"/>
        </w:rPr>
        <w:t xml:space="preserve"> </w:t>
      </w:r>
      <w:r w:rsidRPr="0090767D">
        <w:rPr>
          <w:rFonts w:ascii="Times New Roman" w:hAnsi="Times New Roman"/>
          <w:color w:val="211E1E"/>
          <w:sz w:val="24"/>
          <w:szCs w:val="24"/>
        </w:rPr>
        <w:t xml:space="preserve">change in the name, once the syndrome of inappropriate secretion of ADH (SIADH), today SIAD. </w:t>
      </w:r>
    </w:p>
    <w:p w14:paraId="3E9BEF73" w14:textId="7F3DE744" w:rsidR="00E17751" w:rsidRPr="0090767D" w:rsidRDefault="00E17751" w:rsidP="00E17751">
      <w:pPr>
        <w:pStyle w:val="NormalWeb"/>
        <w:rPr>
          <w:rFonts w:ascii="Times New Roman" w:hAnsi="Times New Roman"/>
          <w:sz w:val="24"/>
          <w:szCs w:val="24"/>
        </w:rPr>
      </w:pPr>
      <w:r w:rsidRPr="0090767D">
        <w:rPr>
          <w:rFonts w:ascii="Times New Roman" w:hAnsi="Times New Roman"/>
          <w:color w:val="211E1E"/>
          <w:sz w:val="24"/>
          <w:szCs w:val="24"/>
        </w:rPr>
        <w:t xml:space="preserve">The homeostasis  of body water balance is finely regulated by hypothalamus, neurohypophysis, kidneys and circulating hormones, the most important of which is the antidiuretic hormone (ADH), also known as arginine vasopressin (AVP) </w:t>
      </w:r>
    </w:p>
    <w:p w14:paraId="12785F8E" w14:textId="77777777" w:rsidR="00FA25E7" w:rsidRPr="0090767D" w:rsidRDefault="00FA25E7" w:rsidP="00FA25E7">
      <w:pPr>
        <w:pStyle w:val="NormalWeb"/>
        <w:rPr>
          <w:rFonts w:ascii="Times New Roman" w:hAnsi="Times New Roman"/>
          <w:sz w:val="24"/>
          <w:szCs w:val="24"/>
        </w:rPr>
      </w:pPr>
      <w:r w:rsidRPr="0090767D">
        <w:rPr>
          <w:rFonts w:ascii="Times New Roman" w:hAnsi="Times New Roman"/>
          <w:b/>
          <w:bCs/>
          <w:color w:val="211E1E"/>
          <w:sz w:val="24"/>
          <w:szCs w:val="24"/>
        </w:rPr>
        <w:t xml:space="preserve">Arginine Vasopressin: Synthesis, Function, Receptors and Mechanisms, Osmotic and Non- Osmotic Stimuli </w:t>
      </w:r>
    </w:p>
    <w:p w14:paraId="4C37D78D" w14:textId="38B24626" w:rsidR="00FA25E7" w:rsidRPr="0090767D" w:rsidRDefault="00FA25E7" w:rsidP="00FA25E7">
      <w:pPr>
        <w:pStyle w:val="NormalWeb"/>
        <w:rPr>
          <w:rFonts w:ascii="Times New Roman" w:hAnsi="Times New Roman"/>
          <w:sz w:val="24"/>
          <w:szCs w:val="24"/>
        </w:rPr>
      </w:pPr>
      <w:r w:rsidRPr="0090767D">
        <w:rPr>
          <w:rFonts w:ascii="Times New Roman" w:hAnsi="Times New Roman"/>
          <w:color w:val="211E1E"/>
          <w:sz w:val="24"/>
          <w:szCs w:val="24"/>
        </w:rPr>
        <w:t xml:space="preserve">It is synthesized in the hypothalamic supraoptic and paraventricular nuclei neurons, then transported along the axons to the posterior lobe of the hypophysis and, in response to a number of stimuli, is released into the circulation </w:t>
      </w:r>
    </w:p>
    <w:p w14:paraId="3A0C61A6" w14:textId="718E3CBC" w:rsidR="00390B03" w:rsidRPr="0090767D" w:rsidRDefault="00390B03" w:rsidP="00390B03">
      <w:pPr>
        <w:pStyle w:val="NormalWeb"/>
        <w:rPr>
          <w:rFonts w:ascii="Times New Roman" w:hAnsi="Times New Roman"/>
          <w:color w:val="211E1E"/>
          <w:sz w:val="24"/>
          <w:szCs w:val="24"/>
        </w:rPr>
      </w:pPr>
      <w:r w:rsidRPr="0090767D">
        <w:rPr>
          <w:rFonts w:ascii="Times New Roman" w:hAnsi="Times New Roman"/>
          <w:color w:val="211E1E"/>
          <w:sz w:val="24"/>
          <w:szCs w:val="24"/>
        </w:rPr>
        <w:t xml:space="preserve">Circulating ADH is rapidly metabolized by hepatic and renal aminopeptidase. </w:t>
      </w:r>
      <w:r w:rsidR="000E5CAE" w:rsidRPr="0090767D">
        <w:rPr>
          <w:rFonts w:ascii="Times New Roman" w:hAnsi="Times New Roman"/>
          <w:color w:val="211E1E"/>
          <w:sz w:val="24"/>
          <w:szCs w:val="24"/>
        </w:rPr>
        <w:t>(vasopressinase); this enzyme can also inactivate oxytocin</w:t>
      </w:r>
    </w:p>
    <w:p w14:paraId="6EE138F5" w14:textId="2B5D6E76" w:rsidR="000E5CAE" w:rsidRPr="0090767D" w:rsidRDefault="000E5CAE" w:rsidP="000E5CAE">
      <w:pPr>
        <w:pStyle w:val="NormalWeb"/>
        <w:rPr>
          <w:rFonts w:ascii="Times New Roman" w:hAnsi="Times New Roman"/>
          <w:sz w:val="24"/>
          <w:szCs w:val="24"/>
        </w:rPr>
      </w:pPr>
      <w:r w:rsidRPr="0090767D">
        <w:rPr>
          <w:rFonts w:ascii="Times New Roman" w:hAnsi="Times New Roman"/>
          <w:b/>
          <w:i/>
          <w:color w:val="211E1E"/>
          <w:sz w:val="24"/>
          <w:szCs w:val="24"/>
        </w:rPr>
        <w:t>Receptors</w:t>
      </w:r>
      <w:r w:rsidRPr="0090767D">
        <w:rPr>
          <w:rFonts w:ascii="Times New Roman" w:hAnsi="Times New Roman"/>
          <w:color w:val="211E1E"/>
          <w:sz w:val="24"/>
          <w:szCs w:val="24"/>
        </w:rPr>
        <w:t>:</w:t>
      </w:r>
      <w:r w:rsidR="00E15156" w:rsidRPr="0090767D">
        <w:rPr>
          <w:rFonts w:ascii="Times New Roman" w:hAnsi="Times New Roman"/>
          <w:sz w:val="24"/>
          <w:szCs w:val="24"/>
        </w:rPr>
        <w:t xml:space="preserve"> </w:t>
      </w:r>
      <w:r w:rsidRPr="0090767D">
        <w:rPr>
          <w:rFonts w:ascii="Times New Roman" w:hAnsi="Times New Roman"/>
          <w:color w:val="211E1E"/>
          <w:sz w:val="24"/>
          <w:szCs w:val="24"/>
        </w:rPr>
        <w:t xml:space="preserve">Three known receptors bind ADH at the cell membrane: </w:t>
      </w:r>
    </w:p>
    <w:p w14:paraId="5DFCD530" w14:textId="77777777" w:rsidR="000E5CAE" w:rsidRPr="0090767D" w:rsidRDefault="000E5CAE" w:rsidP="000E5CAE">
      <w:pPr>
        <w:pStyle w:val="NormalWeb"/>
        <w:numPr>
          <w:ilvl w:val="0"/>
          <w:numId w:val="1"/>
        </w:numPr>
        <w:rPr>
          <w:rFonts w:ascii="Times New Roman" w:hAnsi="Times New Roman"/>
          <w:color w:val="211E1E"/>
          <w:sz w:val="24"/>
          <w:szCs w:val="24"/>
        </w:rPr>
      </w:pPr>
      <w:r w:rsidRPr="0090767D">
        <w:rPr>
          <w:rFonts w:ascii="Times New Roman" w:hAnsi="Times New Roman"/>
          <w:color w:val="211E1E"/>
          <w:sz w:val="24"/>
          <w:szCs w:val="24"/>
        </w:rPr>
        <w:t>V1a</w:t>
      </w:r>
    </w:p>
    <w:p w14:paraId="24D18BE1" w14:textId="77777777" w:rsidR="000E5CAE" w:rsidRPr="0090767D" w:rsidRDefault="000E5CAE" w:rsidP="000E5CAE">
      <w:pPr>
        <w:pStyle w:val="NormalWeb"/>
        <w:numPr>
          <w:ilvl w:val="0"/>
          <w:numId w:val="1"/>
        </w:numPr>
        <w:rPr>
          <w:rFonts w:ascii="Times New Roman" w:hAnsi="Times New Roman"/>
          <w:color w:val="211E1E"/>
          <w:sz w:val="24"/>
          <w:szCs w:val="24"/>
        </w:rPr>
      </w:pPr>
      <w:r w:rsidRPr="0090767D">
        <w:rPr>
          <w:rFonts w:ascii="Times New Roman" w:hAnsi="Times New Roman"/>
          <w:color w:val="211E1E"/>
          <w:sz w:val="24"/>
          <w:szCs w:val="24"/>
        </w:rPr>
        <w:t xml:space="preserve">V1b (also known as V3) </w:t>
      </w:r>
    </w:p>
    <w:p w14:paraId="30916ACD" w14:textId="020607F8" w:rsidR="000E5CAE" w:rsidRPr="0090767D" w:rsidRDefault="000E5CAE" w:rsidP="000E5CAE">
      <w:pPr>
        <w:pStyle w:val="NormalWeb"/>
        <w:numPr>
          <w:ilvl w:val="0"/>
          <w:numId w:val="1"/>
        </w:numPr>
        <w:rPr>
          <w:rFonts w:ascii="Times New Roman" w:hAnsi="Times New Roman"/>
          <w:color w:val="211E1E"/>
          <w:sz w:val="24"/>
          <w:szCs w:val="24"/>
        </w:rPr>
      </w:pPr>
      <w:r w:rsidRPr="0090767D">
        <w:rPr>
          <w:rFonts w:ascii="Times New Roman" w:hAnsi="Times New Roman"/>
          <w:color w:val="211E1E"/>
          <w:sz w:val="24"/>
          <w:szCs w:val="24"/>
        </w:rPr>
        <w:t xml:space="preserve">V2 </w:t>
      </w:r>
    </w:p>
    <w:p w14:paraId="70F68B91" w14:textId="77777777" w:rsidR="00E61D29" w:rsidRPr="0090767D" w:rsidRDefault="00E61D29" w:rsidP="000E5CAE">
      <w:pPr>
        <w:pStyle w:val="NormalWeb"/>
        <w:rPr>
          <w:rFonts w:ascii="Times New Roman" w:hAnsi="Times New Roman"/>
          <w:color w:val="211E1E"/>
          <w:sz w:val="24"/>
          <w:szCs w:val="24"/>
        </w:rPr>
      </w:pPr>
      <w:r w:rsidRPr="0090767D">
        <w:rPr>
          <w:rFonts w:ascii="Times New Roman" w:hAnsi="Times New Roman"/>
          <w:color w:val="211E1E"/>
          <w:sz w:val="24"/>
          <w:szCs w:val="24"/>
        </w:rPr>
        <w:t>These recep</w:t>
      </w:r>
      <w:r w:rsidR="000E5CAE" w:rsidRPr="0090767D">
        <w:rPr>
          <w:rFonts w:ascii="Times New Roman" w:hAnsi="Times New Roman"/>
          <w:color w:val="211E1E"/>
          <w:sz w:val="24"/>
          <w:szCs w:val="24"/>
        </w:rPr>
        <w:t>tors belong to the G-pro</w:t>
      </w:r>
      <w:r w:rsidRPr="0090767D">
        <w:rPr>
          <w:rFonts w:ascii="Times New Roman" w:hAnsi="Times New Roman"/>
          <w:color w:val="211E1E"/>
          <w:sz w:val="24"/>
          <w:szCs w:val="24"/>
        </w:rPr>
        <w:t>tein-coupled receptor superfam</w:t>
      </w:r>
      <w:r w:rsidR="000E5CAE" w:rsidRPr="0090767D">
        <w:rPr>
          <w:rFonts w:ascii="Times New Roman" w:hAnsi="Times New Roman"/>
          <w:color w:val="211E1E"/>
          <w:sz w:val="24"/>
          <w:szCs w:val="24"/>
        </w:rPr>
        <w:t xml:space="preserve">ily. </w:t>
      </w:r>
    </w:p>
    <w:p w14:paraId="09B43454" w14:textId="77777777" w:rsidR="00E61D29" w:rsidRPr="0090767D" w:rsidRDefault="000E5CAE" w:rsidP="000E5CAE">
      <w:pPr>
        <w:pStyle w:val="NormalWeb"/>
        <w:rPr>
          <w:rFonts w:ascii="Times New Roman" w:hAnsi="Times New Roman"/>
          <w:color w:val="211E1E"/>
          <w:sz w:val="24"/>
          <w:szCs w:val="24"/>
        </w:rPr>
      </w:pPr>
      <w:r w:rsidRPr="0090767D">
        <w:rPr>
          <w:rFonts w:ascii="Times New Roman" w:hAnsi="Times New Roman"/>
          <w:color w:val="211E1E"/>
          <w:sz w:val="24"/>
          <w:szCs w:val="24"/>
        </w:rPr>
        <w:lastRenderedPageBreak/>
        <w:t xml:space="preserve">ADH binding to V1a and V1b receptors results in phospholipase C activation and elevation of intracellular calcium that, in turn, stimulates protein kinase C. </w:t>
      </w:r>
    </w:p>
    <w:p w14:paraId="18382560" w14:textId="0EC60DD6" w:rsidR="00FA25E7" w:rsidRPr="0090767D" w:rsidRDefault="00E61D29" w:rsidP="00FA25E7">
      <w:pPr>
        <w:pStyle w:val="NormalWeb"/>
        <w:rPr>
          <w:rFonts w:ascii="Times New Roman" w:hAnsi="Times New Roman"/>
          <w:sz w:val="24"/>
          <w:szCs w:val="24"/>
        </w:rPr>
      </w:pPr>
      <w:r w:rsidRPr="0090767D">
        <w:rPr>
          <w:rFonts w:ascii="Times New Roman" w:hAnsi="Times New Roman"/>
          <w:color w:val="211E1E"/>
          <w:sz w:val="24"/>
          <w:szCs w:val="24"/>
        </w:rPr>
        <w:t>In</w:t>
      </w:r>
      <w:r w:rsidR="000E5CAE" w:rsidRPr="0090767D">
        <w:rPr>
          <w:rFonts w:ascii="Times New Roman" w:hAnsi="Times New Roman"/>
          <w:color w:val="211E1E"/>
          <w:sz w:val="24"/>
          <w:szCs w:val="24"/>
        </w:rPr>
        <w:t>stead, the binding to V2 re</w:t>
      </w:r>
      <w:r w:rsidRPr="0090767D">
        <w:rPr>
          <w:rFonts w:ascii="Times New Roman" w:hAnsi="Times New Roman"/>
          <w:color w:val="211E1E"/>
          <w:sz w:val="24"/>
          <w:szCs w:val="24"/>
        </w:rPr>
        <w:t>ceptors activates adenylate cy</w:t>
      </w:r>
      <w:r w:rsidR="000E5CAE" w:rsidRPr="0090767D">
        <w:rPr>
          <w:rFonts w:ascii="Times New Roman" w:hAnsi="Times New Roman"/>
          <w:color w:val="211E1E"/>
          <w:sz w:val="24"/>
          <w:szCs w:val="24"/>
        </w:rPr>
        <w:t>clase, causing a rise in intra</w:t>
      </w:r>
      <w:r w:rsidRPr="0090767D">
        <w:rPr>
          <w:rFonts w:ascii="Times New Roman" w:hAnsi="Times New Roman"/>
          <w:color w:val="211E1E"/>
          <w:sz w:val="24"/>
          <w:szCs w:val="24"/>
        </w:rPr>
        <w:t>cellular cyclic adenosine mo</w:t>
      </w:r>
      <w:r w:rsidR="000E5CAE" w:rsidRPr="0090767D">
        <w:rPr>
          <w:rFonts w:ascii="Times New Roman" w:hAnsi="Times New Roman"/>
          <w:color w:val="211E1E"/>
          <w:sz w:val="24"/>
          <w:szCs w:val="24"/>
        </w:rPr>
        <w:t xml:space="preserve">nophosphate (cAMP) </w:t>
      </w:r>
    </w:p>
    <w:p w14:paraId="71053773" w14:textId="3E5130F3" w:rsidR="0068610F" w:rsidRPr="0090767D" w:rsidRDefault="0068610F" w:rsidP="0068610F">
      <w:pPr>
        <w:pStyle w:val="NormalWeb"/>
        <w:rPr>
          <w:rFonts w:ascii="Times New Roman" w:hAnsi="Times New Roman"/>
          <w:color w:val="211E1E"/>
          <w:sz w:val="24"/>
          <w:szCs w:val="24"/>
        </w:rPr>
      </w:pPr>
      <w:r w:rsidRPr="0090767D">
        <w:rPr>
          <w:rFonts w:ascii="Times New Roman" w:hAnsi="Times New Roman"/>
          <w:b/>
          <w:color w:val="211E1E"/>
          <w:sz w:val="24"/>
          <w:szCs w:val="24"/>
        </w:rPr>
        <w:t xml:space="preserve">V1a </w:t>
      </w:r>
      <w:r w:rsidR="00703957" w:rsidRPr="0090767D">
        <w:rPr>
          <w:rFonts w:ascii="Times New Roman" w:hAnsi="Times New Roman"/>
          <w:b/>
          <w:color w:val="211E1E"/>
          <w:sz w:val="24"/>
          <w:szCs w:val="24"/>
        </w:rPr>
        <w:t>receptor</w:t>
      </w:r>
      <w:r w:rsidRPr="0090767D">
        <w:rPr>
          <w:rFonts w:ascii="Times New Roman" w:hAnsi="Times New Roman"/>
          <w:color w:val="211E1E"/>
          <w:sz w:val="24"/>
          <w:szCs w:val="24"/>
        </w:rPr>
        <w:t>:</w:t>
      </w:r>
    </w:p>
    <w:p w14:paraId="5F0D8CE7" w14:textId="12ACB7D2" w:rsidR="0068610F" w:rsidRPr="0090767D" w:rsidRDefault="00703957" w:rsidP="00703957">
      <w:pPr>
        <w:pStyle w:val="NormalWeb"/>
        <w:numPr>
          <w:ilvl w:val="0"/>
          <w:numId w:val="2"/>
        </w:numPr>
        <w:rPr>
          <w:rFonts w:ascii="Times New Roman" w:hAnsi="Times New Roman"/>
          <w:color w:val="211E1E"/>
          <w:sz w:val="24"/>
          <w:szCs w:val="24"/>
        </w:rPr>
      </w:pPr>
      <w:r w:rsidRPr="0090767D">
        <w:rPr>
          <w:rFonts w:ascii="Times New Roman" w:hAnsi="Times New Roman"/>
          <w:color w:val="211E1E"/>
          <w:sz w:val="24"/>
          <w:szCs w:val="24"/>
        </w:rPr>
        <w:t>U</w:t>
      </w:r>
      <w:r w:rsidR="0068610F" w:rsidRPr="0090767D">
        <w:rPr>
          <w:rFonts w:ascii="Times New Roman" w:hAnsi="Times New Roman"/>
          <w:color w:val="211E1E"/>
          <w:sz w:val="24"/>
          <w:szCs w:val="24"/>
        </w:rPr>
        <w:t xml:space="preserve">biquitous and it is found on several cells, such as vascular smooth muscle cells, hepatocytes, platelets, brain and uterus cells. </w:t>
      </w:r>
    </w:p>
    <w:p w14:paraId="5BFF34ED" w14:textId="77777777" w:rsidR="0068610F" w:rsidRPr="0090767D" w:rsidRDefault="0068610F" w:rsidP="00703957">
      <w:pPr>
        <w:pStyle w:val="NormalWeb"/>
        <w:numPr>
          <w:ilvl w:val="0"/>
          <w:numId w:val="2"/>
        </w:numPr>
        <w:rPr>
          <w:rFonts w:ascii="Times New Roman" w:hAnsi="Times New Roman"/>
          <w:sz w:val="24"/>
          <w:szCs w:val="24"/>
        </w:rPr>
      </w:pPr>
      <w:r w:rsidRPr="0090767D">
        <w:rPr>
          <w:rFonts w:ascii="Times New Roman" w:hAnsi="Times New Roman"/>
          <w:color w:val="211E1E"/>
          <w:sz w:val="24"/>
          <w:szCs w:val="24"/>
        </w:rPr>
        <w:t xml:space="preserve">This receptor mediates the cardiovascular effects of ADH, which exerts its hypertensive effects mainly through smooth muscle cell contraction </w:t>
      </w:r>
    </w:p>
    <w:p w14:paraId="701BD3EF" w14:textId="09F291EF" w:rsidR="001159FD" w:rsidRPr="0090767D" w:rsidRDefault="0068610F" w:rsidP="007F2CC8">
      <w:pPr>
        <w:pStyle w:val="NormalWeb"/>
        <w:numPr>
          <w:ilvl w:val="0"/>
          <w:numId w:val="2"/>
        </w:numPr>
        <w:rPr>
          <w:rFonts w:ascii="Times New Roman" w:hAnsi="Times New Roman"/>
          <w:sz w:val="24"/>
          <w:szCs w:val="24"/>
        </w:rPr>
      </w:pPr>
      <w:r w:rsidRPr="0090767D">
        <w:rPr>
          <w:rFonts w:ascii="Times New Roman" w:hAnsi="Times New Roman"/>
          <w:color w:val="211E1E"/>
          <w:sz w:val="24"/>
          <w:szCs w:val="24"/>
        </w:rPr>
        <w:t xml:space="preserve">Moreover, the stimulation of V1a receptors regulates glycogenolysis, platelet aggregation, myocyte hypertrophy, anxiety and stress </w:t>
      </w:r>
    </w:p>
    <w:p w14:paraId="7BA22488" w14:textId="51035F29" w:rsidR="00703957" w:rsidRPr="0090767D" w:rsidRDefault="00703957" w:rsidP="00703957">
      <w:pPr>
        <w:pStyle w:val="NormalWeb"/>
        <w:rPr>
          <w:rFonts w:ascii="Times New Roman" w:hAnsi="Times New Roman"/>
          <w:b/>
          <w:color w:val="211E1E"/>
          <w:sz w:val="24"/>
          <w:szCs w:val="24"/>
        </w:rPr>
      </w:pPr>
      <w:r w:rsidRPr="0090767D">
        <w:rPr>
          <w:rFonts w:ascii="Times New Roman" w:hAnsi="Times New Roman"/>
          <w:b/>
          <w:color w:val="211E1E"/>
          <w:sz w:val="24"/>
          <w:szCs w:val="24"/>
        </w:rPr>
        <w:t>V1b receptors</w:t>
      </w:r>
      <w:r w:rsidR="00826307" w:rsidRPr="0090767D">
        <w:rPr>
          <w:rFonts w:ascii="Times New Roman" w:hAnsi="Times New Roman"/>
          <w:b/>
          <w:color w:val="211E1E"/>
          <w:sz w:val="24"/>
          <w:szCs w:val="24"/>
        </w:rPr>
        <w:t xml:space="preserve"> (V3)</w:t>
      </w:r>
      <w:r w:rsidRPr="0090767D">
        <w:rPr>
          <w:rFonts w:ascii="Times New Roman" w:hAnsi="Times New Roman"/>
          <w:b/>
          <w:color w:val="211E1E"/>
          <w:sz w:val="24"/>
          <w:szCs w:val="24"/>
        </w:rPr>
        <w:t>:</w:t>
      </w:r>
    </w:p>
    <w:p w14:paraId="752D5DE1" w14:textId="0C3949FB" w:rsidR="00BB312F" w:rsidRPr="0090767D" w:rsidRDefault="00BB312F" w:rsidP="00652D16">
      <w:pPr>
        <w:pStyle w:val="NormalWeb"/>
        <w:numPr>
          <w:ilvl w:val="0"/>
          <w:numId w:val="5"/>
        </w:numPr>
        <w:rPr>
          <w:rFonts w:ascii="Times New Roman" w:hAnsi="Times New Roman"/>
          <w:sz w:val="24"/>
          <w:szCs w:val="24"/>
        </w:rPr>
      </w:pPr>
      <w:r w:rsidRPr="0090767D">
        <w:rPr>
          <w:rFonts w:ascii="Times New Roman" w:hAnsi="Times New Roman"/>
          <w:color w:val="211E1E"/>
          <w:sz w:val="24"/>
          <w:szCs w:val="24"/>
        </w:rPr>
        <w:t>V1b receptors are found predominantly in the anterior pituitary gland and their stimulation resul</w:t>
      </w:r>
      <w:r w:rsidR="00652D16" w:rsidRPr="0090767D">
        <w:rPr>
          <w:rFonts w:ascii="Times New Roman" w:hAnsi="Times New Roman"/>
          <w:color w:val="211E1E"/>
          <w:sz w:val="24"/>
          <w:szCs w:val="24"/>
        </w:rPr>
        <w:t>ts in the release of adrenocor</w:t>
      </w:r>
      <w:r w:rsidRPr="0090767D">
        <w:rPr>
          <w:rFonts w:ascii="Times New Roman" w:hAnsi="Times New Roman"/>
          <w:color w:val="211E1E"/>
          <w:sz w:val="24"/>
          <w:szCs w:val="24"/>
        </w:rPr>
        <w:t xml:space="preserve">ticotropic hormone (ACTH) </w:t>
      </w:r>
    </w:p>
    <w:p w14:paraId="0CD7D118" w14:textId="77777777" w:rsidR="00652D16" w:rsidRPr="0090767D" w:rsidRDefault="00652D16" w:rsidP="00652D16">
      <w:pPr>
        <w:pStyle w:val="NormalWeb"/>
        <w:rPr>
          <w:rFonts w:ascii="Times New Roman" w:hAnsi="Times New Roman"/>
          <w:b/>
          <w:color w:val="211E1E"/>
          <w:sz w:val="24"/>
          <w:szCs w:val="24"/>
        </w:rPr>
      </w:pPr>
      <w:r w:rsidRPr="0090767D">
        <w:rPr>
          <w:rFonts w:ascii="Times New Roman" w:hAnsi="Times New Roman"/>
          <w:b/>
          <w:color w:val="211E1E"/>
          <w:sz w:val="24"/>
          <w:szCs w:val="24"/>
        </w:rPr>
        <w:t xml:space="preserve">V2 receptors </w:t>
      </w:r>
    </w:p>
    <w:p w14:paraId="1D0D8FBC" w14:textId="77777777" w:rsidR="00652D16" w:rsidRPr="0090767D" w:rsidRDefault="00652D16" w:rsidP="00652D16">
      <w:pPr>
        <w:pStyle w:val="NormalWeb"/>
        <w:numPr>
          <w:ilvl w:val="0"/>
          <w:numId w:val="5"/>
        </w:numPr>
        <w:rPr>
          <w:rFonts w:ascii="Times New Roman" w:hAnsi="Times New Roman"/>
          <w:sz w:val="24"/>
          <w:szCs w:val="24"/>
        </w:rPr>
      </w:pPr>
      <w:r w:rsidRPr="0090767D">
        <w:rPr>
          <w:rFonts w:ascii="Times New Roman" w:hAnsi="Times New Roman"/>
          <w:color w:val="211E1E"/>
          <w:sz w:val="24"/>
          <w:szCs w:val="24"/>
        </w:rPr>
        <w:t xml:space="preserve">Are found in endothelial cells, where their activation induces the secretion of von Willebrand factor </w:t>
      </w:r>
    </w:p>
    <w:p w14:paraId="6B562583" w14:textId="77777777" w:rsidR="00652D16" w:rsidRPr="0090767D" w:rsidRDefault="00652D16" w:rsidP="00652D16">
      <w:pPr>
        <w:pStyle w:val="NormalWeb"/>
        <w:numPr>
          <w:ilvl w:val="0"/>
          <w:numId w:val="5"/>
        </w:numPr>
        <w:rPr>
          <w:rFonts w:ascii="Times New Roman" w:hAnsi="Times New Roman"/>
          <w:color w:val="211E1E"/>
          <w:sz w:val="24"/>
          <w:szCs w:val="24"/>
        </w:rPr>
      </w:pPr>
      <w:r w:rsidRPr="0090767D">
        <w:rPr>
          <w:rFonts w:ascii="Times New Roman" w:hAnsi="Times New Roman"/>
          <w:sz w:val="24"/>
          <w:szCs w:val="24"/>
        </w:rPr>
        <w:t>They are also</w:t>
      </w:r>
      <w:r w:rsidRPr="0090767D">
        <w:rPr>
          <w:rFonts w:ascii="Times New Roman" w:hAnsi="Times New Roman"/>
          <w:color w:val="211E1E"/>
          <w:sz w:val="24"/>
          <w:szCs w:val="24"/>
        </w:rPr>
        <w:t xml:space="preserve"> found on the basolateral membrane of the principal cells of the renal collecting ducts, where they mediate an antidiuretic response. </w:t>
      </w:r>
    </w:p>
    <w:p w14:paraId="73234AB3" w14:textId="2AF728F4" w:rsidR="00652D16" w:rsidRPr="0090767D" w:rsidRDefault="00652D16" w:rsidP="00652D16">
      <w:pPr>
        <w:pStyle w:val="NormalWeb"/>
        <w:numPr>
          <w:ilvl w:val="0"/>
          <w:numId w:val="5"/>
        </w:numPr>
        <w:rPr>
          <w:rFonts w:ascii="Times New Roman" w:hAnsi="Times New Roman"/>
          <w:sz w:val="24"/>
          <w:szCs w:val="24"/>
        </w:rPr>
      </w:pPr>
      <w:r w:rsidRPr="0090767D">
        <w:rPr>
          <w:rFonts w:ascii="Times New Roman" w:hAnsi="Times New Roman"/>
          <w:color w:val="211E1E"/>
          <w:sz w:val="24"/>
          <w:szCs w:val="24"/>
        </w:rPr>
        <w:t xml:space="preserve">Stimulation of V2 receptors, through intracellular cAMP, increases synthesis and insertion of aquaporin-2 (AQP2) water channels in the luminal membrane of the collecting ducts, thus making them permeable to water. Consequently, water passes passively to the hypertonic interstitium of renal pyramids, resulting in urine concentration. </w:t>
      </w:r>
    </w:p>
    <w:p w14:paraId="5F957FF3" w14:textId="202CFC09" w:rsidR="00C21679" w:rsidRPr="0090767D" w:rsidRDefault="00141906" w:rsidP="00F256E5">
      <w:pPr>
        <w:pStyle w:val="NormalWeb"/>
        <w:rPr>
          <w:rFonts w:ascii="Times New Roman" w:hAnsi="Times New Roman"/>
          <w:sz w:val="24"/>
          <w:szCs w:val="24"/>
        </w:rPr>
      </w:pPr>
      <w:r w:rsidRPr="0090767D">
        <w:rPr>
          <w:rFonts w:ascii="Times New Roman" w:hAnsi="Times New Roman"/>
          <w:color w:val="211E1E"/>
          <w:sz w:val="24"/>
          <w:szCs w:val="24"/>
        </w:rPr>
        <w:t>A</w:t>
      </w:r>
      <w:r w:rsidR="00B63FBB" w:rsidRPr="0090767D">
        <w:rPr>
          <w:rFonts w:ascii="Times New Roman" w:hAnsi="Times New Roman"/>
          <w:color w:val="211E1E"/>
          <w:sz w:val="24"/>
          <w:szCs w:val="24"/>
        </w:rPr>
        <w:t>DH antidiuretic action also de</w:t>
      </w:r>
      <w:r w:rsidRPr="0090767D">
        <w:rPr>
          <w:rFonts w:ascii="Times New Roman" w:hAnsi="Times New Roman"/>
          <w:color w:val="211E1E"/>
          <w:sz w:val="24"/>
          <w:szCs w:val="24"/>
        </w:rPr>
        <w:t>pends on its ability of m</w:t>
      </w:r>
      <w:r w:rsidR="00B63FBB" w:rsidRPr="0090767D">
        <w:rPr>
          <w:rFonts w:ascii="Times New Roman" w:hAnsi="Times New Roman"/>
          <w:color w:val="211E1E"/>
          <w:sz w:val="24"/>
          <w:szCs w:val="24"/>
        </w:rPr>
        <w:t>aintaining the medullary inter</w:t>
      </w:r>
      <w:r w:rsidRPr="0090767D">
        <w:rPr>
          <w:rFonts w:ascii="Times New Roman" w:hAnsi="Times New Roman"/>
          <w:color w:val="211E1E"/>
          <w:sz w:val="24"/>
          <w:szCs w:val="24"/>
        </w:rPr>
        <w:t xml:space="preserve">stitial osmotic gradients by increasing the number of epithelial [Na+] channels and urea transporters (UT-A1), thus enhancing sodium and urea permeability in the collecting duct </w:t>
      </w:r>
    </w:p>
    <w:p w14:paraId="31898891" w14:textId="77777777" w:rsidR="005E4480" w:rsidRPr="0090767D" w:rsidRDefault="005E4480" w:rsidP="005E4480">
      <w:pPr>
        <w:pStyle w:val="NormalWeb"/>
        <w:rPr>
          <w:rFonts w:ascii="Times New Roman" w:hAnsi="Times New Roman"/>
          <w:color w:val="211E1E"/>
          <w:sz w:val="24"/>
          <w:szCs w:val="24"/>
        </w:rPr>
      </w:pPr>
      <w:r w:rsidRPr="0090767D">
        <w:rPr>
          <w:rFonts w:ascii="Times New Roman" w:hAnsi="Times New Roman"/>
          <w:color w:val="211E1E"/>
          <w:sz w:val="24"/>
          <w:szCs w:val="24"/>
        </w:rPr>
        <w:t xml:space="preserve">ADH secretion is influenced by many different stimuli, which can be classified as osmotic and non-osmotic. </w:t>
      </w:r>
    </w:p>
    <w:p w14:paraId="49DCCBCD" w14:textId="77777777" w:rsidR="005E4480" w:rsidRPr="0090767D" w:rsidRDefault="005E4480" w:rsidP="005E4480">
      <w:pPr>
        <w:pStyle w:val="NormalWeb"/>
        <w:rPr>
          <w:rFonts w:ascii="Times New Roman" w:hAnsi="Times New Roman"/>
          <w:color w:val="211E1E"/>
          <w:sz w:val="24"/>
          <w:szCs w:val="24"/>
        </w:rPr>
      </w:pPr>
      <w:r w:rsidRPr="0090767D">
        <w:rPr>
          <w:rFonts w:ascii="Times New Roman" w:hAnsi="Times New Roman"/>
          <w:color w:val="211E1E"/>
          <w:sz w:val="24"/>
          <w:szCs w:val="24"/>
        </w:rPr>
        <w:t xml:space="preserve">Under physiological conditions, the most important stimulus is the effective osmotic pressure of plasma. </w:t>
      </w:r>
    </w:p>
    <w:p w14:paraId="7BE820F6" w14:textId="5FE3CA56" w:rsidR="005E4480" w:rsidRPr="0090767D" w:rsidRDefault="005E4480" w:rsidP="005E4480">
      <w:pPr>
        <w:pStyle w:val="NormalWeb"/>
        <w:numPr>
          <w:ilvl w:val="0"/>
          <w:numId w:val="6"/>
        </w:numPr>
        <w:rPr>
          <w:rFonts w:ascii="Times New Roman" w:hAnsi="Times New Roman"/>
          <w:color w:val="211E1E"/>
          <w:sz w:val="24"/>
          <w:szCs w:val="24"/>
        </w:rPr>
      </w:pPr>
      <w:r w:rsidRPr="0090767D">
        <w:rPr>
          <w:rFonts w:ascii="Times New Roman" w:hAnsi="Times New Roman"/>
          <w:color w:val="211E1E"/>
          <w:sz w:val="24"/>
          <w:szCs w:val="24"/>
        </w:rPr>
        <w:t>Osmoreceptors are located in the anterior hypothalamus, outside the hematoencephalic barrier, mostly on the vascular side of the terminal lamina around the ventricles, exposed to the osmotic variations of the systemic circulation.</w:t>
      </w:r>
    </w:p>
    <w:p w14:paraId="4954668B" w14:textId="77777777" w:rsidR="00F93791" w:rsidRPr="0090767D" w:rsidRDefault="005E4480" w:rsidP="00F93791">
      <w:pPr>
        <w:pStyle w:val="NormalWeb"/>
        <w:numPr>
          <w:ilvl w:val="0"/>
          <w:numId w:val="6"/>
        </w:numPr>
        <w:rPr>
          <w:rFonts w:ascii="Times New Roman" w:hAnsi="Times New Roman"/>
          <w:sz w:val="24"/>
          <w:szCs w:val="24"/>
        </w:rPr>
      </w:pPr>
      <w:r w:rsidRPr="0090767D">
        <w:rPr>
          <w:rFonts w:ascii="Times New Roman" w:hAnsi="Times New Roman"/>
          <w:color w:val="211E1E"/>
          <w:sz w:val="24"/>
          <w:szCs w:val="24"/>
        </w:rPr>
        <w:t>The threshold f</w:t>
      </w:r>
      <w:r w:rsidR="00C72592" w:rsidRPr="0090767D">
        <w:rPr>
          <w:rFonts w:ascii="Times New Roman" w:hAnsi="Times New Roman"/>
          <w:color w:val="211E1E"/>
          <w:sz w:val="24"/>
          <w:szCs w:val="24"/>
        </w:rPr>
        <w:t>or ADH release cessation corre</w:t>
      </w:r>
      <w:r w:rsidRPr="0090767D">
        <w:rPr>
          <w:rFonts w:ascii="Times New Roman" w:hAnsi="Times New Roman"/>
          <w:color w:val="211E1E"/>
          <w:sz w:val="24"/>
          <w:szCs w:val="24"/>
        </w:rPr>
        <w:t xml:space="preserve">sponds to a plasmatic osmolality &lt;275 mosm/kg, while for plasmatic osmolality of 284 mosm/kg or higher </w:t>
      </w:r>
    </w:p>
    <w:p w14:paraId="5BE6076D" w14:textId="7193429E" w:rsidR="00F93791" w:rsidRPr="0090767D" w:rsidRDefault="00F93791" w:rsidP="00F93791">
      <w:pPr>
        <w:pStyle w:val="NormalWeb"/>
        <w:rPr>
          <w:rFonts w:ascii="Times New Roman" w:hAnsi="Times New Roman"/>
          <w:color w:val="211E1E"/>
          <w:sz w:val="24"/>
          <w:szCs w:val="24"/>
        </w:rPr>
      </w:pPr>
      <w:r w:rsidRPr="0090767D">
        <w:rPr>
          <w:rFonts w:ascii="Times New Roman" w:hAnsi="Times New Roman"/>
          <w:color w:val="211E1E"/>
          <w:sz w:val="24"/>
          <w:szCs w:val="24"/>
        </w:rPr>
        <w:t>Hypovolemia is a potent non-osm</w:t>
      </w:r>
      <w:r w:rsidR="00947AA0" w:rsidRPr="0090767D">
        <w:rPr>
          <w:rFonts w:ascii="Times New Roman" w:hAnsi="Times New Roman"/>
          <w:color w:val="211E1E"/>
          <w:sz w:val="24"/>
          <w:szCs w:val="24"/>
        </w:rPr>
        <w:t>otic stimulus for ADH secretion.</w:t>
      </w:r>
    </w:p>
    <w:p w14:paraId="396F94DF" w14:textId="77777777" w:rsidR="00947AA0" w:rsidRPr="0090767D" w:rsidRDefault="00947AA0" w:rsidP="00947AA0">
      <w:pPr>
        <w:pStyle w:val="NormalWeb"/>
        <w:numPr>
          <w:ilvl w:val="0"/>
          <w:numId w:val="7"/>
        </w:numPr>
        <w:rPr>
          <w:rFonts w:ascii="Times New Roman" w:hAnsi="Times New Roman"/>
          <w:color w:val="211E1E"/>
          <w:sz w:val="24"/>
          <w:szCs w:val="24"/>
        </w:rPr>
      </w:pPr>
      <w:r w:rsidRPr="0090767D">
        <w:rPr>
          <w:rFonts w:ascii="Times New Roman" w:hAnsi="Times New Roman"/>
          <w:color w:val="211E1E"/>
          <w:sz w:val="24"/>
          <w:szCs w:val="24"/>
        </w:rPr>
        <w:t>Baroreceptors are classified in low- and high-pressure receptors and the activation of both of them results in ADH increase.</w:t>
      </w:r>
    </w:p>
    <w:p w14:paraId="49FBD1D1" w14:textId="77777777" w:rsidR="00947AA0" w:rsidRPr="0090767D" w:rsidRDefault="00947AA0" w:rsidP="00947AA0">
      <w:pPr>
        <w:pStyle w:val="NormalWeb"/>
        <w:numPr>
          <w:ilvl w:val="0"/>
          <w:numId w:val="7"/>
        </w:numPr>
        <w:rPr>
          <w:rFonts w:ascii="Times New Roman" w:hAnsi="Times New Roman"/>
          <w:color w:val="211E1E"/>
          <w:sz w:val="24"/>
          <w:szCs w:val="24"/>
        </w:rPr>
      </w:pPr>
      <w:r w:rsidRPr="0090767D">
        <w:rPr>
          <w:rFonts w:ascii="Times New Roman" w:hAnsi="Times New Roman"/>
          <w:color w:val="211E1E"/>
          <w:sz w:val="24"/>
          <w:szCs w:val="24"/>
        </w:rPr>
        <w:t xml:space="preserve">The low-pressure receptors are located in larger veins, right and left atrium and lungs. The high-pressure ones in the carotid sinuses and aortic arch. </w:t>
      </w:r>
    </w:p>
    <w:p w14:paraId="4F1A8E16" w14:textId="77777777" w:rsidR="00947AA0" w:rsidRPr="0090767D" w:rsidRDefault="00947AA0" w:rsidP="00947AA0">
      <w:pPr>
        <w:pStyle w:val="NormalWeb"/>
        <w:numPr>
          <w:ilvl w:val="0"/>
          <w:numId w:val="7"/>
        </w:numPr>
        <w:rPr>
          <w:rFonts w:ascii="Times New Roman" w:hAnsi="Times New Roman"/>
          <w:color w:val="211E1E"/>
          <w:sz w:val="24"/>
          <w:szCs w:val="24"/>
        </w:rPr>
      </w:pPr>
      <w:r w:rsidRPr="0090767D">
        <w:rPr>
          <w:rFonts w:ascii="Times New Roman" w:hAnsi="Times New Roman"/>
          <w:color w:val="211E1E"/>
          <w:sz w:val="24"/>
          <w:szCs w:val="24"/>
        </w:rPr>
        <w:t>ECF depletion initially induces secretion of vasopressin through low-pressure receptors pathways, thus working even with normal arterial pressure</w:t>
      </w:r>
    </w:p>
    <w:p w14:paraId="7F828B3C" w14:textId="79A49D09" w:rsidR="00947AA0" w:rsidRPr="0090767D" w:rsidRDefault="00947AA0" w:rsidP="00947AA0">
      <w:pPr>
        <w:pStyle w:val="NormalWeb"/>
        <w:rPr>
          <w:rFonts w:ascii="Times New Roman" w:hAnsi="Times New Roman"/>
          <w:color w:val="211E1E"/>
          <w:sz w:val="24"/>
          <w:szCs w:val="24"/>
        </w:rPr>
      </w:pPr>
      <w:r w:rsidRPr="0090767D">
        <w:rPr>
          <w:rFonts w:ascii="Times New Roman" w:hAnsi="Times New Roman"/>
          <w:color w:val="211E1E"/>
          <w:sz w:val="24"/>
          <w:szCs w:val="24"/>
        </w:rPr>
        <w:t xml:space="preserve">Angiotensin II and norepinephrine, which reinforce the response to hypovolemia, further stimulate ADH secretion </w:t>
      </w:r>
    </w:p>
    <w:p w14:paraId="2DB9B482" w14:textId="484EAFB3" w:rsidR="00F256E5" w:rsidRPr="0090767D" w:rsidRDefault="00C23CF8" w:rsidP="00F93791">
      <w:pPr>
        <w:pStyle w:val="NormalWeb"/>
        <w:rPr>
          <w:rFonts w:ascii="Times New Roman" w:hAnsi="Times New Roman"/>
          <w:sz w:val="24"/>
          <w:szCs w:val="24"/>
        </w:rPr>
      </w:pPr>
      <w:r w:rsidRPr="0090767D">
        <w:rPr>
          <w:rFonts w:ascii="Times New Roman" w:hAnsi="Times New Roman"/>
          <w:color w:val="211E1E"/>
          <w:sz w:val="24"/>
          <w:szCs w:val="24"/>
        </w:rPr>
        <w:t xml:space="preserve">Among the other non-osmotic stimuli, like stress, nausea, vomiting, drugs and hypoglycemia, nociceptive stimuli, mainly post-surgery pain, have been clearly associated with an increase in ADH levels, but the underlying mechanism has not been characterized so far </w:t>
      </w:r>
    </w:p>
    <w:p w14:paraId="6996EDC1" w14:textId="77777777" w:rsidR="00F93791" w:rsidRPr="0090767D" w:rsidRDefault="00F93791" w:rsidP="00F93791">
      <w:pPr>
        <w:pStyle w:val="NormalWeb"/>
        <w:rPr>
          <w:rFonts w:ascii="Times New Roman" w:hAnsi="Times New Roman"/>
          <w:sz w:val="24"/>
          <w:szCs w:val="24"/>
        </w:rPr>
      </w:pPr>
    </w:p>
    <w:tbl>
      <w:tblPr>
        <w:tblStyle w:val="TableGrid"/>
        <w:tblW w:w="0" w:type="auto"/>
        <w:tblLook w:val="04A0" w:firstRow="1" w:lastRow="0" w:firstColumn="1" w:lastColumn="0" w:noHBand="0" w:noVBand="1"/>
      </w:tblPr>
      <w:tblGrid>
        <w:gridCol w:w="2952"/>
        <w:gridCol w:w="2952"/>
        <w:gridCol w:w="2952"/>
      </w:tblGrid>
      <w:tr w:rsidR="002F7EA2" w:rsidRPr="0090767D" w14:paraId="15398D8B" w14:textId="77777777" w:rsidTr="002F7EA2">
        <w:tc>
          <w:tcPr>
            <w:tcW w:w="2952" w:type="dxa"/>
          </w:tcPr>
          <w:p w14:paraId="665F5190" w14:textId="4CB38E1E" w:rsidR="002F7EA2" w:rsidRPr="0090767D" w:rsidRDefault="002F7EA2" w:rsidP="005E4480">
            <w:pPr>
              <w:pStyle w:val="NormalWeb"/>
              <w:rPr>
                <w:rFonts w:ascii="Times New Roman" w:hAnsi="Times New Roman"/>
                <w:b/>
                <w:sz w:val="24"/>
                <w:szCs w:val="24"/>
              </w:rPr>
            </w:pPr>
            <w:r w:rsidRPr="0090767D">
              <w:rPr>
                <w:rFonts w:ascii="Times New Roman" w:hAnsi="Times New Roman"/>
                <w:b/>
                <w:sz w:val="24"/>
                <w:szCs w:val="24"/>
              </w:rPr>
              <w:t>Osmotic stimuli of ADH release</w:t>
            </w:r>
          </w:p>
        </w:tc>
        <w:tc>
          <w:tcPr>
            <w:tcW w:w="2952" w:type="dxa"/>
          </w:tcPr>
          <w:p w14:paraId="71C8FAB2" w14:textId="1251B50E" w:rsidR="002F7EA2" w:rsidRPr="0090767D" w:rsidRDefault="002F7EA2" w:rsidP="005E4480">
            <w:pPr>
              <w:pStyle w:val="NormalWeb"/>
              <w:rPr>
                <w:rFonts w:ascii="Times New Roman" w:hAnsi="Times New Roman"/>
                <w:b/>
                <w:sz w:val="24"/>
                <w:szCs w:val="24"/>
              </w:rPr>
            </w:pPr>
            <w:r w:rsidRPr="0090767D">
              <w:rPr>
                <w:rFonts w:ascii="Times New Roman" w:hAnsi="Times New Roman"/>
                <w:b/>
                <w:sz w:val="24"/>
                <w:szCs w:val="24"/>
              </w:rPr>
              <w:t>Non-osmotic stimuli of ADH release</w:t>
            </w:r>
          </w:p>
        </w:tc>
        <w:tc>
          <w:tcPr>
            <w:tcW w:w="2952" w:type="dxa"/>
          </w:tcPr>
          <w:p w14:paraId="46466265" w14:textId="520186CA" w:rsidR="002F7EA2" w:rsidRPr="0090767D" w:rsidRDefault="00C23CF8" w:rsidP="005E4480">
            <w:pPr>
              <w:pStyle w:val="NormalWeb"/>
              <w:rPr>
                <w:rFonts w:ascii="Times New Roman" w:hAnsi="Times New Roman"/>
                <w:b/>
                <w:sz w:val="24"/>
                <w:szCs w:val="24"/>
              </w:rPr>
            </w:pPr>
            <w:r w:rsidRPr="0090767D">
              <w:rPr>
                <w:rFonts w:ascii="Times New Roman" w:hAnsi="Times New Roman"/>
                <w:b/>
                <w:sz w:val="24"/>
                <w:szCs w:val="24"/>
              </w:rPr>
              <w:t>Inhibitors of ADH release</w:t>
            </w:r>
          </w:p>
        </w:tc>
      </w:tr>
      <w:tr w:rsidR="002F7EA2" w:rsidRPr="0090767D" w14:paraId="5983F773" w14:textId="77777777" w:rsidTr="002F7EA2">
        <w:tc>
          <w:tcPr>
            <w:tcW w:w="2952" w:type="dxa"/>
          </w:tcPr>
          <w:p w14:paraId="5BF7C099" w14:textId="4CD1D7C3" w:rsidR="002F7EA2" w:rsidRPr="0090767D" w:rsidRDefault="002F7EA2" w:rsidP="005E4480">
            <w:pPr>
              <w:pStyle w:val="NormalWeb"/>
              <w:rPr>
                <w:rFonts w:ascii="Times New Roman" w:hAnsi="Times New Roman"/>
                <w:sz w:val="24"/>
                <w:szCs w:val="24"/>
              </w:rPr>
            </w:pPr>
            <w:r w:rsidRPr="0090767D">
              <w:rPr>
                <w:rFonts w:ascii="Times New Roman" w:hAnsi="Times New Roman"/>
                <w:sz w:val="24"/>
                <w:szCs w:val="24"/>
              </w:rPr>
              <w:t>Plasma osmotic pressure (most important stimulus)</w:t>
            </w:r>
          </w:p>
        </w:tc>
        <w:tc>
          <w:tcPr>
            <w:tcW w:w="2952" w:type="dxa"/>
          </w:tcPr>
          <w:p w14:paraId="4AA482C6" w14:textId="2F1F8C28" w:rsidR="002F7EA2" w:rsidRPr="0090767D" w:rsidRDefault="00F93791" w:rsidP="005E4480">
            <w:pPr>
              <w:pStyle w:val="NormalWeb"/>
              <w:rPr>
                <w:rFonts w:ascii="Times New Roman" w:hAnsi="Times New Roman"/>
                <w:sz w:val="24"/>
                <w:szCs w:val="24"/>
              </w:rPr>
            </w:pPr>
            <w:r w:rsidRPr="0090767D">
              <w:rPr>
                <w:rFonts w:ascii="Times New Roman" w:hAnsi="Times New Roman"/>
                <w:sz w:val="24"/>
                <w:szCs w:val="24"/>
              </w:rPr>
              <w:t>Hypovolemia</w:t>
            </w:r>
            <w:r w:rsidR="00B52EE1" w:rsidRPr="0090767D">
              <w:rPr>
                <w:rFonts w:ascii="Times New Roman" w:hAnsi="Times New Roman"/>
                <w:sz w:val="24"/>
                <w:szCs w:val="24"/>
              </w:rPr>
              <w:t>/ECF depletion</w:t>
            </w:r>
          </w:p>
        </w:tc>
        <w:tc>
          <w:tcPr>
            <w:tcW w:w="2952" w:type="dxa"/>
          </w:tcPr>
          <w:p w14:paraId="2439D3ED" w14:textId="77777777" w:rsidR="002F7EA2" w:rsidRPr="0090767D" w:rsidRDefault="002F7EA2" w:rsidP="005E4480">
            <w:pPr>
              <w:pStyle w:val="NormalWeb"/>
              <w:rPr>
                <w:rFonts w:ascii="Times New Roman" w:hAnsi="Times New Roman"/>
                <w:sz w:val="24"/>
                <w:szCs w:val="24"/>
              </w:rPr>
            </w:pPr>
          </w:p>
        </w:tc>
      </w:tr>
      <w:tr w:rsidR="002F7EA2" w:rsidRPr="0090767D" w14:paraId="40017837" w14:textId="77777777" w:rsidTr="002F7EA2">
        <w:tc>
          <w:tcPr>
            <w:tcW w:w="2952" w:type="dxa"/>
          </w:tcPr>
          <w:p w14:paraId="36B8D424" w14:textId="77777777" w:rsidR="002F7EA2" w:rsidRPr="0090767D" w:rsidRDefault="002F7EA2" w:rsidP="005E4480">
            <w:pPr>
              <w:pStyle w:val="NormalWeb"/>
              <w:rPr>
                <w:rFonts w:ascii="Times New Roman" w:hAnsi="Times New Roman"/>
                <w:sz w:val="24"/>
                <w:szCs w:val="24"/>
              </w:rPr>
            </w:pPr>
          </w:p>
        </w:tc>
        <w:tc>
          <w:tcPr>
            <w:tcW w:w="2952" w:type="dxa"/>
          </w:tcPr>
          <w:p w14:paraId="6BAF28FD" w14:textId="685099D8" w:rsidR="002F7EA2" w:rsidRPr="0090767D" w:rsidRDefault="00B52EE1" w:rsidP="005E4480">
            <w:pPr>
              <w:pStyle w:val="NormalWeb"/>
              <w:rPr>
                <w:rFonts w:ascii="Times New Roman" w:hAnsi="Times New Roman"/>
                <w:sz w:val="24"/>
                <w:szCs w:val="24"/>
              </w:rPr>
            </w:pPr>
            <w:r w:rsidRPr="0090767D">
              <w:rPr>
                <w:rFonts w:ascii="Times New Roman" w:hAnsi="Times New Roman"/>
                <w:sz w:val="24"/>
                <w:szCs w:val="24"/>
              </w:rPr>
              <w:t>Angiotensin II</w:t>
            </w:r>
          </w:p>
        </w:tc>
        <w:tc>
          <w:tcPr>
            <w:tcW w:w="2952" w:type="dxa"/>
          </w:tcPr>
          <w:p w14:paraId="39C46FCA" w14:textId="77777777" w:rsidR="002F7EA2" w:rsidRPr="0090767D" w:rsidRDefault="002F7EA2" w:rsidP="005E4480">
            <w:pPr>
              <w:pStyle w:val="NormalWeb"/>
              <w:rPr>
                <w:rFonts w:ascii="Times New Roman" w:hAnsi="Times New Roman"/>
                <w:sz w:val="24"/>
                <w:szCs w:val="24"/>
              </w:rPr>
            </w:pPr>
          </w:p>
        </w:tc>
      </w:tr>
      <w:tr w:rsidR="002F7EA2" w:rsidRPr="0090767D" w14:paraId="445ACBC1" w14:textId="77777777" w:rsidTr="002F7EA2">
        <w:tc>
          <w:tcPr>
            <w:tcW w:w="2952" w:type="dxa"/>
          </w:tcPr>
          <w:p w14:paraId="136DBC09" w14:textId="77777777" w:rsidR="002F7EA2" w:rsidRPr="0090767D" w:rsidRDefault="002F7EA2" w:rsidP="005E4480">
            <w:pPr>
              <w:pStyle w:val="NormalWeb"/>
              <w:rPr>
                <w:rFonts w:ascii="Times New Roman" w:hAnsi="Times New Roman"/>
                <w:sz w:val="24"/>
                <w:szCs w:val="24"/>
              </w:rPr>
            </w:pPr>
          </w:p>
        </w:tc>
        <w:tc>
          <w:tcPr>
            <w:tcW w:w="2952" w:type="dxa"/>
          </w:tcPr>
          <w:p w14:paraId="73D367E1" w14:textId="772ADFF6" w:rsidR="002F7EA2" w:rsidRPr="0090767D" w:rsidRDefault="00B52EE1" w:rsidP="005E4480">
            <w:pPr>
              <w:pStyle w:val="NormalWeb"/>
              <w:rPr>
                <w:rFonts w:ascii="Times New Roman" w:hAnsi="Times New Roman"/>
                <w:sz w:val="24"/>
                <w:szCs w:val="24"/>
              </w:rPr>
            </w:pPr>
            <w:r w:rsidRPr="0090767D">
              <w:rPr>
                <w:rFonts w:ascii="Times New Roman" w:hAnsi="Times New Roman"/>
                <w:sz w:val="24"/>
                <w:szCs w:val="24"/>
              </w:rPr>
              <w:t>Norepinephrine</w:t>
            </w:r>
          </w:p>
        </w:tc>
        <w:tc>
          <w:tcPr>
            <w:tcW w:w="2952" w:type="dxa"/>
          </w:tcPr>
          <w:p w14:paraId="10450EF0" w14:textId="77777777" w:rsidR="002F7EA2" w:rsidRPr="0090767D" w:rsidRDefault="002F7EA2" w:rsidP="005E4480">
            <w:pPr>
              <w:pStyle w:val="NormalWeb"/>
              <w:rPr>
                <w:rFonts w:ascii="Times New Roman" w:hAnsi="Times New Roman"/>
                <w:sz w:val="24"/>
                <w:szCs w:val="24"/>
              </w:rPr>
            </w:pPr>
          </w:p>
        </w:tc>
      </w:tr>
      <w:tr w:rsidR="002F7EA2" w:rsidRPr="0090767D" w14:paraId="212C821A" w14:textId="77777777" w:rsidTr="002F7EA2">
        <w:tc>
          <w:tcPr>
            <w:tcW w:w="2952" w:type="dxa"/>
          </w:tcPr>
          <w:p w14:paraId="6A47784A" w14:textId="77777777" w:rsidR="002F7EA2" w:rsidRPr="0090767D" w:rsidRDefault="002F7EA2" w:rsidP="005E4480">
            <w:pPr>
              <w:pStyle w:val="NormalWeb"/>
              <w:rPr>
                <w:rFonts w:ascii="Times New Roman" w:hAnsi="Times New Roman"/>
                <w:sz w:val="24"/>
                <w:szCs w:val="24"/>
              </w:rPr>
            </w:pPr>
          </w:p>
        </w:tc>
        <w:tc>
          <w:tcPr>
            <w:tcW w:w="2952" w:type="dxa"/>
          </w:tcPr>
          <w:p w14:paraId="52DE8C2B" w14:textId="32B7F502" w:rsidR="002F7EA2" w:rsidRPr="0090767D" w:rsidRDefault="00C23CF8" w:rsidP="005E4480">
            <w:pPr>
              <w:pStyle w:val="NormalWeb"/>
              <w:rPr>
                <w:rFonts w:ascii="Times New Roman" w:hAnsi="Times New Roman"/>
                <w:sz w:val="24"/>
                <w:szCs w:val="24"/>
              </w:rPr>
            </w:pPr>
            <w:r w:rsidRPr="0090767D">
              <w:rPr>
                <w:rFonts w:ascii="Times New Roman" w:hAnsi="Times New Roman"/>
                <w:sz w:val="24"/>
                <w:szCs w:val="24"/>
              </w:rPr>
              <w:t>Nausea/vomiting</w:t>
            </w:r>
          </w:p>
        </w:tc>
        <w:tc>
          <w:tcPr>
            <w:tcW w:w="2952" w:type="dxa"/>
          </w:tcPr>
          <w:p w14:paraId="3EB42CEE" w14:textId="77777777" w:rsidR="002F7EA2" w:rsidRPr="0090767D" w:rsidRDefault="002F7EA2" w:rsidP="005E4480">
            <w:pPr>
              <w:pStyle w:val="NormalWeb"/>
              <w:rPr>
                <w:rFonts w:ascii="Times New Roman" w:hAnsi="Times New Roman"/>
                <w:sz w:val="24"/>
                <w:szCs w:val="24"/>
              </w:rPr>
            </w:pPr>
          </w:p>
        </w:tc>
      </w:tr>
      <w:tr w:rsidR="002F7EA2" w:rsidRPr="0090767D" w14:paraId="247C396B" w14:textId="77777777" w:rsidTr="002F7EA2">
        <w:tc>
          <w:tcPr>
            <w:tcW w:w="2952" w:type="dxa"/>
          </w:tcPr>
          <w:p w14:paraId="4387D88A" w14:textId="77777777" w:rsidR="002F7EA2" w:rsidRPr="0090767D" w:rsidRDefault="002F7EA2" w:rsidP="005E4480">
            <w:pPr>
              <w:pStyle w:val="NormalWeb"/>
              <w:rPr>
                <w:rFonts w:ascii="Times New Roman" w:hAnsi="Times New Roman"/>
                <w:sz w:val="24"/>
                <w:szCs w:val="24"/>
              </w:rPr>
            </w:pPr>
          </w:p>
        </w:tc>
        <w:tc>
          <w:tcPr>
            <w:tcW w:w="2952" w:type="dxa"/>
          </w:tcPr>
          <w:p w14:paraId="4D8B0FB5" w14:textId="7D4353CC" w:rsidR="002F7EA2" w:rsidRPr="0090767D" w:rsidRDefault="00C23CF8" w:rsidP="005E4480">
            <w:pPr>
              <w:pStyle w:val="NormalWeb"/>
              <w:rPr>
                <w:rFonts w:ascii="Times New Roman" w:hAnsi="Times New Roman"/>
                <w:sz w:val="24"/>
                <w:szCs w:val="24"/>
              </w:rPr>
            </w:pPr>
            <w:r w:rsidRPr="0090767D">
              <w:rPr>
                <w:rFonts w:ascii="Times New Roman" w:hAnsi="Times New Roman"/>
                <w:sz w:val="24"/>
                <w:szCs w:val="24"/>
              </w:rPr>
              <w:t>Hypoglycemia</w:t>
            </w:r>
          </w:p>
        </w:tc>
        <w:tc>
          <w:tcPr>
            <w:tcW w:w="2952" w:type="dxa"/>
          </w:tcPr>
          <w:p w14:paraId="6AE669F8" w14:textId="77777777" w:rsidR="002F7EA2" w:rsidRPr="0090767D" w:rsidRDefault="002F7EA2" w:rsidP="005E4480">
            <w:pPr>
              <w:pStyle w:val="NormalWeb"/>
              <w:rPr>
                <w:rFonts w:ascii="Times New Roman" w:hAnsi="Times New Roman"/>
                <w:sz w:val="24"/>
                <w:szCs w:val="24"/>
              </w:rPr>
            </w:pPr>
          </w:p>
        </w:tc>
      </w:tr>
      <w:tr w:rsidR="00C23CF8" w:rsidRPr="0090767D" w14:paraId="13B997CE" w14:textId="77777777" w:rsidTr="002F7EA2">
        <w:tc>
          <w:tcPr>
            <w:tcW w:w="2952" w:type="dxa"/>
          </w:tcPr>
          <w:p w14:paraId="3813B3CA" w14:textId="77777777" w:rsidR="00C23CF8" w:rsidRPr="0090767D" w:rsidRDefault="00C23CF8" w:rsidP="005E4480">
            <w:pPr>
              <w:pStyle w:val="NormalWeb"/>
              <w:rPr>
                <w:rFonts w:ascii="Times New Roman" w:hAnsi="Times New Roman"/>
                <w:sz w:val="24"/>
                <w:szCs w:val="24"/>
              </w:rPr>
            </w:pPr>
          </w:p>
        </w:tc>
        <w:tc>
          <w:tcPr>
            <w:tcW w:w="2952" w:type="dxa"/>
          </w:tcPr>
          <w:p w14:paraId="66E52DA3" w14:textId="35CAEED1" w:rsidR="00C23CF8" w:rsidRPr="0090767D" w:rsidRDefault="00C23CF8" w:rsidP="005E4480">
            <w:pPr>
              <w:pStyle w:val="NormalWeb"/>
              <w:rPr>
                <w:rFonts w:ascii="Times New Roman" w:hAnsi="Times New Roman"/>
                <w:sz w:val="24"/>
                <w:szCs w:val="24"/>
              </w:rPr>
            </w:pPr>
            <w:r w:rsidRPr="0090767D">
              <w:rPr>
                <w:rFonts w:ascii="Times New Roman" w:hAnsi="Times New Roman"/>
                <w:sz w:val="24"/>
                <w:szCs w:val="24"/>
              </w:rPr>
              <w:t>Nociceptive stimuli</w:t>
            </w:r>
          </w:p>
        </w:tc>
        <w:tc>
          <w:tcPr>
            <w:tcW w:w="2952" w:type="dxa"/>
          </w:tcPr>
          <w:p w14:paraId="0114BD94" w14:textId="77777777" w:rsidR="00C23CF8" w:rsidRPr="0090767D" w:rsidRDefault="00C23CF8" w:rsidP="005E4480">
            <w:pPr>
              <w:pStyle w:val="NormalWeb"/>
              <w:rPr>
                <w:rFonts w:ascii="Times New Roman" w:hAnsi="Times New Roman"/>
                <w:sz w:val="24"/>
                <w:szCs w:val="24"/>
              </w:rPr>
            </w:pPr>
          </w:p>
        </w:tc>
      </w:tr>
      <w:tr w:rsidR="00C23CF8" w:rsidRPr="0090767D" w14:paraId="56599514" w14:textId="77777777" w:rsidTr="002F7EA2">
        <w:tc>
          <w:tcPr>
            <w:tcW w:w="2952" w:type="dxa"/>
          </w:tcPr>
          <w:p w14:paraId="4936A8A6" w14:textId="77777777" w:rsidR="00C23CF8" w:rsidRPr="0090767D" w:rsidRDefault="00C23CF8" w:rsidP="005E4480">
            <w:pPr>
              <w:pStyle w:val="NormalWeb"/>
              <w:rPr>
                <w:rFonts w:ascii="Times New Roman" w:hAnsi="Times New Roman"/>
                <w:sz w:val="24"/>
                <w:szCs w:val="24"/>
              </w:rPr>
            </w:pPr>
          </w:p>
        </w:tc>
        <w:tc>
          <w:tcPr>
            <w:tcW w:w="2952" w:type="dxa"/>
          </w:tcPr>
          <w:p w14:paraId="50F0BF4C" w14:textId="5556F960" w:rsidR="00C23CF8" w:rsidRPr="0090767D" w:rsidRDefault="00C23CF8" w:rsidP="005E4480">
            <w:pPr>
              <w:pStyle w:val="NormalWeb"/>
              <w:rPr>
                <w:rFonts w:ascii="Times New Roman" w:hAnsi="Times New Roman"/>
                <w:sz w:val="24"/>
                <w:szCs w:val="24"/>
              </w:rPr>
            </w:pPr>
            <w:r w:rsidRPr="0090767D">
              <w:rPr>
                <w:rFonts w:ascii="Times New Roman" w:hAnsi="Times New Roman"/>
                <w:sz w:val="24"/>
                <w:szCs w:val="24"/>
              </w:rPr>
              <w:t>Drugs</w:t>
            </w:r>
          </w:p>
        </w:tc>
        <w:tc>
          <w:tcPr>
            <w:tcW w:w="2952" w:type="dxa"/>
          </w:tcPr>
          <w:p w14:paraId="3EE79C07" w14:textId="77777777" w:rsidR="00C23CF8" w:rsidRPr="0090767D" w:rsidRDefault="00C23CF8" w:rsidP="005E4480">
            <w:pPr>
              <w:pStyle w:val="NormalWeb"/>
              <w:rPr>
                <w:rFonts w:ascii="Times New Roman" w:hAnsi="Times New Roman"/>
                <w:sz w:val="24"/>
                <w:szCs w:val="24"/>
              </w:rPr>
            </w:pPr>
          </w:p>
        </w:tc>
      </w:tr>
    </w:tbl>
    <w:p w14:paraId="2EA73688" w14:textId="77777777" w:rsidR="005E4480" w:rsidRPr="0090767D" w:rsidRDefault="005E4480" w:rsidP="005E4480">
      <w:pPr>
        <w:pStyle w:val="NormalWeb"/>
        <w:rPr>
          <w:rFonts w:ascii="Times New Roman" w:hAnsi="Times New Roman"/>
          <w:sz w:val="24"/>
          <w:szCs w:val="24"/>
        </w:rPr>
      </w:pPr>
    </w:p>
    <w:p w14:paraId="7A4BAF95" w14:textId="77777777" w:rsidR="006248BB" w:rsidRPr="0090767D" w:rsidRDefault="006248BB" w:rsidP="006248BB">
      <w:pPr>
        <w:pStyle w:val="NormalWeb"/>
        <w:rPr>
          <w:rFonts w:ascii="Times New Roman" w:hAnsi="Times New Roman"/>
          <w:sz w:val="24"/>
          <w:szCs w:val="24"/>
        </w:rPr>
      </w:pPr>
      <w:r w:rsidRPr="0090767D">
        <w:rPr>
          <w:rFonts w:ascii="Times New Roman" w:hAnsi="Times New Roman"/>
          <w:b/>
          <w:bCs/>
          <w:color w:val="211E1E"/>
          <w:sz w:val="24"/>
          <w:szCs w:val="24"/>
        </w:rPr>
        <w:t xml:space="preserve">Definition of SIAD </w:t>
      </w:r>
    </w:p>
    <w:p w14:paraId="449BE888" w14:textId="5E235ED0" w:rsidR="006248BB" w:rsidRPr="0090767D" w:rsidRDefault="006248BB" w:rsidP="006248BB">
      <w:pPr>
        <w:pStyle w:val="NormalWeb"/>
        <w:rPr>
          <w:rFonts w:ascii="Times New Roman" w:hAnsi="Times New Roman"/>
          <w:sz w:val="24"/>
          <w:szCs w:val="24"/>
        </w:rPr>
      </w:pPr>
      <w:r w:rsidRPr="0090767D">
        <w:rPr>
          <w:rFonts w:ascii="Times New Roman" w:hAnsi="Times New Roman"/>
          <w:color w:val="211E1E"/>
          <w:sz w:val="24"/>
          <w:szCs w:val="24"/>
        </w:rPr>
        <w:t xml:space="preserve">SIAD is a disorder of sodium and water balance characterized by hypotonic hyponatremia and impaired urinary dilution in the absence of renal disease or any identifiable non-osmotic stimulus known to release ADH. It is a diagnosis of exclusion. </w:t>
      </w:r>
    </w:p>
    <w:p w14:paraId="222CDBA4" w14:textId="77777777" w:rsidR="007F2CC8" w:rsidRPr="0090767D" w:rsidRDefault="007F2CC8" w:rsidP="007F2CC8">
      <w:pPr>
        <w:pStyle w:val="NormalWeb"/>
        <w:rPr>
          <w:rFonts w:ascii="Times New Roman" w:hAnsi="Times New Roman"/>
          <w:sz w:val="24"/>
          <w:szCs w:val="24"/>
        </w:rPr>
      </w:pPr>
      <w:r w:rsidRPr="0090767D">
        <w:rPr>
          <w:rFonts w:ascii="Times New Roman" w:hAnsi="Times New Roman"/>
          <w:b/>
          <w:bCs/>
          <w:color w:val="211E1E"/>
          <w:sz w:val="24"/>
          <w:szCs w:val="24"/>
        </w:rPr>
        <w:t xml:space="preserve">Pathophysiology of SIAD </w:t>
      </w:r>
    </w:p>
    <w:p w14:paraId="32E431A2" w14:textId="73B633C2" w:rsidR="00210F3E" w:rsidRPr="0090767D" w:rsidRDefault="007F2CC8" w:rsidP="00210F3E">
      <w:pPr>
        <w:pStyle w:val="NormalWeb"/>
        <w:rPr>
          <w:rFonts w:ascii="Times New Roman" w:hAnsi="Times New Roman"/>
          <w:sz w:val="24"/>
          <w:szCs w:val="24"/>
        </w:rPr>
      </w:pPr>
      <w:r w:rsidRPr="0090767D">
        <w:rPr>
          <w:rFonts w:ascii="Times New Roman" w:hAnsi="Times New Roman"/>
          <w:color w:val="211E1E"/>
          <w:sz w:val="24"/>
          <w:szCs w:val="24"/>
        </w:rPr>
        <w:t xml:space="preserve">The pathophysiological basis of SIAD is an absolute increase in body water. </w:t>
      </w:r>
      <w:r w:rsidR="00C31CBE" w:rsidRPr="0090767D">
        <w:rPr>
          <w:rFonts w:ascii="Times New Roman" w:hAnsi="Times New Roman"/>
          <w:color w:val="211E1E"/>
          <w:sz w:val="24"/>
          <w:szCs w:val="24"/>
        </w:rPr>
        <w:t>This increase depends on an ex</w:t>
      </w:r>
      <w:r w:rsidRPr="0090767D">
        <w:rPr>
          <w:rFonts w:ascii="Times New Roman" w:hAnsi="Times New Roman"/>
          <w:color w:val="211E1E"/>
          <w:sz w:val="24"/>
          <w:szCs w:val="24"/>
        </w:rPr>
        <w:t xml:space="preserve">cessive water intake that overwhelms the restricted renal </w:t>
      </w:r>
      <w:r w:rsidR="00210F3E" w:rsidRPr="0090767D">
        <w:rPr>
          <w:rFonts w:ascii="Times New Roman" w:hAnsi="Times New Roman"/>
          <w:color w:val="211E1E"/>
          <w:sz w:val="24"/>
          <w:szCs w:val="24"/>
        </w:rPr>
        <w:t xml:space="preserve">ability of diluting urine and mounting compensatory diuresis due to ADH dysregulation. </w:t>
      </w:r>
    </w:p>
    <w:p w14:paraId="42F974E2" w14:textId="165F8403" w:rsidR="00EF1F42" w:rsidRPr="0090767D" w:rsidRDefault="00EF1F42" w:rsidP="00EF1F42">
      <w:pPr>
        <w:pStyle w:val="NormalWeb"/>
        <w:numPr>
          <w:ilvl w:val="0"/>
          <w:numId w:val="8"/>
        </w:numPr>
        <w:rPr>
          <w:rFonts w:ascii="Times New Roman" w:hAnsi="Times New Roman"/>
          <w:sz w:val="24"/>
          <w:szCs w:val="24"/>
        </w:rPr>
      </w:pPr>
      <w:r w:rsidRPr="0090767D">
        <w:rPr>
          <w:rFonts w:ascii="Times New Roman" w:hAnsi="Times New Roman"/>
          <w:color w:val="211E1E"/>
          <w:sz w:val="24"/>
          <w:szCs w:val="24"/>
        </w:rPr>
        <w:t xml:space="preserve">Excessive water intake, mainly due to iatrogenic water administration or inappropriate thirst, and ADH dysregulation, are both necessary for the full </w:t>
      </w:r>
      <w:r w:rsidR="008F144A" w:rsidRPr="0090767D">
        <w:rPr>
          <w:rFonts w:ascii="Times New Roman" w:hAnsi="Times New Roman"/>
          <w:color w:val="211E1E"/>
          <w:sz w:val="24"/>
          <w:szCs w:val="24"/>
        </w:rPr>
        <w:t>devel</w:t>
      </w:r>
      <w:r w:rsidRPr="0090767D">
        <w:rPr>
          <w:rFonts w:ascii="Times New Roman" w:hAnsi="Times New Roman"/>
          <w:color w:val="211E1E"/>
          <w:sz w:val="24"/>
          <w:szCs w:val="24"/>
        </w:rPr>
        <w:t>opment of this syndrome</w:t>
      </w:r>
    </w:p>
    <w:p w14:paraId="6CB2AEBB" w14:textId="66227DCB" w:rsidR="00EF1F42" w:rsidRPr="0090767D" w:rsidRDefault="00EF1F42" w:rsidP="00EF1F42">
      <w:pPr>
        <w:pStyle w:val="NormalWeb"/>
        <w:numPr>
          <w:ilvl w:val="0"/>
          <w:numId w:val="8"/>
        </w:numPr>
        <w:rPr>
          <w:rFonts w:ascii="Times New Roman" w:hAnsi="Times New Roman"/>
          <w:sz w:val="24"/>
          <w:szCs w:val="24"/>
        </w:rPr>
      </w:pPr>
      <w:r w:rsidRPr="0090767D">
        <w:rPr>
          <w:rFonts w:ascii="Times New Roman" w:hAnsi="Times New Roman"/>
          <w:color w:val="211E1E"/>
          <w:sz w:val="24"/>
          <w:szCs w:val="24"/>
        </w:rPr>
        <w:t xml:space="preserve">This accounts for the body water expansion that in turn, through plasmatic sodium dilution, causes hypotonic hyponatremia. </w:t>
      </w:r>
    </w:p>
    <w:p w14:paraId="0018AA82" w14:textId="05D9C551" w:rsidR="00F156BE" w:rsidRPr="0090767D" w:rsidRDefault="00F156BE" w:rsidP="00F156BE">
      <w:pPr>
        <w:pStyle w:val="NormalWeb"/>
        <w:numPr>
          <w:ilvl w:val="0"/>
          <w:numId w:val="8"/>
        </w:numPr>
        <w:rPr>
          <w:rFonts w:ascii="Times New Roman" w:hAnsi="Times New Roman"/>
          <w:sz w:val="24"/>
          <w:szCs w:val="24"/>
        </w:rPr>
      </w:pPr>
      <w:r w:rsidRPr="0090767D">
        <w:rPr>
          <w:rFonts w:ascii="Times New Roman" w:hAnsi="Times New Roman"/>
          <w:color w:val="211E1E"/>
          <w:sz w:val="24"/>
          <w:szCs w:val="24"/>
        </w:rPr>
        <w:t xml:space="preserve">To compensate for ECF expansion, aldosterone secretion is inhibited while atrial natriuretic peptide (ANP) increases. These compensative responses serve to maintain euvolemia, but at the same time, determining natriuresis and body exchangeable sodium loss, further worsen hyponatremia </w:t>
      </w:r>
    </w:p>
    <w:p w14:paraId="1568FF03" w14:textId="5EC51A96" w:rsidR="008F144A" w:rsidRPr="0090767D" w:rsidRDefault="008F144A" w:rsidP="008F144A">
      <w:pPr>
        <w:pStyle w:val="NormalWeb"/>
        <w:rPr>
          <w:rFonts w:ascii="Times New Roman" w:hAnsi="Times New Roman"/>
          <w:sz w:val="24"/>
          <w:szCs w:val="24"/>
        </w:rPr>
      </w:pPr>
      <w:r w:rsidRPr="0090767D">
        <w:rPr>
          <w:rFonts w:ascii="Times New Roman" w:hAnsi="Times New Roman"/>
          <w:b/>
          <w:bCs/>
          <w:color w:val="211E1E"/>
          <w:sz w:val="24"/>
          <w:szCs w:val="24"/>
        </w:rPr>
        <w:t xml:space="preserve">Causes of SIAD </w:t>
      </w:r>
      <w:r w:rsidR="000B5B25" w:rsidRPr="0090767D">
        <w:rPr>
          <w:rFonts w:ascii="Times New Roman" w:hAnsi="Times New Roman"/>
          <w:b/>
          <w:bCs/>
          <w:color w:val="211E1E"/>
          <w:sz w:val="24"/>
          <w:szCs w:val="24"/>
        </w:rPr>
        <w:t>:</w:t>
      </w:r>
    </w:p>
    <w:p w14:paraId="73E0E160" w14:textId="77777777" w:rsidR="00F156BE" w:rsidRPr="0090767D" w:rsidRDefault="00F156BE" w:rsidP="008F144A">
      <w:pPr>
        <w:pStyle w:val="NormalWeb"/>
        <w:rPr>
          <w:rFonts w:ascii="Times New Roman" w:hAnsi="Times New Roman"/>
          <w:sz w:val="24"/>
          <w:szCs w:val="24"/>
        </w:rPr>
      </w:pPr>
    </w:p>
    <w:p w14:paraId="2DF2D72E" w14:textId="397D322A" w:rsidR="007F2CC8" w:rsidRPr="0090767D" w:rsidRDefault="008F144A" w:rsidP="007F2CC8">
      <w:pPr>
        <w:pStyle w:val="NormalWeb"/>
        <w:rPr>
          <w:rFonts w:ascii="Times New Roman" w:hAnsi="Times New Roman"/>
          <w:sz w:val="24"/>
          <w:szCs w:val="24"/>
        </w:rPr>
      </w:pPr>
      <w:r w:rsidRPr="0090767D">
        <w:rPr>
          <w:rFonts w:ascii="Times New Roman" w:hAnsi="Times New Roman"/>
          <w:noProof/>
          <w:sz w:val="24"/>
          <w:szCs w:val="24"/>
        </w:rPr>
        <w:drawing>
          <wp:inline distT="0" distB="0" distL="0" distR="0" wp14:anchorId="79351127" wp14:editId="65A1AB70">
            <wp:extent cx="6515100" cy="48006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15855" cy="4801156"/>
                    </a:xfrm>
                    <a:prstGeom prst="rect">
                      <a:avLst/>
                    </a:prstGeom>
                    <a:noFill/>
                    <a:ln>
                      <a:noFill/>
                    </a:ln>
                  </pic:spPr>
                </pic:pic>
              </a:graphicData>
            </a:graphic>
          </wp:inline>
        </w:drawing>
      </w:r>
    </w:p>
    <w:p w14:paraId="6A7650C0" w14:textId="7814324A" w:rsidR="006248BB" w:rsidRPr="0090767D" w:rsidRDefault="00DA3469" w:rsidP="005E4480">
      <w:pPr>
        <w:pStyle w:val="NormalWeb"/>
        <w:rPr>
          <w:rFonts w:ascii="Times New Roman" w:hAnsi="Times New Roman"/>
          <w:sz w:val="24"/>
          <w:szCs w:val="24"/>
        </w:rPr>
      </w:pPr>
      <w:r w:rsidRPr="0090767D">
        <w:rPr>
          <w:rFonts w:ascii="Times New Roman" w:hAnsi="Times New Roman"/>
          <w:noProof/>
          <w:sz w:val="24"/>
          <w:szCs w:val="24"/>
        </w:rPr>
        <w:drawing>
          <wp:inline distT="0" distB="0" distL="0" distR="0" wp14:anchorId="432802EC" wp14:editId="5B604B74">
            <wp:extent cx="6510655" cy="228530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620" cy="2287044"/>
                    </a:xfrm>
                    <a:prstGeom prst="rect">
                      <a:avLst/>
                    </a:prstGeom>
                    <a:noFill/>
                    <a:ln>
                      <a:noFill/>
                    </a:ln>
                  </pic:spPr>
                </pic:pic>
              </a:graphicData>
            </a:graphic>
          </wp:inline>
        </w:drawing>
      </w:r>
    </w:p>
    <w:p w14:paraId="055A8192" w14:textId="77777777" w:rsidR="00C21679" w:rsidRPr="0090767D" w:rsidRDefault="00C21679">
      <w:pPr>
        <w:rPr>
          <w:rFonts w:ascii="Times New Roman" w:hAnsi="Times New Roman" w:cs="Times New Roman"/>
        </w:rPr>
      </w:pPr>
    </w:p>
    <w:p w14:paraId="7C296DEA" w14:textId="77777777" w:rsidR="00C21679" w:rsidRPr="0090767D" w:rsidRDefault="00C21679">
      <w:pPr>
        <w:rPr>
          <w:rFonts w:ascii="Times New Roman" w:hAnsi="Times New Roman" w:cs="Times New Roman"/>
        </w:rPr>
      </w:pPr>
    </w:p>
    <w:p w14:paraId="5C6AACD5" w14:textId="5E7B9A40" w:rsidR="00C21679" w:rsidRPr="0090767D" w:rsidRDefault="00DA3469">
      <w:pPr>
        <w:rPr>
          <w:rFonts w:ascii="Times New Roman" w:hAnsi="Times New Roman" w:cs="Times New Roman"/>
        </w:rPr>
      </w:pPr>
      <w:r w:rsidRPr="0090767D">
        <w:rPr>
          <w:rFonts w:ascii="Times New Roman" w:hAnsi="Times New Roman" w:cs="Times New Roman"/>
          <w:noProof/>
        </w:rPr>
        <w:drawing>
          <wp:inline distT="0" distB="0" distL="0" distR="0" wp14:anchorId="51362D22" wp14:editId="3FFB2125">
            <wp:extent cx="5486307" cy="51435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143587"/>
                    </a:xfrm>
                    <a:prstGeom prst="rect">
                      <a:avLst/>
                    </a:prstGeom>
                    <a:noFill/>
                    <a:ln>
                      <a:noFill/>
                    </a:ln>
                  </pic:spPr>
                </pic:pic>
              </a:graphicData>
            </a:graphic>
          </wp:inline>
        </w:drawing>
      </w:r>
    </w:p>
    <w:p w14:paraId="037546EB" w14:textId="77777777" w:rsidR="00C21679" w:rsidRPr="0090767D" w:rsidRDefault="00C21679">
      <w:pPr>
        <w:rPr>
          <w:rFonts w:ascii="Times New Roman" w:hAnsi="Times New Roman" w:cs="Times New Roman"/>
        </w:rPr>
      </w:pPr>
    </w:p>
    <w:p w14:paraId="4CB44A22" w14:textId="23FA55E1" w:rsidR="00EC1F4F" w:rsidRPr="0090767D" w:rsidRDefault="00EC1F4F">
      <w:pPr>
        <w:rPr>
          <w:rFonts w:ascii="Times New Roman" w:hAnsi="Times New Roman" w:cs="Times New Roman"/>
          <w:b/>
        </w:rPr>
      </w:pPr>
      <w:r w:rsidRPr="0090767D">
        <w:rPr>
          <w:rFonts w:ascii="Times New Roman" w:hAnsi="Times New Roman" w:cs="Times New Roman"/>
          <w:b/>
        </w:rPr>
        <w:t>Diagnosis:</w:t>
      </w:r>
    </w:p>
    <w:p w14:paraId="0D8013E8" w14:textId="77777777" w:rsidR="00EC1F4F" w:rsidRPr="0090767D" w:rsidRDefault="00EC1F4F" w:rsidP="00C1376E">
      <w:pPr>
        <w:pStyle w:val="ListParagraph"/>
        <w:widowControl w:val="0"/>
        <w:numPr>
          <w:ilvl w:val="0"/>
          <w:numId w:val="9"/>
        </w:numPr>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 xml:space="preserve">The laboratory evaluation of hyponatremia should start measuring serum osmolality to confirm true hyponatremia, excluding two different situations: pseudo-hyponatremia, a laboratory artifact due to very high lipid or protein levels, and hypertonic translocational hyponatremia, due to the presence of osmotically active solutes, such as glucose or mannitol, which drive free water out- side the cells. </w:t>
      </w:r>
    </w:p>
    <w:p w14:paraId="5FB64B60" w14:textId="767DC20B" w:rsidR="00EC1F4F" w:rsidRPr="0090767D" w:rsidRDefault="00EC1F4F" w:rsidP="00C1376E">
      <w:pPr>
        <w:pStyle w:val="ListParagraph"/>
        <w:widowControl w:val="0"/>
        <w:numPr>
          <w:ilvl w:val="0"/>
          <w:numId w:val="9"/>
        </w:numPr>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Urine osmolality and sodium concentration must be regarded to verify the presence of high osmolality (1100 mosm/kg, except for type C SIAD; table 2) and high sodium concentration (usually 140 mmol/l).</w:t>
      </w:r>
    </w:p>
    <w:p w14:paraId="78E34858" w14:textId="7311D115" w:rsidR="00C1376E" w:rsidRPr="0090767D" w:rsidRDefault="00C1376E" w:rsidP="00C1376E">
      <w:pPr>
        <w:pStyle w:val="ListParagraph"/>
        <w:widowControl w:val="0"/>
        <w:numPr>
          <w:ilvl w:val="0"/>
          <w:numId w:val="9"/>
        </w:numPr>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Cerebral and renal salt wasting syndromes (SWS) require special attention for diagnosis. They are characterized by hyponatremia and ECF depletion, caused by an abnormal renal excretion of sodium mainly in patients with insults to the central nervous system. Both SWS and SIAD present hyponatremia, concentrated urine and natriuresis, but SWS is defined by a hard-to-recognize ECF depletion.</w:t>
      </w:r>
    </w:p>
    <w:p w14:paraId="050BFF80" w14:textId="77777777" w:rsidR="007306F2" w:rsidRPr="0090767D" w:rsidRDefault="006726F9" w:rsidP="007306F2">
      <w:pPr>
        <w:pStyle w:val="ListParagraph"/>
        <w:widowControl w:val="0"/>
        <w:numPr>
          <w:ilvl w:val="0"/>
          <w:numId w:val="9"/>
        </w:numPr>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In case of diagnostic uncertainty, correction of hyponatremia with the infusion of 2 liters of 0.9% saline over a period of 24–48h (a safe procedure even in SIAD when baseline urinary osmolality is &lt;500 mosm/ kg) suggests a diagnosis of hypovolemic hyponatremia.</w:t>
      </w:r>
    </w:p>
    <w:p w14:paraId="75D7C8DB" w14:textId="69C162CE" w:rsidR="007306F2" w:rsidRPr="0090767D" w:rsidRDefault="007306F2" w:rsidP="007306F2">
      <w:pPr>
        <w:pStyle w:val="ListParagraph"/>
        <w:widowControl w:val="0"/>
        <w:numPr>
          <w:ilvl w:val="0"/>
          <w:numId w:val="9"/>
        </w:numPr>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Euvolemic hyponatremia, that is the clinical feature of SIAD, occurs also in the course of endocrine diseases, such as hypothyroidism and ACTH deficiency, primary polydipsia and excessive iatrogenic fluid replacement, mainly after the surgical procedure. Differential diagno- sis may be guided by laboratory findings, such as hor- mone level and urinary osmolality, that results in being reduced (!100 mosm/kg) over the course of polydipsia. ACTH deficiency should be ruled out before making a diagnosis of SIAD.</w:t>
      </w:r>
    </w:p>
    <w:p w14:paraId="5D3BE6BE" w14:textId="77777777" w:rsidR="006726F9" w:rsidRPr="0090767D" w:rsidRDefault="006726F9" w:rsidP="007306F2">
      <w:pPr>
        <w:widowControl w:val="0"/>
        <w:autoSpaceDE w:val="0"/>
        <w:autoSpaceDN w:val="0"/>
        <w:adjustRightInd w:val="0"/>
        <w:spacing w:after="240"/>
        <w:ind w:left="360"/>
        <w:rPr>
          <w:rFonts w:ascii="Times New Roman" w:hAnsi="Times New Roman" w:cs="Times New Roman"/>
        </w:rPr>
      </w:pPr>
    </w:p>
    <w:p w14:paraId="33F6F7A0" w14:textId="77777777" w:rsidR="007306F2" w:rsidRPr="0090767D" w:rsidRDefault="007306F2" w:rsidP="007306F2">
      <w:pPr>
        <w:widowControl w:val="0"/>
        <w:autoSpaceDE w:val="0"/>
        <w:autoSpaceDN w:val="0"/>
        <w:adjustRightInd w:val="0"/>
        <w:spacing w:after="240"/>
        <w:ind w:left="360"/>
        <w:rPr>
          <w:rFonts w:ascii="Times New Roman" w:hAnsi="Times New Roman" w:cs="Times New Roman"/>
        </w:rPr>
      </w:pPr>
    </w:p>
    <w:p w14:paraId="24867544" w14:textId="3A12D437" w:rsidR="007306F2" w:rsidRPr="0090767D" w:rsidRDefault="007306F2" w:rsidP="007306F2">
      <w:pPr>
        <w:widowControl w:val="0"/>
        <w:autoSpaceDE w:val="0"/>
        <w:autoSpaceDN w:val="0"/>
        <w:adjustRightInd w:val="0"/>
        <w:spacing w:after="240"/>
        <w:ind w:left="360"/>
        <w:rPr>
          <w:rFonts w:ascii="Times New Roman" w:hAnsi="Times New Roman" w:cs="Times New Roman"/>
        </w:rPr>
      </w:pPr>
      <w:r w:rsidRPr="0090767D">
        <w:rPr>
          <w:rFonts w:ascii="Times New Roman" w:hAnsi="Times New Roman" w:cs="Times New Roman"/>
          <w:noProof/>
        </w:rPr>
        <w:drawing>
          <wp:inline distT="0" distB="0" distL="0" distR="0" wp14:anchorId="2AD488E1" wp14:editId="08A7EFDC">
            <wp:extent cx="6285661" cy="2262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622" cy="2262851"/>
                    </a:xfrm>
                    <a:prstGeom prst="rect">
                      <a:avLst/>
                    </a:prstGeom>
                    <a:noFill/>
                    <a:ln>
                      <a:noFill/>
                    </a:ln>
                  </pic:spPr>
                </pic:pic>
              </a:graphicData>
            </a:graphic>
          </wp:inline>
        </w:drawing>
      </w:r>
    </w:p>
    <w:p w14:paraId="3377DEB7" w14:textId="77777777" w:rsidR="00C1376E" w:rsidRPr="0090767D" w:rsidRDefault="00C1376E" w:rsidP="00EC1F4F">
      <w:pPr>
        <w:widowControl w:val="0"/>
        <w:autoSpaceDE w:val="0"/>
        <w:autoSpaceDN w:val="0"/>
        <w:adjustRightInd w:val="0"/>
        <w:spacing w:after="240"/>
        <w:rPr>
          <w:rFonts w:ascii="Times New Roman" w:hAnsi="Times New Roman" w:cs="Times New Roman"/>
        </w:rPr>
      </w:pPr>
    </w:p>
    <w:p w14:paraId="3B8CCF52" w14:textId="5901F840" w:rsidR="00EC1F4F" w:rsidRPr="0090767D" w:rsidRDefault="00AD0F5D">
      <w:pPr>
        <w:rPr>
          <w:rFonts w:ascii="Times New Roman" w:hAnsi="Times New Roman" w:cs="Times New Roman"/>
          <w:b/>
        </w:rPr>
      </w:pPr>
      <w:r w:rsidRPr="0090767D">
        <w:rPr>
          <w:rFonts w:ascii="Times New Roman" w:hAnsi="Times New Roman" w:cs="Times New Roman"/>
          <w:b/>
        </w:rPr>
        <w:t>Clinical presentation and management:</w:t>
      </w:r>
    </w:p>
    <w:p w14:paraId="13CDCB6E" w14:textId="77777777" w:rsidR="00AD0F5D" w:rsidRPr="0090767D" w:rsidRDefault="00AD0F5D">
      <w:pPr>
        <w:rPr>
          <w:rFonts w:ascii="Times New Roman" w:hAnsi="Times New Roman" w:cs="Times New Roman"/>
        </w:rPr>
      </w:pPr>
    </w:p>
    <w:p w14:paraId="714BBDCF" w14:textId="3ED070AC" w:rsidR="00FB0BD1" w:rsidRPr="0090767D" w:rsidRDefault="00FB0BD1" w:rsidP="00FB0BD1">
      <w:pPr>
        <w:widowControl w:val="0"/>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Neurological manifestations dominate the clinical presentation; secondary to cerebral edema</w:t>
      </w:r>
    </w:p>
    <w:p w14:paraId="76B82327" w14:textId="7EE1AA1F" w:rsidR="00FB0BD1" w:rsidRPr="0090767D" w:rsidRDefault="00FB0BD1" w:rsidP="00FB0BD1">
      <w:pPr>
        <w:widowControl w:val="0"/>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Medical care and management mainly depend on the clinical picture and timing of the development of hyponatremia, i.e. acute vs. chronic forms.</w:t>
      </w:r>
    </w:p>
    <w:p w14:paraId="0B3576E9" w14:textId="20868A62" w:rsidR="00F916EF" w:rsidRPr="0090767D" w:rsidRDefault="00F916EF" w:rsidP="00FB0BD1">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Traditional treatment options for SIAD include fluid restriction, saline infusion, furosemide, demeclocycline (</w:t>
      </w:r>
      <w:r w:rsidR="00D81917" w:rsidRPr="0090767D">
        <w:rPr>
          <w:rFonts w:ascii="Times New Roman" w:hAnsi="Times New Roman" w:cs="Times New Roman"/>
          <w:color w:val="1A1718"/>
        </w:rPr>
        <w:t xml:space="preserve"> causes neprhogenic DI; </w:t>
      </w:r>
      <w:r w:rsidRPr="0090767D">
        <w:rPr>
          <w:rFonts w:ascii="Times New Roman" w:hAnsi="Times New Roman" w:cs="Times New Roman"/>
          <w:color w:val="1A1718"/>
        </w:rPr>
        <w:t>banned) and urea</w:t>
      </w:r>
      <w:r w:rsidR="00D81917" w:rsidRPr="0090767D">
        <w:rPr>
          <w:rFonts w:ascii="Times New Roman" w:hAnsi="Times New Roman" w:cs="Times New Roman"/>
          <w:color w:val="1A1718"/>
        </w:rPr>
        <w:t xml:space="preserve"> (increases free water clearance)</w:t>
      </w:r>
      <w:r w:rsidRPr="0090767D">
        <w:rPr>
          <w:rFonts w:ascii="Times New Roman" w:hAnsi="Times New Roman" w:cs="Times New Roman"/>
          <w:color w:val="1A1718"/>
        </w:rPr>
        <w:t xml:space="preserve">, but all have their limitations and no guidelines are available. </w:t>
      </w:r>
    </w:p>
    <w:p w14:paraId="37A94D4C" w14:textId="6C4761F7" w:rsidR="005C5F13" w:rsidRPr="0090767D" w:rsidRDefault="005C5F13" w:rsidP="005C5F13">
      <w:pPr>
        <w:widowControl w:val="0"/>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 xml:space="preserve">saline infusion has arisen as the cornerstone of the treatment. Isotonic saline solution (0.9%) should be reserved for mild symptomatic patients and those cases of difficult differentiation between hypovolemic and euvolemic status. </w:t>
      </w:r>
    </w:p>
    <w:p w14:paraId="7F5FD460" w14:textId="16475A05" w:rsidR="005C5F13" w:rsidRPr="0090767D" w:rsidRDefault="005C5F13" w:rsidP="005C5F13">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 xml:space="preserve">Note: the infusion of isotonic solution to a patient with SIAD who presents </w:t>
      </w:r>
      <w:r w:rsidR="00AC0B28" w:rsidRPr="0090767D">
        <w:rPr>
          <w:rFonts w:ascii="Times New Roman" w:hAnsi="Times New Roman" w:cs="Times New Roman"/>
          <w:color w:val="1A1718"/>
        </w:rPr>
        <w:t>a fixed elevated urine osmolal</w:t>
      </w:r>
      <w:r w:rsidRPr="0090767D">
        <w:rPr>
          <w:rFonts w:ascii="Times New Roman" w:hAnsi="Times New Roman" w:cs="Times New Roman"/>
          <w:color w:val="1A1718"/>
        </w:rPr>
        <w:t>ity can result in further dilution and decrease of serum sodium levels. This ph</w:t>
      </w:r>
      <w:r w:rsidR="00AC0B28" w:rsidRPr="0090767D">
        <w:rPr>
          <w:rFonts w:ascii="Times New Roman" w:hAnsi="Times New Roman" w:cs="Times New Roman"/>
          <w:color w:val="1A1718"/>
        </w:rPr>
        <w:t>enomenon, also known as desali</w:t>
      </w:r>
      <w:r w:rsidRPr="0090767D">
        <w:rPr>
          <w:rFonts w:ascii="Times New Roman" w:hAnsi="Times New Roman" w:cs="Times New Roman"/>
          <w:color w:val="1A1718"/>
        </w:rPr>
        <w:t>nation, depends on the retention of electrolyte-free water that occurs when the osmolality of an infused solution is lower than the patient’s urinary osmolality</w:t>
      </w:r>
    </w:p>
    <w:p w14:paraId="03C5236A" w14:textId="6C2BAFE6" w:rsidR="00AC0B28" w:rsidRPr="0090767D" w:rsidRDefault="00AC0B28" w:rsidP="00AC0B28">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A</w:t>
      </w:r>
      <w:r w:rsidR="005C5F13" w:rsidRPr="0090767D">
        <w:rPr>
          <w:rFonts w:ascii="Times New Roman" w:hAnsi="Times New Roman" w:cs="Times New Roman"/>
          <w:color w:val="1A1718"/>
        </w:rPr>
        <w:t>cute and more severe conditions re- quire administration of hypertonic saline solution (3 or 5%);</w:t>
      </w:r>
      <w:r w:rsidRPr="0090767D">
        <w:rPr>
          <w:rFonts w:ascii="Times New Roman" w:hAnsi="Times New Roman" w:cs="Times New Roman"/>
          <w:color w:val="1A1718"/>
        </w:rPr>
        <w:t xml:space="preserve"> the correction speed must be adequate and slower than 12 mmol/l/day because of the risk of osmotic demyelination syndrome. Osmotic demyelination entails both central pontine and extrapontine irreversible myelinolysis.</w:t>
      </w:r>
    </w:p>
    <w:p w14:paraId="2AE718EB" w14:textId="5BCD7C51" w:rsidR="00C85718" w:rsidRPr="0090767D" w:rsidRDefault="00C85718" w:rsidP="00C85718">
      <w:pPr>
        <w:widowControl w:val="0"/>
        <w:autoSpaceDE w:val="0"/>
        <w:autoSpaceDN w:val="0"/>
        <w:adjustRightInd w:val="0"/>
        <w:spacing w:after="240"/>
        <w:rPr>
          <w:rFonts w:ascii="Times New Roman" w:hAnsi="Times New Roman" w:cs="Times New Roman"/>
          <w:color w:val="1A1718"/>
        </w:rPr>
      </w:pPr>
      <w:r w:rsidRPr="0090767D">
        <w:rPr>
          <w:rFonts w:ascii="Times New Roman" w:hAnsi="Times New Roman" w:cs="Times New Roman"/>
          <w:color w:val="1A1718"/>
        </w:rPr>
        <w:t>The infusion of DDA</w:t>
      </w:r>
      <w:r w:rsidR="00032354" w:rsidRPr="0090767D">
        <w:rPr>
          <w:rFonts w:ascii="Times New Roman" w:hAnsi="Times New Roman" w:cs="Times New Roman"/>
          <w:color w:val="1A1718"/>
        </w:rPr>
        <w:t>VP has been described as an ef</w:t>
      </w:r>
      <w:r w:rsidRPr="0090767D">
        <w:rPr>
          <w:rFonts w:ascii="Times New Roman" w:hAnsi="Times New Roman" w:cs="Times New Roman"/>
          <w:color w:val="1A1718"/>
        </w:rPr>
        <w:t>fective and safe strategy to prevent or eventually reverse an inadvertent overcorrection of hyponatremia, even if the increased sodium leve</w:t>
      </w:r>
      <w:r w:rsidR="00032354" w:rsidRPr="0090767D">
        <w:rPr>
          <w:rFonts w:ascii="Times New Roman" w:hAnsi="Times New Roman" w:cs="Times New Roman"/>
          <w:color w:val="1A1718"/>
        </w:rPr>
        <w:t>ls had already exceeded the in</w:t>
      </w:r>
      <w:r w:rsidRPr="0090767D">
        <w:rPr>
          <w:rFonts w:ascii="Times New Roman" w:hAnsi="Times New Roman" w:cs="Times New Roman"/>
          <w:color w:val="1A1718"/>
        </w:rPr>
        <w:t>tended limit</w:t>
      </w:r>
    </w:p>
    <w:p w14:paraId="752721B0" w14:textId="79445D36" w:rsidR="00032354" w:rsidRPr="0090767D" w:rsidRDefault="00032354" w:rsidP="00C85718">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Furosemide may be effective only in early SAID</w:t>
      </w:r>
    </w:p>
    <w:p w14:paraId="4AEC2390" w14:textId="2567AC1B" w:rsidR="00032354" w:rsidRPr="0090767D" w:rsidRDefault="00032354" w:rsidP="00032354">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Recently, new therapeutic options have been evaluated, in particular vasopressin receptor antagonists, the so- called vaptans</w:t>
      </w:r>
    </w:p>
    <w:p w14:paraId="4706E968" w14:textId="77777777" w:rsidR="00BF3194" w:rsidRPr="0090767D" w:rsidRDefault="00BF3194" w:rsidP="00BF3194">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These molecules, known as vaptans or aquaretics, block ADH V2 receptors and decrease AQP2 at renal collecting ducts, which result in being insensitive to ADH and become less permeable to water, thus leading to an increased urinary excretion of free water</w:t>
      </w:r>
    </w:p>
    <w:p w14:paraId="799C1A70" w14:textId="7110C8CF" w:rsidR="005C5F13" w:rsidRPr="0090767D" w:rsidRDefault="00BF3194" w:rsidP="005C5F13">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Conivaptan hydrochloride (Vaprisol) is a non-peptide benzazepine derivate that acts as a non-selective vasopressin V1a/V2 receptor antagonist.</w:t>
      </w:r>
    </w:p>
    <w:p w14:paraId="6438C600" w14:textId="4636D59F" w:rsidR="00BF3194" w:rsidRPr="0090767D" w:rsidRDefault="00BF3194" w:rsidP="00BF3194">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tolvaptan (Samsca) is a selective vasopressin V2-receptor antagonist, approved by the FDA (USA) for treatment of hypervolemic and euvolemic hyponatremia, including patients with heart failure, cirrhosis and SIAD, while by EMEA (EU) only for SIAD</w:t>
      </w:r>
    </w:p>
    <w:p w14:paraId="784AE530" w14:textId="77777777" w:rsidR="005C5F13" w:rsidRPr="0090767D" w:rsidRDefault="005C5F13" w:rsidP="005C5F13">
      <w:pPr>
        <w:widowControl w:val="0"/>
        <w:autoSpaceDE w:val="0"/>
        <w:autoSpaceDN w:val="0"/>
        <w:adjustRightInd w:val="0"/>
        <w:spacing w:after="240"/>
        <w:rPr>
          <w:rFonts w:ascii="Times New Roman" w:hAnsi="Times New Roman" w:cs="Times New Roman"/>
        </w:rPr>
      </w:pPr>
    </w:p>
    <w:p w14:paraId="4481B383" w14:textId="48B373C5" w:rsidR="00FB0BD1" w:rsidRPr="0090767D" w:rsidRDefault="00356902" w:rsidP="00FB0BD1">
      <w:pPr>
        <w:widowControl w:val="0"/>
        <w:autoSpaceDE w:val="0"/>
        <w:autoSpaceDN w:val="0"/>
        <w:adjustRightInd w:val="0"/>
        <w:spacing w:after="240"/>
        <w:rPr>
          <w:rFonts w:ascii="Times New Roman" w:hAnsi="Times New Roman" w:cs="Times New Roman"/>
        </w:rPr>
      </w:pPr>
      <w:r w:rsidRPr="0090767D">
        <w:rPr>
          <w:rFonts w:ascii="Times New Roman" w:hAnsi="Times New Roman" w:cs="Times New Roman"/>
          <w:noProof/>
        </w:rPr>
        <w:drawing>
          <wp:inline distT="0" distB="0" distL="0" distR="0" wp14:anchorId="509A5428" wp14:editId="6A206C3F">
            <wp:extent cx="5486400" cy="70705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070501"/>
                    </a:xfrm>
                    <a:prstGeom prst="rect">
                      <a:avLst/>
                    </a:prstGeom>
                    <a:noFill/>
                    <a:ln>
                      <a:noFill/>
                    </a:ln>
                  </pic:spPr>
                </pic:pic>
              </a:graphicData>
            </a:graphic>
          </wp:inline>
        </w:drawing>
      </w:r>
    </w:p>
    <w:p w14:paraId="67EB31DB" w14:textId="77777777" w:rsidR="00AD0F5D" w:rsidRPr="0090767D" w:rsidRDefault="00AD0F5D">
      <w:pPr>
        <w:rPr>
          <w:rFonts w:ascii="Times New Roman" w:hAnsi="Times New Roman" w:cs="Times New Roman"/>
        </w:rPr>
      </w:pPr>
    </w:p>
    <w:p w14:paraId="44E47CE5" w14:textId="77777777" w:rsidR="00AD0F5D" w:rsidRPr="0090767D" w:rsidRDefault="00AD0F5D">
      <w:pPr>
        <w:rPr>
          <w:rFonts w:ascii="Times New Roman" w:hAnsi="Times New Roman" w:cs="Times New Roman"/>
        </w:rPr>
      </w:pPr>
    </w:p>
    <w:p w14:paraId="0C982AF8" w14:textId="77777777" w:rsidR="00AD0F5D" w:rsidRPr="0090767D" w:rsidRDefault="00AD0F5D">
      <w:pPr>
        <w:rPr>
          <w:rFonts w:ascii="Times New Roman" w:hAnsi="Times New Roman" w:cs="Times New Roman"/>
        </w:rPr>
      </w:pPr>
    </w:p>
    <w:p w14:paraId="44B53466" w14:textId="77777777" w:rsidR="00AD0F5D" w:rsidRPr="0090767D" w:rsidRDefault="00AD0F5D">
      <w:pPr>
        <w:rPr>
          <w:rFonts w:ascii="Times New Roman" w:hAnsi="Times New Roman" w:cs="Times New Roman"/>
        </w:rPr>
      </w:pPr>
    </w:p>
    <w:p w14:paraId="76A811C1" w14:textId="77777777" w:rsidR="00AD0F5D" w:rsidRPr="0090767D" w:rsidRDefault="00AD0F5D">
      <w:pPr>
        <w:rPr>
          <w:rFonts w:ascii="Times New Roman" w:hAnsi="Times New Roman" w:cs="Times New Roman"/>
        </w:rPr>
      </w:pPr>
    </w:p>
    <w:p w14:paraId="72F010D9" w14:textId="77777777" w:rsidR="00663E31" w:rsidRPr="0090767D" w:rsidRDefault="0068610F">
      <w:pPr>
        <w:rPr>
          <w:rFonts w:ascii="Times New Roman" w:hAnsi="Times New Roman" w:cs="Times New Roman"/>
        </w:rPr>
      </w:pPr>
      <w:r w:rsidRPr="0090767D">
        <w:rPr>
          <w:rFonts w:ascii="Times New Roman" w:hAnsi="Times New Roman" w:cs="Times New Roman"/>
          <w:b/>
        </w:rPr>
        <w:t>Questions</w:t>
      </w:r>
      <w:r w:rsidRPr="0090767D">
        <w:rPr>
          <w:rFonts w:ascii="Times New Roman" w:hAnsi="Times New Roman" w:cs="Times New Roman"/>
        </w:rPr>
        <w:t>:</w:t>
      </w:r>
    </w:p>
    <w:p w14:paraId="2274BC21" w14:textId="77777777" w:rsidR="00663E31" w:rsidRPr="0090767D" w:rsidRDefault="00663E31">
      <w:pPr>
        <w:rPr>
          <w:rFonts w:ascii="Times New Roman" w:hAnsi="Times New Roman" w:cs="Times New Roman"/>
        </w:rPr>
      </w:pPr>
    </w:p>
    <w:p w14:paraId="2E562528" w14:textId="77777777" w:rsidR="00C21679" w:rsidRPr="0090767D" w:rsidRDefault="0068610F" w:rsidP="00C21679">
      <w:pPr>
        <w:pStyle w:val="ListParagraph"/>
        <w:numPr>
          <w:ilvl w:val="0"/>
          <w:numId w:val="4"/>
        </w:numPr>
        <w:rPr>
          <w:rFonts w:ascii="Times New Roman" w:hAnsi="Times New Roman" w:cs="Times New Roman"/>
        </w:rPr>
      </w:pPr>
      <w:r w:rsidRPr="0090767D">
        <w:rPr>
          <w:rFonts w:ascii="Times New Roman" w:hAnsi="Times New Roman" w:cs="Times New Roman"/>
        </w:rPr>
        <w:t>The V1a receptor mediates the __________________________ effects of ADH</w:t>
      </w:r>
      <w:r w:rsidR="00703957" w:rsidRPr="0090767D">
        <w:rPr>
          <w:rFonts w:ascii="Times New Roman" w:hAnsi="Times New Roman" w:cs="Times New Roman"/>
        </w:rPr>
        <w:t xml:space="preserve">. </w:t>
      </w:r>
      <w:r w:rsidR="00663E31" w:rsidRPr="0090767D">
        <w:rPr>
          <w:rFonts w:ascii="Times New Roman" w:hAnsi="Times New Roman" w:cs="Times New Roman"/>
        </w:rPr>
        <w:t xml:space="preserve"> </w:t>
      </w:r>
      <w:r w:rsidR="00703957" w:rsidRPr="0090767D">
        <w:rPr>
          <w:rFonts w:ascii="Times New Roman" w:hAnsi="Times New Roman" w:cs="Times New Roman"/>
        </w:rPr>
        <w:t>Other effects include, glycogenolysis, platelet aggregation, myocyte hypertrophy.</w:t>
      </w:r>
    </w:p>
    <w:p w14:paraId="687A4C00" w14:textId="39DC4147" w:rsidR="0068610F" w:rsidRPr="0090767D" w:rsidRDefault="0068610F" w:rsidP="00C21679">
      <w:pPr>
        <w:pStyle w:val="ListParagraph"/>
        <w:rPr>
          <w:rFonts w:ascii="Times New Roman" w:hAnsi="Times New Roman" w:cs="Times New Roman"/>
        </w:rPr>
      </w:pPr>
      <w:r w:rsidRPr="0090767D">
        <w:rPr>
          <w:rFonts w:ascii="Times New Roman" w:hAnsi="Times New Roman" w:cs="Times New Roman"/>
          <w:b/>
        </w:rPr>
        <w:t>Answer:</w:t>
      </w:r>
      <w:r w:rsidRPr="0090767D">
        <w:rPr>
          <w:rFonts w:ascii="Times New Roman" w:hAnsi="Times New Roman" w:cs="Times New Roman"/>
        </w:rPr>
        <w:t xml:space="preserve"> cardiovascular effects. It exerts its hypertensive effects mainly though   </w:t>
      </w:r>
    </w:p>
    <w:p w14:paraId="5731721A" w14:textId="5F8E0F7D" w:rsidR="0068610F" w:rsidRPr="0090767D" w:rsidRDefault="0068610F">
      <w:pPr>
        <w:rPr>
          <w:rFonts w:ascii="Times New Roman" w:hAnsi="Times New Roman" w:cs="Times New Roman"/>
        </w:rPr>
      </w:pPr>
      <w:r w:rsidRPr="0090767D">
        <w:rPr>
          <w:rFonts w:ascii="Times New Roman" w:hAnsi="Times New Roman" w:cs="Times New Roman"/>
        </w:rPr>
        <w:t xml:space="preserve">                      smooth muscle contraction</w:t>
      </w:r>
    </w:p>
    <w:p w14:paraId="687766DD" w14:textId="77777777" w:rsidR="00BB312F" w:rsidRPr="0090767D" w:rsidRDefault="00BB312F">
      <w:pPr>
        <w:rPr>
          <w:rFonts w:ascii="Times New Roman" w:hAnsi="Times New Roman" w:cs="Times New Roman"/>
        </w:rPr>
      </w:pPr>
    </w:p>
    <w:p w14:paraId="20D7ACDE" w14:textId="77777777" w:rsidR="00C21679" w:rsidRPr="0090767D" w:rsidRDefault="00BB312F" w:rsidP="00C21679">
      <w:pPr>
        <w:pStyle w:val="NormalWeb"/>
        <w:numPr>
          <w:ilvl w:val="0"/>
          <w:numId w:val="4"/>
        </w:numPr>
        <w:rPr>
          <w:rFonts w:ascii="Times New Roman" w:hAnsi="Times New Roman"/>
          <w:color w:val="211E1E"/>
          <w:sz w:val="24"/>
          <w:szCs w:val="24"/>
        </w:rPr>
      </w:pPr>
      <w:r w:rsidRPr="0090767D">
        <w:rPr>
          <w:rFonts w:ascii="Times New Roman" w:hAnsi="Times New Roman"/>
          <w:color w:val="211E1E"/>
          <w:sz w:val="24"/>
          <w:szCs w:val="24"/>
        </w:rPr>
        <w:t xml:space="preserve">V1b receptors are found predominantly in the _____________________________and </w:t>
      </w:r>
      <w:r w:rsidR="00663E31" w:rsidRPr="0090767D">
        <w:rPr>
          <w:rFonts w:ascii="Times New Roman" w:hAnsi="Times New Roman"/>
          <w:color w:val="211E1E"/>
          <w:sz w:val="24"/>
          <w:szCs w:val="24"/>
        </w:rPr>
        <w:t xml:space="preserve">    </w:t>
      </w:r>
      <w:r w:rsidRPr="0090767D">
        <w:rPr>
          <w:rFonts w:ascii="Times New Roman" w:hAnsi="Times New Roman"/>
          <w:color w:val="211E1E"/>
          <w:sz w:val="24"/>
          <w:szCs w:val="24"/>
        </w:rPr>
        <w:t>their stimulation results in the release of _________________</w:t>
      </w:r>
      <w:r w:rsidR="00C21679" w:rsidRPr="0090767D">
        <w:rPr>
          <w:rFonts w:ascii="Times New Roman" w:hAnsi="Times New Roman"/>
          <w:color w:val="211E1E"/>
          <w:sz w:val="24"/>
          <w:szCs w:val="24"/>
        </w:rPr>
        <w:t xml:space="preserve">. </w:t>
      </w:r>
    </w:p>
    <w:p w14:paraId="1DEE2ABF" w14:textId="0D0F7B9F" w:rsidR="00BB312F" w:rsidRPr="0090767D" w:rsidRDefault="00BB312F" w:rsidP="00C21679">
      <w:pPr>
        <w:pStyle w:val="NormalWeb"/>
        <w:ind w:left="720"/>
        <w:rPr>
          <w:rFonts w:ascii="Times New Roman" w:hAnsi="Times New Roman"/>
          <w:color w:val="211E1E"/>
          <w:sz w:val="24"/>
          <w:szCs w:val="24"/>
        </w:rPr>
      </w:pPr>
      <w:r w:rsidRPr="0090767D">
        <w:rPr>
          <w:rFonts w:ascii="Times New Roman" w:hAnsi="Times New Roman"/>
          <w:b/>
          <w:color w:val="211E1E"/>
          <w:sz w:val="24"/>
          <w:szCs w:val="24"/>
        </w:rPr>
        <w:t>Answer</w:t>
      </w:r>
      <w:r w:rsidRPr="0090767D">
        <w:rPr>
          <w:rFonts w:ascii="Times New Roman" w:hAnsi="Times New Roman"/>
          <w:color w:val="211E1E"/>
          <w:sz w:val="24"/>
          <w:szCs w:val="24"/>
        </w:rPr>
        <w:t>: anterior pituitary gland, ACTH</w:t>
      </w:r>
    </w:p>
    <w:p w14:paraId="42CBD5D9" w14:textId="55E57F85" w:rsidR="00C21679" w:rsidRPr="0090767D" w:rsidRDefault="00C21679" w:rsidP="00C21679">
      <w:pPr>
        <w:pStyle w:val="NormalWeb"/>
        <w:numPr>
          <w:ilvl w:val="0"/>
          <w:numId w:val="4"/>
        </w:numPr>
        <w:rPr>
          <w:rFonts w:ascii="Times New Roman" w:hAnsi="Times New Roman"/>
          <w:sz w:val="24"/>
          <w:szCs w:val="24"/>
        </w:rPr>
      </w:pPr>
      <w:r w:rsidRPr="0090767D">
        <w:rPr>
          <w:rFonts w:ascii="Times New Roman" w:hAnsi="Times New Roman"/>
          <w:color w:val="211E1E"/>
          <w:sz w:val="24"/>
          <w:szCs w:val="24"/>
        </w:rPr>
        <w:t xml:space="preserve">V2 receptors are found in _____________________________, where their activation induces the secretion of von Willebrand factor, and on the basolateral membrane of the ____________________cells of the renal collecting ducts, where they mediate an antidiuretic response. </w:t>
      </w:r>
    </w:p>
    <w:p w14:paraId="23A41947" w14:textId="513497E3" w:rsidR="00C21679" w:rsidRPr="0090767D" w:rsidRDefault="00C21679" w:rsidP="00C21679">
      <w:pPr>
        <w:pStyle w:val="NormalWeb"/>
        <w:ind w:left="720"/>
        <w:rPr>
          <w:rFonts w:ascii="Times New Roman" w:hAnsi="Times New Roman"/>
          <w:sz w:val="24"/>
          <w:szCs w:val="24"/>
        </w:rPr>
      </w:pPr>
      <w:r w:rsidRPr="0090767D">
        <w:rPr>
          <w:rFonts w:ascii="Times New Roman" w:hAnsi="Times New Roman"/>
          <w:b/>
          <w:color w:val="211E1E"/>
          <w:sz w:val="24"/>
          <w:szCs w:val="24"/>
        </w:rPr>
        <w:t>Answer:</w:t>
      </w:r>
      <w:r w:rsidRPr="0090767D">
        <w:rPr>
          <w:rFonts w:ascii="Times New Roman" w:hAnsi="Times New Roman"/>
          <w:color w:val="211E1E"/>
          <w:sz w:val="24"/>
          <w:szCs w:val="24"/>
        </w:rPr>
        <w:t xml:space="preserve"> Endothelial cells, Principle cells</w:t>
      </w:r>
    </w:p>
    <w:p w14:paraId="5A2F6370" w14:textId="30E663AE" w:rsidR="00A534C6" w:rsidRPr="0090767D" w:rsidRDefault="00A534C6" w:rsidP="00110AA0">
      <w:pPr>
        <w:pStyle w:val="ListParagraph"/>
        <w:widowControl w:val="0"/>
        <w:numPr>
          <w:ilvl w:val="0"/>
          <w:numId w:val="4"/>
        </w:numPr>
        <w:autoSpaceDE w:val="0"/>
        <w:autoSpaceDN w:val="0"/>
        <w:adjustRightInd w:val="0"/>
        <w:spacing w:after="240"/>
        <w:rPr>
          <w:rFonts w:ascii="Times New Roman" w:hAnsi="Times New Roman" w:cs="Times New Roman"/>
        </w:rPr>
      </w:pPr>
      <w:r w:rsidRPr="0090767D">
        <w:rPr>
          <w:rFonts w:ascii="Times New Roman" w:hAnsi="Times New Roman" w:cs="Times New Roman"/>
          <w:color w:val="1A1718"/>
        </w:rPr>
        <w:t>SIAD is a disorder of sodium and water balance characterized b</w:t>
      </w:r>
      <w:r w:rsidR="00110AA0" w:rsidRPr="0090767D">
        <w:rPr>
          <w:rFonts w:ascii="Times New Roman" w:hAnsi="Times New Roman" w:cs="Times New Roman"/>
          <w:color w:val="1A1718"/>
        </w:rPr>
        <w:t>y u</w:t>
      </w:r>
      <w:r w:rsidRPr="0090767D">
        <w:rPr>
          <w:rFonts w:ascii="Times New Roman" w:hAnsi="Times New Roman" w:cs="Times New Roman"/>
          <w:color w:val="1A1718"/>
        </w:rPr>
        <w:t>rinary dilution impairment and hypotonic hyponatremia, in the absence of renal disease or any identifiable non-osmotic stimulus able to induce antidiuretic hormone (ADH) release</w:t>
      </w:r>
      <w:r w:rsidR="00110AA0" w:rsidRPr="0090767D">
        <w:rPr>
          <w:rFonts w:ascii="Times New Roman" w:hAnsi="Times New Roman" w:cs="Times New Roman"/>
          <w:color w:val="1A1718"/>
        </w:rPr>
        <w:t>. T or F?</w:t>
      </w:r>
    </w:p>
    <w:p w14:paraId="7F4376BE" w14:textId="77777777" w:rsidR="00A534C6" w:rsidRPr="0090767D" w:rsidRDefault="00A534C6" w:rsidP="00A534C6">
      <w:pPr>
        <w:pStyle w:val="ListParagraph"/>
        <w:widowControl w:val="0"/>
        <w:autoSpaceDE w:val="0"/>
        <w:autoSpaceDN w:val="0"/>
        <w:adjustRightInd w:val="0"/>
        <w:spacing w:after="240"/>
        <w:rPr>
          <w:rFonts w:ascii="Times New Roman" w:hAnsi="Times New Roman" w:cs="Times New Roman"/>
        </w:rPr>
      </w:pPr>
    </w:p>
    <w:p w14:paraId="2A62D481" w14:textId="20FE2E52" w:rsidR="00C21679" w:rsidRPr="0090767D" w:rsidRDefault="00E7118E" w:rsidP="00C21679">
      <w:pPr>
        <w:pStyle w:val="NormalWeb"/>
        <w:numPr>
          <w:ilvl w:val="0"/>
          <w:numId w:val="4"/>
        </w:numPr>
        <w:rPr>
          <w:rFonts w:ascii="Times New Roman" w:hAnsi="Times New Roman"/>
          <w:sz w:val="24"/>
          <w:szCs w:val="24"/>
        </w:rPr>
      </w:pPr>
      <w:r w:rsidRPr="0090767D">
        <w:rPr>
          <w:rFonts w:ascii="Times New Roman" w:hAnsi="Times New Roman"/>
          <w:sz w:val="24"/>
          <w:szCs w:val="24"/>
        </w:rPr>
        <w:t>List at least 4 essential c</w:t>
      </w:r>
      <w:r w:rsidR="00110AA0" w:rsidRPr="0090767D">
        <w:rPr>
          <w:rFonts w:ascii="Times New Roman" w:hAnsi="Times New Roman"/>
          <w:sz w:val="24"/>
          <w:szCs w:val="24"/>
        </w:rPr>
        <w:t>linical features of SAID</w:t>
      </w:r>
    </w:p>
    <w:p w14:paraId="010C6746" w14:textId="5243BA15" w:rsidR="00110AA0" w:rsidRPr="0090767D" w:rsidRDefault="00110AA0" w:rsidP="00E7118E">
      <w:pPr>
        <w:pStyle w:val="NormalWeb"/>
        <w:numPr>
          <w:ilvl w:val="0"/>
          <w:numId w:val="10"/>
        </w:numPr>
        <w:rPr>
          <w:rFonts w:ascii="Times New Roman" w:hAnsi="Times New Roman"/>
          <w:sz w:val="24"/>
          <w:szCs w:val="24"/>
        </w:rPr>
      </w:pPr>
      <w:r w:rsidRPr="0090767D">
        <w:rPr>
          <w:rFonts w:ascii="Times New Roman" w:hAnsi="Times New Roman"/>
          <w:sz w:val="24"/>
          <w:szCs w:val="24"/>
        </w:rPr>
        <w:t>Hyponatremia</w:t>
      </w:r>
      <w:r w:rsidR="00E7118E" w:rsidRPr="0090767D">
        <w:rPr>
          <w:rFonts w:ascii="Times New Roman" w:hAnsi="Times New Roman"/>
          <w:sz w:val="24"/>
          <w:szCs w:val="24"/>
        </w:rPr>
        <w:t xml:space="preserve"> (decreased plasma osmolality)</w:t>
      </w:r>
    </w:p>
    <w:p w14:paraId="53E2A0C6" w14:textId="0B469D9C" w:rsidR="00110AA0" w:rsidRPr="0090767D" w:rsidRDefault="00110AA0" w:rsidP="00E7118E">
      <w:pPr>
        <w:pStyle w:val="NormalWeb"/>
        <w:numPr>
          <w:ilvl w:val="0"/>
          <w:numId w:val="10"/>
        </w:numPr>
        <w:rPr>
          <w:rFonts w:ascii="Times New Roman" w:hAnsi="Times New Roman"/>
          <w:sz w:val="24"/>
          <w:szCs w:val="24"/>
        </w:rPr>
      </w:pPr>
      <w:r w:rsidRPr="0090767D">
        <w:rPr>
          <w:rFonts w:ascii="Times New Roman" w:hAnsi="Times New Roman"/>
          <w:sz w:val="24"/>
          <w:szCs w:val="24"/>
        </w:rPr>
        <w:t>Concentrated urine</w:t>
      </w:r>
      <w:r w:rsidR="00E7118E" w:rsidRPr="0090767D">
        <w:rPr>
          <w:rFonts w:ascii="Times New Roman" w:hAnsi="Times New Roman"/>
          <w:sz w:val="24"/>
          <w:szCs w:val="24"/>
        </w:rPr>
        <w:t xml:space="preserve"> (increased urinary osmolality)</w:t>
      </w:r>
    </w:p>
    <w:p w14:paraId="3BB7B086" w14:textId="10FBE75D" w:rsidR="00110AA0" w:rsidRPr="0090767D" w:rsidRDefault="00110AA0" w:rsidP="00E7118E">
      <w:pPr>
        <w:pStyle w:val="NormalWeb"/>
        <w:numPr>
          <w:ilvl w:val="0"/>
          <w:numId w:val="10"/>
        </w:numPr>
        <w:rPr>
          <w:rFonts w:ascii="Times New Roman" w:hAnsi="Times New Roman"/>
          <w:sz w:val="24"/>
          <w:szCs w:val="24"/>
        </w:rPr>
      </w:pPr>
      <w:r w:rsidRPr="0090767D">
        <w:rPr>
          <w:rFonts w:ascii="Times New Roman" w:hAnsi="Times New Roman"/>
          <w:sz w:val="24"/>
          <w:szCs w:val="24"/>
        </w:rPr>
        <w:t>Natriuresis</w:t>
      </w:r>
    </w:p>
    <w:p w14:paraId="19BC7420" w14:textId="6DBFC1D2" w:rsidR="00E7118E" w:rsidRPr="0090767D" w:rsidRDefault="00E7118E" w:rsidP="00E7118E">
      <w:pPr>
        <w:pStyle w:val="NormalWeb"/>
        <w:numPr>
          <w:ilvl w:val="0"/>
          <w:numId w:val="10"/>
        </w:numPr>
        <w:rPr>
          <w:rFonts w:ascii="Times New Roman" w:hAnsi="Times New Roman"/>
          <w:sz w:val="24"/>
          <w:szCs w:val="24"/>
        </w:rPr>
      </w:pPr>
      <w:r w:rsidRPr="0090767D">
        <w:rPr>
          <w:rFonts w:ascii="Times New Roman" w:hAnsi="Times New Roman"/>
          <w:sz w:val="24"/>
          <w:szCs w:val="24"/>
        </w:rPr>
        <w:t>Euvolemia</w:t>
      </w:r>
    </w:p>
    <w:p w14:paraId="69FE8719" w14:textId="33FABDA0" w:rsidR="002222EC" w:rsidRPr="0090767D" w:rsidRDefault="002222EC" w:rsidP="002222EC">
      <w:pPr>
        <w:pStyle w:val="NormalWeb"/>
        <w:rPr>
          <w:rFonts w:ascii="Times New Roman" w:hAnsi="Times New Roman"/>
          <w:sz w:val="24"/>
          <w:szCs w:val="24"/>
        </w:rPr>
      </w:pPr>
      <w:r w:rsidRPr="0090767D">
        <w:rPr>
          <w:rFonts w:ascii="Times New Roman" w:hAnsi="Times New Roman"/>
          <w:sz w:val="24"/>
          <w:szCs w:val="24"/>
        </w:rPr>
        <w:t>6.  List at least 3 treatment options that have been used in the management od SAID</w:t>
      </w:r>
    </w:p>
    <w:p w14:paraId="354968F6" w14:textId="79A294FF" w:rsidR="002222EC" w:rsidRPr="0090767D" w:rsidRDefault="002222EC" w:rsidP="002222EC">
      <w:pPr>
        <w:pStyle w:val="NormalWeb"/>
        <w:numPr>
          <w:ilvl w:val="0"/>
          <w:numId w:val="11"/>
        </w:numPr>
        <w:rPr>
          <w:rFonts w:ascii="Times New Roman" w:hAnsi="Times New Roman"/>
          <w:sz w:val="24"/>
          <w:szCs w:val="24"/>
        </w:rPr>
      </w:pPr>
      <w:r w:rsidRPr="0090767D">
        <w:rPr>
          <w:rFonts w:ascii="Times New Roman" w:hAnsi="Times New Roman"/>
          <w:sz w:val="24"/>
          <w:szCs w:val="24"/>
        </w:rPr>
        <w:t>Saline infusion (0.9%, hypertonic)</w:t>
      </w:r>
    </w:p>
    <w:p w14:paraId="5C4C63EE" w14:textId="0B3A15E8" w:rsidR="002222EC" w:rsidRPr="0090767D" w:rsidRDefault="002222EC" w:rsidP="002222EC">
      <w:pPr>
        <w:pStyle w:val="NormalWeb"/>
        <w:numPr>
          <w:ilvl w:val="0"/>
          <w:numId w:val="11"/>
        </w:numPr>
        <w:rPr>
          <w:rFonts w:ascii="Times New Roman" w:hAnsi="Times New Roman"/>
          <w:sz w:val="24"/>
          <w:szCs w:val="24"/>
        </w:rPr>
      </w:pPr>
      <w:r w:rsidRPr="0090767D">
        <w:rPr>
          <w:rFonts w:ascii="Times New Roman" w:hAnsi="Times New Roman"/>
          <w:sz w:val="24"/>
          <w:szCs w:val="24"/>
        </w:rPr>
        <w:t>Furosemide</w:t>
      </w:r>
    </w:p>
    <w:p w14:paraId="6580CCE3" w14:textId="115542C8" w:rsidR="002222EC" w:rsidRPr="0090767D" w:rsidRDefault="002222EC" w:rsidP="002222EC">
      <w:pPr>
        <w:pStyle w:val="NormalWeb"/>
        <w:numPr>
          <w:ilvl w:val="0"/>
          <w:numId w:val="11"/>
        </w:numPr>
        <w:rPr>
          <w:rFonts w:ascii="Times New Roman" w:hAnsi="Times New Roman"/>
          <w:color w:val="1A1718"/>
          <w:sz w:val="24"/>
          <w:szCs w:val="24"/>
        </w:rPr>
      </w:pPr>
      <w:r w:rsidRPr="0090767D">
        <w:rPr>
          <w:rFonts w:ascii="Times New Roman" w:hAnsi="Times New Roman"/>
          <w:color w:val="1A1718"/>
          <w:sz w:val="24"/>
          <w:szCs w:val="24"/>
        </w:rPr>
        <w:t>Demeclocycline (banded)</w:t>
      </w:r>
    </w:p>
    <w:p w14:paraId="0EEFB2E0" w14:textId="55C568FB" w:rsidR="002222EC" w:rsidRPr="0090767D" w:rsidRDefault="002222EC" w:rsidP="002222EC">
      <w:pPr>
        <w:pStyle w:val="NormalWeb"/>
        <w:numPr>
          <w:ilvl w:val="0"/>
          <w:numId w:val="11"/>
        </w:numPr>
        <w:rPr>
          <w:rFonts w:ascii="Times New Roman" w:hAnsi="Times New Roman"/>
          <w:color w:val="1A1718"/>
          <w:sz w:val="24"/>
          <w:szCs w:val="24"/>
        </w:rPr>
      </w:pPr>
      <w:r w:rsidRPr="0090767D">
        <w:rPr>
          <w:rFonts w:ascii="Times New Roman" w:hAnsi="Times New Roman"/>
          <w:color w:val="1A1718"/>
          <w:sz w:val="24"/>
          <w:szCs w:val="24"/>
        </w:rPr>
        <w:t>Oral urea</w:t>
      </w:r>
    </w:p>
    <w:p w14:paraId="1CADE20A" w14:textId="11594CBD" w:rsidR="002222EC" w:rsidRPr="0090767D" w:rsidRDefault="002222EC" w:rsidP="002222EC">
      <w:pPr>
        <w:pStyle w:val="NormalWeb"/>
        <w:numPr>
          <w:ilvl w:val="0"/>
          <w:numId w:val="11"/>
        </w:numPr>
        <w:rPr>
          <w:rFonts w:ascii="Times New Roman" w:hAnsi="Times New Roman"/>
          <w:sz w:val="24"/>
          <w:szCs w:val="24"/>
        </w:rPr>
      </w:pPr>
      <w:r w:rsidRPr="0090767D">
        <w:rPr>
          <w:rFonts w:ascii="Times New Roman" w:hAnsi="Times New Roman"/>
          <w:color w:val="1A1718"/>
          <w:sz w:val="24"/>
          <w:szCs w:val="24"/>
        </w:rPr>
        <w:t>Aldosterone anatgonists</w:t>
      </w:r>
    </w:p>
    <w:p w14:paraId="6D3AFE49" w14:textId="77777777" w:rsidR="002222EC" w:rsidRPr="0090767D" w:rsidRDefault="002222EC" w:rsidP="002222EC">
      <w:pPr>
        <w:pStyle w:val="NormalWeb"/>
        <w:rPr>
          <w:rFonts w:ascii="Times New Roman" w:hAnsi="Times New Roman"/>
          <w:sz w:val="24"/>
          <w:szCs w:val="24"/>
        </w:rPr>
      </w:pPr>
    </w:p>
    <w:p w14:paraId="33C5C6C2" w14:textId="77777777" w:rsidR="00C21679" w:rsidRPr="0090767D" w:rsidRDefault="00C21679" w:rsidP="00C21679">
      <w:pPr>
        <w:pStyle w:val="NormalWeb"/>
        <w:ind w:left="720"/>
        <w:rPr>
          <w:rFonts w:ascii="Times New Roman" w:hAnsi="Times New Roman"/>
          <w:color w:val="211E1E"/>
          <w:sz w:val="24"/>
          <w:szCs w:val="24"/>
        </w:rPr>
      </w:pPr>
    </w:p>
    <w:p w14:paraId="742B6627" w14:textId="77777777" w:rsidR="00BC30C8" w:rsidRPr="006D1A4C" w:rsidRDefault="00BC30C8" w:rsidP="00BC30C8">
      <w:pPr>
        <w:pStyle w:val="NormalWeb"/>
        <w:rPr>
          <w:rFonts w:ascii="Times New Roman" w:hAnsi="Times New Roman"/>
          <w:b/>
          <w:sz w:val="24"/>
          <w:szCs w:val="24"/>
          <w:u w:val="single"/>
        </w:rPr>
      </w:pPr>
      <w:r w:rsidRPr="006D1A4C">
        <w:rPr>
          <w:rFonts w:ascii="Times New Roman" w:hAnsi="Times New Roman"/>
          <w:b/>
          <w:bCs/>
          <w:sz w:val="24"/>
          <w:szCs w:val="24"/>
          <w:u w:val="single"/>
        </w:rPr>
        <w:t xml:space="preserve">Hyperadrenocorticism: Treating Dogs </w:t>
      </w:r>
    </w:p>
    <w:p w14:paraId="3FFAE9AB" w14:textId="77777777" w:rsidR="00BC30C8" w:rsidRPr="006D1A4C" w:rsidRDefault="00BC30C8" w:rsidP="00BC30C8">
      <w:pPr>
        <w:pStyle w:val="NormalWeb"/>
        <w:rPr>
          <w:rFonts w:ascii="Times New Roman" w:hAnsi="Times New Roman"/>
          <w:b/>
          <w:sz w:val="24"/>
          <w:szCs w:val="24"/>
        </w:rPr>
      </w:pPr>
      <w:r w:rsidRPr="006D1A4C">
        <w:rPr>
          <w:rFonts w:ascii="Times New Roman" w:hAnsi="Times New Roman"/>
          <w:b/>
          <w:sz w:val="24"/>
          <w:szCs w:val="24"/>
        </w:rPr>
        <w:t>Cassandra G. Brown, DVM</w:t>
      </w:r>
      <w:r w:rsidRPr="006D1A4C">
        <w:rPr>
          <w:rFonts w:ascii="Times New Roman" w:hAnsi="Times New Roman"/>
          <w:b/>
          <w:sz w:val="24"/>
          <w:szCs w:val="24"/>
        </w:rPr>
        <w:br/>
        <w:t xml:space="preserve">Thomas K. Graves, DVM, PhD, DACVIM University of Illinois at Urbana-Champaign </w:t>
      </w:r>
    </w:p>
    <w:p w14:paraId="17E31692" w14:textId="6DBF2644" w:rsidR="00BC30C8" w:rsidRPr="005029D1" w:rsidRDefault="00BC30C8" w:rsidP="00BC30C8">
      <w:pPr>
        <w:pStyle w:val="NormalWeb"/>
        <w:rPr>
          <w:rFonts w:ascii="Times New Roman" w:hAnsi="Times New Roman"/>
          <w:sz w:val="24"/>
          <w:szCs w:val="24"/>
        </w:rPr>
      </w:pPr>
      <w:r w:rsidRPr="005029D1">
        <w:rPr>
          <w:rFonts w:ascii="Times New Roman" w:hAnsi="Times New Roman"/>
          <w:bCs/>
          <w:sz w:val="24"/>
          <w:szCs w:val="24"/>
        </w:rPr>
        <w:t>CEArticle #1 Compenduim March 2007</w:t>
      </w:r>
    </w:p>
    <w:p w14:paraId="7DE5A385" w14:textId="059A3628" w:rsidR="00BC30C8" w:rsidRPr="005029D1" w:rsidRDefault="00BC30C8" w:rsidP="00BC30C8">
      <w:pPr>
        <w:pStyle w:val="NormalWeb"/>
        <w:rPr>
          <w:rFonts w:ascii="Times New Roman" w:hAnsi="Times New Roman"/>
          <w:sz w:val="24"/>
          <w:szCs w:val="24"/>
        </w:rPr>
      </w:pPr>
      <w:r w:rsidRPr="005029D1">
        <w:rPr>
          <w:rFonts w:ascii="Times New Roman" w:hAnsi="Times New Roman"/>
          <w:b/>
          <w:bCs/>
          <w:sz w:val="24"/>
          <w:szCs w:val="24"/>
        </w:rPr>
        <w:t>ABSTRACT</w:t>
      </w:r>
      <w:r w:rsidRPr="005029D1">
        <w:rPr>
          <w:rFonts w:ascii="Times New Roman" w:hAnsi="Times New Roman"/>
          <w:bCs/>
          <w:sz w:val="24"/>
          <w:szCs w:val="24"/>
        </w:rPr>
        <w:t xml:space="preserve">: </w:t>
      </w:r>
      <w:r w:rsidRPr="005029D1">
        <w:rPr>
          <w:rFonts w:ascii="Times New Roman" w:hAnsi="Times New Roman"/>
          <w:sz w:val="24"/>
          <w:szCs w:val="24"/>
        </w:rPr>
        <w:t xml:space="preserve">This article is a complete review of all reported therapies for hyperadrenocorticismin dogs. Both medical and surgical options for treating pituitary-dependent hyperadrenocorticism and adrenal tumor-related disease are discussed, and the efficacy, safety, and use of these treatments are compared. </w:t>
      </w:r>
    </w:p>
    <w:p w14:paraId="47B21C4E" w14:textId="081C4AFE" w:rsidR="00BB312F" w:rsidRPr="005029D1" w:rsidRDefault="00BC30C8">
      <w:pPr>
        <w:rPr>
          <w:rFonts w:ascii="Times New Roman" w:hAnsi="Times New Roman" w:cs="Times New Roman"/>
        </w:rPr>
      </w:pPr>
      <w:r w:rsidRPr="005029D1">
        <w:rPr>
          <w:rFonts w:ascii="Times New Roman" w:hAnsi="Times New Roman" w:cs="Times New Roman"/>
          <w:b/>
        </w:rPr>
        <w:t>Summary</w:t>
      </w:r>
      <w:r w:rsidRPr="005029D1">
        <w:rPr>
          <w:rFonts w:ascii="Times New Roman" w:hAnsi="Times New Roman" w:cs="Times New Roman"/>
        </w:rPr>
        <w:t>:</w:t>
      </w:r>
    </w:p>
    <w:p w14:paraId="4CB31AD0" w14:textId="783225BD" w:rsidR="00E818C9" w:rsidRPr="005029D1" w:rsidRDefault="00E818C9" w:rsidP="00E818C9">
      <w:pPr>
        <w:pStyle w:val="NormalWeb"/>
        <w:rPr>
          <w:rFonts w:ascii="Times New Roman" w:hAnsi="Times New Roman"/>
          <w:sz w:val="24"/>
          <w:szCs w:val="24"/>
        </w:rPr>
      </w:pPr>
      <w:r w:rsidRPr="005029D1">
        <w:rPr>
          <w:rFonts w:ascii="Times New Roman" w:hAnsi="Times New Roman"/>
          <w:sz w:val="24"/>
          <w:szCs w:val="24"/>
        </w:rPr>
        <w:t>Two forms exist. Excessive adrenocorticotropic hormone (ACTH) secretion is the result of pituitary-dependent hyperadrenocorticism (PDH) and is responsible for approximately 80% to 85% of naturally occurring cases in dogs. An autonomously functioning adrenocortical tumor (AT) is reported in the vast majority of the other naturally occurring cases.</w:t>
      </w:r>
    </w:p>
    <w:p w14:paraId="4BFB9D57" w14:textId="6EA83DD5" w:rsidR="0031147E" w:rsidRPr="005029D1" w:rsidRDefault="0031147E" w:rsidP="0031147E">
      <w:pPr>
        <w:rPr>
          <w:rFonts w:ascii="Times New Roman" w:hAnsi="Times New Roman" w:cs="Times New Roman"/>
        </w:rPr>
      </w:pPr>
      <w:r w:rsidRPr="007C59CD">
        <w:rPr>
          <w:rFonts w:ascii="Times New Roman" w:hAnsi="Times New Roman" w:cs="Times New Roman"/>
          <w:u w:val="single"/>
        </w:rPr>
        <w:t>Treatment options</w:t>
      </w:r>
      <w:r w:rsidRPr="005029D1">
        <w:rPr>
          <w:rFonts w:ascii="Times New Roman" w:hAnsi="Times New Roman" w:cs="Times New Roman"/>
        </w:rPr>
        <w:t>:</w:t>
      </w:r>
    </w:p>
    <w:p w14:paraId="5991E461" w14:textId="5AADC669"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Mitotane</w:t>
      </w:r>
    </w:p>
    <w:p w14:paraId="2A983D52" w14:textId="57A18854"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Trilostane</w:t>
      </w:r>
    </w:p>
    <w:p w14:paraId="3C4FAE4B" w14:textId="430E3764"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Selegiline</w:t>
      </w:r>
    </w:p>
    <w:p w14:paraId="4C82490F" w14:textId="453F1EB4"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Ketoconazole</w:t>
      </w:r>
    </w:p>
    <w:p w14:paraId="6764C735" w14:textId="77777777"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Adrenalectomy (for ATs)</w:t>
      </w:r>
    </w:p>
    <w:p w14:paraId="2189C7C5" w14:textId="3DC18504"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Hypophysectomy</w:t>
      </w:r>
    </w:p>
    <w:p w14:paraId="20B56745" w14:textId="0609B918"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Radiation therapy</w:t>
      </w:r>
    </w:p>
    <w:p w14:paraId="261936DB" w14:textId="77777777"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Metyrapone</w:t>
      </w:r>
    </w:p>
    <w:p w14:paraId="57CFBF04" w14:textId="77777777"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Aminoglutethimide</w:t>
      </w:r>
    </w:p>
    <w:p w14:paraId="71DCE911" w14:textId="62A02DAF"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Cyproheptadine</w:t>
      </w:r>
    </w:p>
    <w:p w14:paraId="0C3C0C3B" w14:textId="4E4A57F8"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Bromocriptine</w:t>
      </w:r>
    </w:p>
    <w:p w14:paraId="591D9C37" w14:textId="76ADEBB4" w:rsidR="0031147E" w:rsidRPr="005029D1" w:rsidRDefault="0031147E" w:rsidP="0031147E">
      <w:pPr>
        <w:pStyle w:val="ListParagraph"/>
        <w:numPr>
          <w:ilvl w:val="0"/>
          <w:numId w:val="12"/>
        </w:numPr>
        <w:rPr>
          <w:rFonts w:ascii="Times New Roman" w:hAnsi="Times New Roman" w:cs="Times New Roman"/>
        </w:rPr>
      </w:pPr>
      <w:r w:rsidRPr="005029D1">
        <w:rPr>
          <w:rFonts w:ascii="Times New Roman" w:hAnsi="Times New Roman" w:cs="Times New Roman"/>
        </w:rPr>
        <w:t xml:space="preserve">RU-486. </w:t>
      </w:r>
    </w:p>
    <w:p w14:paraId="5D15394E" w14:textId="77777777" w:rsidR="0031147E" w:rsidRDefault="0031147E">
      <w:pPr>
        <w:rPr>
          <w:rFonts w:ascii="Times New Roman" w:hAnsi="Times New Roman" w:cs="Times New Roman"/>
        </w:rPr>
      </w:pPr>
    </w:p>
    <w:p w14:paraId="5EA38448" w14:textId="77777777" w:rsidR="007C59CD" w:rsidRPr="007B0ABA" w:rsidRDefault="007C59CD" w:rsidP="007C59CD">
      <w:pPr>
        <w:rPr>
          <w:rFonts w:ascii="Times New Roman" w:hAnsi="Times New Roman" w:cs="Times New Roman"/>
          <w:b/>
          <w:u w:val="single"/>
        </w:rPr>
      </w:pPr>
      <w:r w:rsidRPr="007B0ABA">
        <w:rPr>
          <w:rFonts w:ascii="Times New Roman" w:hAnsi="Times New Roman" w:cs="Times New Roman"/>
          <w:b/>
          <w:u w:val="single"/>
        </w:rPr>
        <w:t>Mitotane:</w:t>
      </w:r>
    </w:p>
    <w:p w14:paraId="2CAF3A0E" w14:textId="716A388A" w:rsidR="007C59CD" w:rsidRPr="00316E8B" w:rsidRDefault="007C59CD" w:rsidP="00316E8B">
      <w:pPr>
        <w:pStyle w:val="ListParagraph"/>
        <w:numPr>
          <w:ilvl w:val="0"/>
          <w:numId w:val="22"/>
        </w:numPr>
        <w:rPr>
          <w:rFonts w:ascii="Times New Roman" w:hAnsi="Times New Roman" w:cs="Times New Roman"/>
        </w:rPr>
      </w:pPr>
      <w:r w:rsidRPr="00316E8B">
        <w:rPr>
          <w:rFonts w:ascii="Times New Roman" w:hAnsi="Times New Roman" w:cs="Times New Roman"/>
        </w:rPr>
        <w:t xml:space="preserve">Mitotane (Lysodren [Bristol-Myers Squibb], o,p-DDD) is the most common medical therapy for hyperadrenocorticism in dogs </w:t>
      </w:r>
    </w:p>
    <w:p w14:paraId="22B01410" w14:textId="77777777" w:rsidR="007C59CD" w:rsidRPr="007C59CD" w:rsidRDefault="007C59CD" w:rsidP="00316E8B">
      <w:pPr>
        <w:pStyle w:val="NormalWeb"/>
        <w:numPr>
          <w:ilvl w:val="0"/>
          <w:numId w:val="22"/>
        </w:numPr>
        <w:rPr>
          <w:rFonts w:ascii="Times New Roman" w:hAnsi="Times New Roman"/>
          <w:sz w:val="24"/>
          <w:szCs w:val="24"/>
        </w:rPr>
      </w:pPr>
      <w:r w:rsidRPr="007C59CD">
        <w:rPr>
          <w:rFonts w:ascii="Times New Roman" w:hAnsi="Times New Roman"/>
          <w:sz w:val="24"/>
          <w:szCs w:val="24"/>
        </w:rPr>
        <w:t xml:space="preserve">A potent adrenocorticolytic agent: results in progressive adrenocortical necrosis of the zona fasciculata and zona reticularis. </w:t>
      </w:r>
    </w:p>
    <w:p w14:paraId="6B171082" w14:textId="5741E826" w:rsidR="007C59CD" w:rsidRPr="007C59CD" w:rsidRDefault="007C59CD" w:rsidP="00316E8B">
      <w:pPr>
        <w:pStyle w:val="NormalWeb"/>
        <w:numPr>
          <w:ilvl w:val="0"/>
          <w:numId w:val="22"/>
        </w:numPr>
        <w:rPr>
          <w:rFonts w:ascii="Times New Roman" w:hAnsi="Times New Roman"/>
          <w:sz w:val="24"/>
          <w:szCs w:val="24"/>
        </w:rPr>
      </w:pPr>
      <w:r w:rsidRPr="007C59CD">
        <w:rPr>
          <w:rFonts w:ascii="Times New Roman" w:hAnsi="Times New Roman"/>
          <w:sz w:val="24"/>
          <w:szCs w:val="24"/>
        </w:rPr>
        <w:t xml:space="preserve">Mitotane is activated within adrenocortical tissue to a reactive acyl chloride intermediate and subsequently is covalently bound to adrenal proteins, resulting in progressive cortical necrosis </w:t>
      </w:r>
    </w:p>
    <w:p w14:paraId="1D8BE3E1" w14:textId="6BAF38DA" w:rsidR="00A132BE" w:rsidRPr="007B0ABA" w:rsidRDefault="00A132BE" w:rsidP="00316E8B">
      <w:pPr>
        <w:pStyle w:val="NormalWeb"/>
        <w:numPr>
          <w:ilvl w:val="0"/>
          <w:numId w:val="22"/>
        </w:numPr>
        <w:rPr>
          <w:sz w:val="24"/>
          <w:szCs w:val="24"/>
        </w:rPr>
      </w:pPr>
      <w:r w:rsidRPr="007B0ABA">
        <w:rPr>
          <w:rFonts w:ascii="ACaslon" w:hAnsi="ACaslon"/>
          <w:sz w:val="24"/>
          <w:szCs w:val="24"/>
        </w:rPr>
        <w:t>Two phases of classic mitotane administr</w:t>
      </w:r>
      <w:r w:rsidR="008127C5" w:rsidRPr="007B0ABA">
        <w:rPr>
          <w:rFonts w:ascii="ACaslon" w:hAnsi="ACaslon"/>
          <w:sz w:val="24"/>
          <w:szCs w:val="24"/>
        </w:rPr>
        <w:t>at</w:t>
      </w:r>
      <w:r w:rsidRPr="007B0ABA">
        <w:rPr>
          <w:rFonts w:ascii="ACaslon" w:hAnsi="ACaslon"/>
          <w:sz w:val="24"/>
          <w:szCs w:val="24"/>
        </w:rPr>
        <w:t xml:space="preserve">ion for treatment of PDH exist </w:t>
      </w:r>
    </w:p>
    <w:p w14:paraId="59D49244" w14:textId="53B87275" w:rsidR="00BF6BDD" w:rsidRPr="007B0ABA" w:rsidRDefault="00BF6BDD" w:rsidP="00BF6BDD">
      <w:pPr>
        <w:pStyle w:val="NormalWeb"/>
        <w:rPr>
          <w:sz w:val="24"/>
          <w:szCs w:val="24"/>
        </w:rPr>
      </w:pPr>
      <w:r w:rsidRPr="007B0ABA">
        <w:rPr>
          <w:rFonts w:ascii="Times New Roman" w:hAnsi="Times New Roman"/>
          <w:b/>
          <w:i/>
          <w:sz w:val="24"/>
          <w:szCs w:val="24"/>
        </w:rPr>
        <w:t xml:space="preserve">1. </w:t>
      </w:r>
      <w:r w:rsidR="00A132BE" w:rsidRPr="007B0ABA">
        <w:rPr>
          <w:rFonts w:ascii="Times New Roman" w:hAnsi="Times New Roman"/>
          <w:b/>
          <w:i/>
          <w:sz w:val="24"/>
          <w:szCs w:val="24"/>
        </w:rPr>
        <w:t>Induction:</w:t>
      </w:r>
      <w:r w:rsidR="00A132BE" w:rsidRPr="007B0ABA">
        <w:rPr>
          <w:rFonts w:ascii="Times New Roman" w:hAnsi="Times New Roman"/>
          <w:sz w:val="24"/>
          <w:szCs w:val="24"/>
        </w:rPr>
        <w:t xml:space="preserve"> 50mg/kg SID for 5-14days. </w:t>
      </w:r>
      <w:r w:rsidR="00A132BE" w:rsidRPr="007B0ABA">
        <w:rPr>
          <w:rFonts w:ascii="ACaslon" w:hAnsi="ACaslon"/>
          <w:sz w:val="24"/>
          <w:szCs w:val="24"/>
        </w:rPr>
        <w:t xml:space="preserve">Completion of induction is based on ACTH stimulation test documentation of a subnormal post- stimulation serum concentration of </w:t>
      </w:r>
      <w:r w:rsidRPr="007B0ABA">
        <w:rPr>
          <w:rFonts w:ascii="ACaslon" w:hAnsi="ACaslon"/>
          <w:sz w:val="24"/>
          <w:szCs w:val="24"/>
        </w:rPr>
        <w:t>cortisol (normal: 1 to 5 μg/dl). Daily mitotane should be discontinued when clear decreases in appetite or water consumption are noted or when listlessness, vomiting, or diarrhea is doc- umented. An ACTH stimulation test should be conducted within 24 hours to evaluate adrenal function and determine whether induction therapy is complete. Because mitotane reliably reduces cortisol production, the</w:t>
      </w:r>
      <w:r w:rsidR="00B81BC0">
        <w:rPr>
          <w:rFonts w:ascii="ACaslon" w:hAnsi="ACaslon"/>
          <w:sz w:val="24"/>
          <w:szCs w:val="24"/>
        </w:rPr>
        <w:t xml:space="preserve"> </w:t>
      </w:r>
      <w:r w:rsidRPr="007B0ABA">
        <w:rPr>
          <w:rFonts w:ascii="ACaslon" w:hAnsi="ACaslon"/>
          <w:sz w:val="24"/>
          <w:szCs w:val="24"/>
        </w:rPr>
        <w:t xml:space="preserve">dog should be examined by a veterinarian on day 8 or 9 of induction, and an ACTH stimulation test should be conducted even if no clinical signs of completion of induction are noted. </w:t>
      </w:r>
      <w:r w:rsidR="008127C5" w:rsidRPr="007B0ABA">
        <w:rPr>
          <w:rFonts w:ascii="ACaslon" w:hAnsi="ACaslon"/>
          <w:sz w:val="24"/>
          <w:szCs w:val="24"/>
        </w:rPr>
        <w:t xml:space="preserve">Induction should be continued for an additional 3 to 7 days if post-ACTH stimulation cortisol levels remain elevated above the goal of 1 to 5ug/dL. Because the urine cortisol:creatinine ratio is unreliable for monitoring mitotane therapy, it should not be used. </w:t>
      </w:r>
    </w:p>
    <w:p w14:paraId="1E265E14" w14:textId="67D6720A" w:rsidR="00A43D1C" w:rsidRPr="00A405F1" w:rsidRDefault="008127C5" w:rsidP="00A405F1">
      <w:pPr>
        <w:pStyle w:val="NormalWeb"/>
        <w:rPr>
          <w:rFonts w:ascii="Times New Roman" w:hAnsi="Times New Roman"/>
          <w:sz w:val="24"/>
          <w:szCs w:val="24"/>
        </w:rPr>
      </w:pPr>
      <w:r w:rsidRPr="00A405F1">
        <w:rPr>
          <w:rFonts w:ascii="Times New Roman" w:hAnsi="Times New Roman"/>
          <w:b/>
          <w:i/>
          <w:sz w:val="24"/>
          <w:szCs w:val="24"/>
        </w:rPr>
        <w:t xml:space="preserve">2. </w:t>
      </w:r>
      <w:r w:rsidR="00A132BE" w:rsidRPr="00A405F1">
        <w:rPr>
          <w:rFonts w:ascii="Times New Roman" w:hAnsi="Times New Roman"/>
          <w:b/>
          <w:i/>
          <w:sz w:val="24"/>
          <w:szCs w:val="24"/>
        </w:rPr>
        <w:t>Maintenance</w:t>
      </w:r>
      <w:r w:rsidR="00A132BE" w:rsidRPr="00A405F1">
        <w:rPr>
          <w:rFonts w:ascii="Times New Roman" w:hAnsi="Times New Roman"/>
          <w:sz w:val="24"/>
          <w:szCs w:val="24"/>
        </w:rPr>
        <w:t>:</w:t>
      </w:r>
      <w:r w:rsidR="00316E8B" w:rsidRPr="00A405F1">
        <w:rPr>
          <w:rFonts w:ascii="Times New Roman" w:hAnsi="Times New Roman"/>
          <w:sz w:val="24"/>
          <w:szCs w:val="24"/>
        </w:rPr>
        <w:t xml:space="preserve"> see recommended doses</w:t>
      </w:r>
      <w:r w:rsidR="00A405F1" w:rsidRPr="00A405F1">
        <w:rPr>
          <w:rFonts w:ascii="Times New Roman" w:hAnsi="Times New Roman"/>
          <w:sz w:val="24"/>
          <w:szCs w:val="24"/>
        </w:rPr>
        <w:t xml:space="preserve">; maintenance therapy involves administration two or three times per week </w:t>
      </w:r>
    </w:p>
    <w:p w14:paraId="7C8FFD22" w14:textId="77777777" w:rsidR="00E04C9E" w:rsidRPr="001E102B" w:rsidRDefault="00E04C9E">
      <w:pPr>
        <w:rPr>
          <w:rFonts w:ascii="Times New Roman" w:hAnsi="Times New Roman" w:cs="Times New Roman"/>
        </w:rPr>
      </w:pPr>
    </w:p>
    <w:p w14:paraId="40F3F49D" w14:textId="7B809455" w:rsidR="00A43D1C" w:rsidRPr="00316E8B" w:rsidRDefault="00A43D1C" w:rsidP="00316E8B">
      <w:pPr>
        <w:pStyle w:val="ListParagraph"/>
        <w:numPr>
          <w:ilvl w:val="0"/>
          <w:numId w:val="23"/>
        </w:numPr>
        <w:rPr>
          <w:rFonts w:ascii="Times New Roman" w:hAnsi="Times New Roman" w:cs="Times New Roman"/>
        </w:rPr>
      </w:pPr>
      <w:r w:rsidRPr="00316E8B">
        <w:rPr>
          <w:rFonts w:ascii="Times New Roman" w:hAnsi="Times New Roman" w:cs="Times New Roman"/>
          <w:u w:val="single"/>
        </w:rPr>
        <w:t>Note</w:t>
      </w:r>
      <w:r w:rsidRPr="00316E8B">
        <w:rPr>
          <w:rFonts w:ascii="Times New Roman" w:hAnsi="Times New Roman" w:cs="Times New Roman"/>
        </w:rPr>
        <w:t>: you can preform a medical adrenalectomy by giving high doses (75mg/kg/day for 25days) and completely destroy the entire adrenal gland. These patient will require mineralocorticoid and glucocorticoid supplementation</w:t>
      </w:r>
      <w:r w:rsidR="00E04C9E" w:rsidRPr="00316E8B">
        <w:rPr>
          <w:rFonts w:ascii="Times New Roman" w:hAnsi="Times New Roman" w:cs="Times New Roman"/>
        </w:rPr>
        <w:t>.</w:t>
      </w:r>
    </w:p>
    <w:p w14:paraId="3AEEF02C" w14:textId="77777777" w:rsidR="00E04C9E" w:rsidRPr="001E102B" w:rsidRDefault="00E04C9E">
      <w:pPr>
        <w:rPr>
          <w:rFonts w:ascii="Times New Roman" w:hAnsi="Times New Roman" w:cs="Times New Roman"/>
        </w:rPr>
      </w:pPr>
    </w:p>
    <w:p w14:paraId="6EE45779" w14:textId="73FBDF19" w:rsidR="00EE6556" w:rsidRPr="00C767F3" w:rsidRDefault="00C71736" w:rsidP="007B0ABA">
      <w:pPr>
        <w:pStyle w:val="NormalWeb"/>
        <w:numPr>
          <w:ilvl w:val="0"/>
          <w:numId w:val="23"/>
        </w:numPr>
        <w:rPr>
          <w:rFonts w:ascii="Times New Roman" w:hAnsi="Times New Roman"/>
          <w:sz w:val="24"/>
          <w:szCs w:val="24"/>
        </w:rPr>
      </w:pPr>
      <w:r w:rsidRPr="001E102B">
        <w:rPr>
          <w:rFonts w:ascii="Times New Roman" w:hAnsi="Times New Roman"/>
          <w:sz w:val="24"/>
          <w:szCs w:val="24"/>
        </w:rPr>
        <w:t>Adverse effects of mitotane include GI upset, idiosyncratic hepatotoxicity, central nervous system (CNS) toxicity, and development of transient or permanent hypocortisolism. Bone marrow necrosis has been reported.</w:t>
      </w:r>
    </w:p>
    <w:p w14:paraId="34847A30" w14:textId="77777777" w:rsidR="007B0ABA" w:rsidRPr="001E102B" w:rsidRDefault="007B0ABA" w:rsidP="007B0ABA">
      <w:pPr>
        <w:pStyle w:val="NormalWeb"/>
        <w:rPr>
          <w:rFonts w:ascii="Times New Roman" w:hAnsi="Times New Roman"/>
          <w:b/>
          <w:sz w:val="24"/>
          <w:szCs w:val="24"/>
          <w:u w:val="single"/>
        </w:rPr>
      </w:pPr>
      <w:r w:rsidRPr="001E102B">
        <w:rPr>
          <w:rFonts w:ascii="Times New Roman" w:hAnsi="Times New Roman"/>
          <w:b/>
          <w:sz w:val="24"/>
          <w:szCs w:val="24"/>
          <w:u w:val="single"/>
        </w:rPr>
        <w:t>Trilostane:</w:t>
      </w:r>
    </w:p>
    <w:p w14:paraId="1256E3D4" w14:textId="77777777" w:rsidR="00316E8B" w:rsidRDefault="007B0ABA" w:rsidP="00316E8B">
      <w:pPr>
        <w:pStyle w:val="NormalWeb"/>
        <w:numPr>
          <w:ilvl w:val="0"/>
          <w:numId w:val="21"/>
        </w:numPr>
        <w:rPr>
          <w:rFonts w:ascii="Times New Roman" w:hAnsi="Times New Roman"/>
          <w:sz w:val="24"/>
          <w:szCs w:val="24"/>
        </w:rPr>
      </w:pPr>
      <w:r w:rsidRPr="001E102B">
        <w:rPr>
          <w:rFonts w:ascii="Times New Roman" w:hAnsi="Times New Roman"/>
          <w:b/>
          <w:sz w:val="24"/>
          <w:szCs w:val="24"/>
        </w:rPr>
        <w:t>Action</w:t>
      </w:r>
      <w:r w:rsidRPr="001E102B">
        <w:rPr>
          <w:rFonts w:ascii="Times New Roman" w:hAnsi="Times New Roman"/>
          <w:sz w:val="24"/>
          <w:szCs w:val="24"/>
        </w:rPr>
        <w:t>: is a competiti</w:t>
      </w:r>
      <w:r w:rsidR="00316E8B">
        <w:rPr>
          <w:rFonts w:ascii="Times New Roman" w:hAnsi="Times New Roman"/>
          <w:sz w:val="24"/>
          <w:szCs w:val="24"/>
        </w:rPr>
        <w:t>ve inhibitor of the 3β-hydroxy</w:t>
      </w:r>
      <w:r w:rsidRPr="001E102B">
        <w:rPr>
          <w:rFonts w:ascii="Times New Roman" w:hAnsi="Times New Roman"/>
          <w:sz w:val="24"/>
          <w:szCs w:val="24"/>
        </w:rPr>
        <w:t xml:space="preserve">steroid dehydrogenase enzyme system and blocks the production of both aldosterone and cortisol. </w:t>
      </w:r>
    </w:p>
    <w:p w14:paraId="7ED3617E" w14:textId="2A6EF5A3" w:rsidR="007B0ABA" w:rsidRPr="001E102B" w:rsidRDefault="007B0ABA" w:rsidP="00316E8B">
      <w:pPr>
        <w:pStyle w:val="NormalWeb"/>
        <w:numPr>
          <w:ilvl w:val="0"/>
          <w:numId w:val="21"/>
        </w:numPr>
        <w:rPr>
          <w:rFonts w:ascii="Times New Roman" w:hAnsi="Times New Roman"/>
          <w:sz w:val="24"/>
          <w:szCs w:val="24"/>
        </w:rPr>
      </w:pPr>
      <w:r w:rsidRPr="001E102B">
        <w:rPr>
          <w:rFonts w:ascii="Times New Roman" w:hAnsi="Times New Roman"/>
          <w:sz w:val="24"/>
          <w:szCs w:val="24"/>
        </w:rPr>
        <w:t xml:space="preserve">Trilostane competes with pregnenolone as a substrate for 3β- hydroxysteroid dehydrogenase and results in decreased production of progesterone, the progenitor of almost all steroid hormone production in not only the adrenal gland but also gonadal and placental tissue </w:t>
      </w:r>
    </w:p>
    <w:p w14:paraId="443E8BF4" w14:textId="77777777" w:rsidR="00CE7F1A" w:rsidRPr="001E102B" w:rsidRDefault="00CE7F1A" w:rsidP="00316E8B">
      <w:pPr>
        <w:pStyle w:val="NormalWeb"/>
        <w:numPr>
          <w:ilvl w:val="0"/>
          <w:numId w:val="21"/>
        </w:numPr>
        <w:rPr>
          <w:rFonts w:ascii="Times New Roman" w:hAnsi="Times New Roman"/>
          <w:sz w:val="24"/>
          <w:szCs w:val="24"/>
        </w:rPr>
      </w:pPr>
      <w:r w:rsidRPr="001E102B">
        <w:rPr>
          <w:rFonts w:ascii="Times New Roman" w:hAnsi="Times New Roman"/>
          <w:sz w:val="24"/>
          <w:szCs w:val="24"/>
        </w:rPr>
        <w:t xml:space="preserve">Excessive ACTH production continues in cases of PDH treated with trilostane, and adrenal gland size increases during treatment. </w:t>
      </w:r>
    </w:p>
    <w:p w14:paraId="3E42547A" w14:textId="3F0F8F91" w:rsidR="00CE7F1A" w:rsidRPr="001E102B" w:rsidRDefault="00CE7F1A" w:rsidP="00316E8B">
      <w:pPr>
        <w:pStyle w:val="NormalWeb"/>
        <w:numPr>
          <w:ilvl w:val="0"/>
          <w:numId w:val="21"/>
        </w:numPr>
        <w:rPr>
          <w:rFonts w:ascii="Times New Roman" w:hAnsi="Times New Roman"/>
          <w:sz w:val="24"/>
          <w:szCs w:val="24"/>
        </w:rPr>
      </w:pPr>
      <w:r w:rsidRPr="001E102B">
        <w:rPr>
          <w:rFonts w:ascii="Times New Roman" w:hAnsi="Times New Roman"/>
          <w:sz w:val="24"/>
          <w:szCs w:val="24"/>
        </w:rPr>
        <w:t>The treatment protocol for trilostane differs from that for mitotane in that no distinct induction and maintenance periods exist for trilostane</w:t>
      </w:r>
      <w:r w:rsidR="009A03CC" w:rsidRPr="001E102B">
        <w:rPr>
          <w:rFonts w:ascii="Times New Roman" w:hAnsi="Times New Roman"/>
          <w:sz w:val="24"/>
          <w:szCs w:val="24"/>
        </w:rPr>
        <w:t xml:space="preserve">. </w:t>
      </w:r>
    </w:p>
    <w:p w14:paraId="0008324C" w14:textId="6987E429" w:rsidR="007D0DEF" w:rsidRPr="00316E8B" w:rsidRDefault="007D0DEF" w:rsidP="00316E8B">
      <w:pPr>
        <w:pStyle w:val="ListParagraph"/>
        <w:numPr>
          <w:ilvl w:val="0"/>
          <w:numId w:val="21"/>
        </w:numPr>
        <w:spacing w:before="100" w:beforeAutospacing="1" w:after="100" w:afterAutospacing="1"/>
        <w:rPr>
          <w:rFonts w:ascii="Times New Roman" w:hAnsi="Times New Roman" w:cs="Times New Roman"/>
        </w:rPr>
      </w:pPr>
      <w:r w:rsidRPr="00316E8B">
        <w:rPr>
          <w:rFonts w:ascii="Times New Roman" w:hAnsi="Times New Roman" w:cs="Times New Roman"/>
        </w:rPr>
        <w:t xml:space="preserve">ACTH stimulation testing is the recommended monitoring method and should be conducted 10 to 14 days following initiation of therapy and again 2 weeks later, followed by repeated testing every 3 months. </w:t>
      </w:r>
    </w:p>
    <w:p w14:paraId="4F395CFC" w14:textId="03A3D5CB" w:rsidR="005E306F" w:rsidRDefault="005E306F" w:rsidP="00316E8B">
      <w:pPr>
        <w:pStyle w:val="NormalWeb"/>
        <w:numPr>
          <w:ilvl w:val="0"/>
          <w:numId w:val="21"/>
        </w:numPr>
        <w:rPr>
          <w:rFonts w:ascii="Times New Roman" w:hAnsi="Times New Roman"/>
          <w:sz w:val="24"/>
          <w:szCs w:val="24"/>
        </w:rPr>
      </w:pPr>
      <w:r w:rsidRPr="00B72C6C">
        <w:rPr>
          <w:rFonts w:ascii="Times New Roman" w:hAnsi="Times New Roman"/>
          <w:sz w:val="24"/>
          <w:szCs w:val="24"/>
        </w:rPr>
        <w:t xml:space="preserve">Current recommendations </w:t>
      </w:r>
      <w:r w:rsidR="001E102B" w:rsidRPr="00B72C6C">
        <w:rPr>
          <w:rFonts w:ascii="Times New Roman" w:hAnsi="Times New Roman"/>
          <w:sz w:val="24"/>
          <w:szCs w:val="24"/>
        </w:rPr>
        <w:t>i</w:t>
      </w:r>
      <w:r w:rsidRPr="00B72C6C">
        <w:rPr>
          <w:rFonts w:ascii="Times New Roman" w:hAnsi="Times New Roman"/>
          <w:sz w:val="24"/>
          <w:szCs w:val="24"/>
        </w:rPr>
        <w:t xml:space="preserve">nclude stimulation testing 4 to 6 hours after trilostane administration. </w:t>
      </w:r>
    </w:p>
    <w:p w14:paraId="7A49B086" w14:textId="77777777" w:rsidR="00B72417" w:rsidRPr="00B72C6C" w:rsidRDefault="00B72417" w:rsidP="00B72417">
      <w:pPr>
        <w:pStyle w:val="NormalWeb"/>
        <w:rPr>
          <w:rFonts w:ascii="Times New Roman" w:hAnsi="Times New Roman"/>
          <w:sz w:val="24"/>
          <w:szCs w:val="24"/>
        </w:rPr>
      </w:pPr>
      <w:r w:rsidRPr="00B72C6C">
        <w:rPr>
          <w:rFonts w:ascii="Times New Roman" w:hAnsi="Times New Roman"/>
          <w:sz w:val="24"/>
          <w:szCs w:val="24"/>
        </w:rPr>
        <w:t xml:space="preserve">The use of the urine cortisol:creatinine ratio has not proven adequate in monitoring treatment. </w:t>
      </w:r>
    </w:p>
    <w:p w14:paraId="22AB7204" w14:textId="77777777" w:rsidR="00B977F3" w:rsidRDefault="00B977F3" w:rsidP="00B977F3">
      <w:pPr>
        <w:pStyle w:val="NormalWeb"/>
        <w:rPr>
          <w:rFonts w:ascii="Times New Roman" w:hAnsi="Times New Roman"/>
          <w:sz w:val="24"/>
          <w:szCs w:val="24"/>
        </w:rPr>
      </w:pPr>
      <w:r w:rsidRPr="00B72C6C">
        <w:rPr>
          <w:rFonts w:ascii="Times New Roman" w:hAnsi="Times New Roman"/>
          <w:sz w:val="24"/>
          <w:szCs w:val="24"/>
        </w:rPr>
        <w:t xml:space="preserve">In the largest retrospective study comparing survival times of dogs treated with trilostane or mitotane, no significant difference was found. The median survival time of 123 dogs that received trilostane was 662 days (range: 8 to 1,971 days), whereas the median survival time of 25 dogs treated with mitotane was 708 days (range: 33 to 1,399 days) </w:t>
      </w:r>
    </w:p>
    <w:p w14:paraId="4DF81C45" w14:textId="42616692" w:rsidR="008F30C2" w:rsidRPr="00B72C6C" w:rsidRDefault="008F30C2" w:rsidP="008F30C2">
      <w:pPr>
        <w:pStyle w:val="NormalWeb"/>
        <w:rPr>
          <w:rFonts w:ascii="Times New Roman" w:hAnsi="Times New Roman"/>
          <w:sz w:val="24"/>
          <w:szCs w:val="24"/>
        </w:rPr>
      </w:pPr>
      <w:r>
        <w:rPr>
          <w:rFonts w:ascii="Times New Roman" w:hAnsi="Times New Roman"/>
          <w:sz w:val="24"/>
          <w:szCs w:val="24"/>
        </w:rPr>
        <w:t>*** NOTE: There are reports of sudden death with the use of this medication</w:t>
      </w:r>
    </w:p>
    <w:p w14:paraId="112B8774" w14:textId="77777777" w:rsidR="008F30C2" w:rsidRPr="00B72C6C" w:rsidRDefault="008F30C2" w:rsidP="00B977F3">
      <w:pPr>
        <w:pStyle w:val="NormalWeb"/>
        <w:rPr>
          <w:rFonts w:ascii="Times New Roman" w:hAnsi="Times New Roman"/>
          <w:sz w:val="24"/>
          <w:szCs w:val="24"/>
        </w:rPr>
      </w:pPr>
    </w:p>
    <w:p w14:paraId="19773F12" w14:textId="050BACF3" w:rsidR="00B977F3" w:rsidRPr="00B72C6C" w:rsidRDefault="00004807" w:rsidP="00B977F3">
      <w:pPr>
        <w:pStyle w:val="NormalWeb"/>
        <w:rPr>
          <w:rFonts w:ascii="Times New Roman" w:hAnsi="Times New Roman"/>
          <w:sz w:val="24"/>
          <w:szCs w:val="24"/>
        </w:rPr>
      </w:pPr>
      <w:r w:rsidRPr="00B72C6C">
        <w:rPr>
          <w:rFonts w:ascii="Times New Roman" w:hAnsi="Times New Roman"/>
          <w:b/>
          <w:sz w:val="24"/>
          <w:szCs w:val="24"/>
          <w:u w:val="single"/>
        </w:rPr>
        <w:t>Ketoconazole</w:t>
      </w:r>
      <w:r w:rsidRPr="00B72C6C">
        <w:rPr>
          <w:rFonts w:ascii="Times New Roman" w:hAnsi="Times New Roman"/>
          <w:sz w:val="24"/>
          <w:szCs w:val="24"/>
        </w:rPr>
        <w:t>:</w:t>
      </w:r>
    </w:p>
    <w:p w14:paraId="367447BF" w14:textId="77777777" w:rsidR="00AB2DC7" w:rsidRPr="00B72C6C" w:rsidRDefault="00AB2DC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Ketoconazole is an antifungal that inhibits ergosterol synthesis and fungal cell membrane growth. </w:t>
      </w:r>
    </w:p>
    <w:p w14:paraId="13A511D7" w14:textId="77777777"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It also inhibits mammalian steroidogenesis by inhibiting the cytochrome P-450 enzyme system responsible for both androgen and cortisol production. </w:t>
      </w:r>
    </w:p>
    <w:p w14:paraId="21B118F2" w14:textId="77777777"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Ketoconazole inhibits both the first and last steps in cortisol synthesis (11- deoxy to cortisol). </w:t>
      </w:r>
    </w:p>
    <w:p w14:paraId="54B089D8" w14:textId="2216BDB4"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Ketoconazole also inhibits ACTH secretion from pituitary corticotrophs </w:t>
      </w:r>
    </w:p>
    <w:p w14:paraId="2CCF3423" w14:textId="58D61A5F"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Twenty-one days after initiation of treatment, an ACTH stimulation test should be conducted several hours after drug administration. The dose should be increased—based on incomplete clinical sign response and ACTH stimulation testing </w:t>
      </w:r>
    </w:p>
    <w:p w14:paraId="49A582C6" w14:textId="77777777"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In a study of 60 dogs with hyperadrenocorticism (i.e., both PDH and AT), 75% to 80% of the dogs reportedly had a good clinical response to ketoconazole. The plasma cortisol response to ketoconazole was not significantly different in dogs with PDH versus those with AT. </w:t>
      </w:r>
    </w:p>
    <w:p w14:paraId="4D728147" w14:textId="77777777"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Twenty percent to 25% of dogs fail to respond to ketoconazole, which is likely the result of poor intestinal absorption. </w:t>
      </w:r>
    </w:p>
    <w:p w14:paraId="7EFD6D93" w14:textId="3CD66486" w:rsidR="00740B97" w:rsidRPr="00B72C6C" w:rsidRDefault="00740B97" w:rsidP="00740B97">
      <w:pPr>
        <w:pStyle w:val="NormalWeb"/>
        <w:numPr>
          <w:ilvl w:val="0"/>
          <w:numId w:val="24"/>
        </w:numPr>
        <w:rPr>
          <w:rFonts w:ascii="Times New Roman" w:hAnsi="Times New Roman"/>
          <w:sz w:val="24"/>
          <w:szCs w:val="24"/>
        </w:rPr>
      </w:pPr>
      <w:r w:rsidRPr="00B72C6C">
        <w:rPr>
          <w:rFonts w:ascii="Times New Roman" w:hAnsi="Times New Roman"/>
          <w:sz w:val="24"/>
          <w:szCs w:val="24"/>
        </w:rPr>
        <w:t xml:space="preserve">Rarely reported side effects include transient hypocortisolism, GI upset, and hepatotoxicity. </w:t>
      </w:r>
    </w:p>
    <w:p w14:paraId="4574B2FD" w14:textId="209EFCEE" w:rsidR="007D0DEF" w:rsidRPr="00B72C6C" w:rsidRDefault="00A83A12" w:rsidP="00CE7F1A">
      <w:pPr>
        <w:pStyle w:val="NormalWeb"/>
        <w:rPr>
          <w:rFonts w:ascii="Times New Roman" w:hAnsi="Times New Roman"/>
          <w:sz w:val="24"/>
          <w:szCs w:val="24"/>
        </w:rPr>
      </w:pPr>
      <w:r w:rsidRPr="00B72C6C">
        <w:rPr>
          <w:rFonts w:ascii="Times New Roman" w:hAnsi="Times New Roman"/>
          <w:b/>
          <w:sz w:val="24"/>
          <w:szCs w:val="24"/>
          <w:u w:val="single"/>
        </w:rPr>
        <w:t>Hypophysectomy</w:t>
      </w:r>
      <w:r w:rsidRPr="00B72C6C">
        <w:rPr>
          <w:rFonts w:ascii="Times New Roman" w:hAnsi="Times New Roman"/>
          <w:sz w:val="24"/>
          <w:szCs w:val="24"/>
        </w:rPr>
        <w:t>:</w:t>
      </w:r>
    </w:p>
    <w:p w14:paraId="2FE9B00F" w14:textId="77777777" w:rsidR="00863D49" w:rsidRPr="00B72C6C" w:rsidRDefault="00863D49"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PDH is the result of excess ACTH secretion from adenomatous pituitary corticotrophs that vary in size from microscopic to space-occupying, large pituitary masses </w:t>
      </w:r>
    </w:p>
    <w:p w14:paraId="6E063540" w14:textId="4ED1F67E" w:rsidR="00863D49" w:rsidRPr="00B72C6C" w:rsidRDefault="00863D49"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In approximately 10% of patients with PDH, signs of a space-occupying intracranial mass develop because of macroadenomas. </w:t>
      </w:r>
    </w:p>
    <w:p w14:paraId="2ACF5CB9" w14:textId="77777777" w:rsidR="007C0BFE" w:rsidRPr="00B72C6C" w:rsidRDefault="007C0BFE"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Therapy with both trilostane and mitotane, as already described, actually results in increased ACTH secretion partly due to the removal of negative feedback mechanisms still in effect. This may at least be theorized to promote pituitary tumor growth. </w:t>
      </w:r>
    </w:p>
    <w:p w14:paraId="50ABE2DB" w14:textId="77777777" w:rsidR="007C0BFE" w:rsidRPr="00B72C6C" w:rsidRDefault="007C0BFE"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Hypophysectomy methods have been described in dogs </w:t>
      </w:r>
    </w:p>
    <w:p w14:paraId="74B06FCC" w14:textId="77777777" w:rsidR="005C292E" w:rsidRPr="00B72C6C" w:rsidRDefault="005C292E"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The pituitary is located within the bony sella turcica and varies in position among dogs. </w:t>
      </w:r>
    </w:p>
    <w:p w14:paraId="74E1F8B1" w14:textId="77777777" w:rsidR="005C292E" w:rsidRPr="00B72C6C" w:rsidRDefault="005C292E" w:rsidP="003E2AE9">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With the use of advanced imaging, the sphenoid bone can be removed ventral to the location of the pituitary via a transoral or ventral cervical approach </w:t>
      </w:r>
    </w:p>
    <w:p w14:paraId="250A5781" w14:textId="77777777" w:rsidR="00B25797" w:rsidRPr="00B72C6C" w:rsidRDefault="00B25797" w:rsidP="00B25797">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Ideally, the adenoma would be removed while leaving the remaining normal pituitary tissue intact, but the limited field of view and relatively small size of macroadenomas make this impossible. </w:t>
      </w:r>
    </w:p>
    <w:p w14:paraId="29C4FE89" w14:textId="77777777" w:rsidR="00B25797" w:rsidRPr="00B72C6C" w:rsidRDefault="00B25797" w:rsidP="00B25797">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Therefore, following hypophysectomy, secondary hypothyroidism and hypoadrenocorticism are anticipated; thyroid and glucocorticoid hormone supplementation must be continued lifelong. </w:t>
      </w:r>
    </w:p>
    <w:p w14:paraId="41C0EA06" w14:textId="77777777" w:rsidR="00B25797" w:rsidRPr="00B72C6C" w:rsidRDefault="00B25797" w:rsidP="00B25797">
      <w:pPr>
        <w:pStyle w:val="NormalWeb"/>
        <w:numPr>
          <w:ilvl w:val="0"/>
          <w:numId w:val="27"/>
        </w:numPr>
        <w:rPr>
          <w:rFonts w:ascii="Times New Roman" w:hAnsi="Times New Roman"/>
          <w:sz w:val="24"/>
          <w:szCs w:val="24"/>
        </w:rPr>
      </w:pPr>
      <w:r w:rsidRPr="00B72C6C">
        <w:rPr>
          <w:rFonts w:ascii="Times New Roman" w:hAnsi="Times New Roman"/>
          <w:sz w:val="24"/>
          <w:szCs w:val="24"/>
        </w:rPr>
        <w:t xml:space="preserve">Central diabetes insipidus may occur post hypophysecomty; this is often transient because hypothalamic production of arginine vasopressin can result in antidiuresis. Desmopressin (synthetic antidiuretic hormone) is routinely administered for 2 weeks following surgery and then continued if signs of polyuria persist, indicating persistent central diabetes insipidus. </w:t>
      </w:r>
    </w:p>
    <w:p w14:paraId="480DD894" w14:textId="77777777" w:rsidR="00901913" w:rsidRPr="00B72C6C" w:rsidRDefault="00B25797" w:rsidP="00CE7F1A">
      <w:pPr>
        <w:pStyle w:val="NormalWeb"/>
        <w:numPr>
          <w:ilvl w:val="0"/>
          <w:numId w:val="27"/>
        </w:numPr>
        <w:rPr>
          <w:rFonts w:ascii="Times New Roman" w:hAnsi="Times New Roman"/>
          <w:sz w:val="24"/>
          <w:szCs w:val="24"/>
        </w:rPr>
      </w:pPr>
      <w:r w:rsidRPr="00B72C6C">
        <w:rPr>
          <w:rFonts w:ascii="Times New Roman" w:hAnsi="Times New Roman"/>
          <w:sz w:val="24"/>
          <w:szCs w:val="24"/>
        </w:rPr>
        <w:t>Keratoconjunctivitis sicca developed in 47 of 150 dogs after surgery and is theorized to be the result of traumatic or ischemic injury to the innervation of the lacrimal glands. Schirmer’s tear test values should be monitored and ocular lubrication ins</w:t>
      </w:r>
      <w:r w:rsidR="00901913" w:rsidRPr="00B72C6C">
        <w:rPr>
          <w:rFonts w:ascii="Times New Roman" w:hAnsi="Times New Roman"/>
          <w:sz w:val="24"/>
          <w:szCs w:val="24"/>
        </w:rPr>
        <w:t>tituted if the values decrease.</w:t>
      </w:r>
    </w:p>
    <w:p w14:paraId="42CFA2C6" w14:textId="65DB672B" w:rsidR="00901913" w:rsidRPr="00B72C6C" w:rsidRDefault="00901913" w:rsidP="00901913">
      <w:pPr>
        <w:pStyle w:val="NormalWeb"/>
        <w:ind w:left="360"/>
        <w:rPr>
          <w:rFonts w:ascii="Times New Roman" w:hAnsi="Times New Roman"/>
          <w:sz w:val="24"/>
          <w:szCs w:val="24"/>
        </w:rPr>
      </w:pPr>
      <w:r w:rsidRPr="00B72C6C">
        <w:rPr>
          <w:rFonts w:ascii="Times New Roman" w:hAnsi="Times New Roman"/>
          <w:b/>
          <w:sz w:val="24"/>
          <w:szCs w:val="24"/>
          <w:u w:val="single"/>
        </w:rPr>
        <w:t>Pituitary radiation</w:t>
      </w:r>
      <w:r w:rsidRPr="00B72C6C">
        <w:rPr>
          <w:rFonts w:ascii="Times New Roman" w:hAnsi="Times New Roman"/>
          <w:sz w:val="24"/>
          <w:szCs w:val="24"/>
        </w:rPr>
        <w:t>:</w:t>
      </w:r>
    </w:p>
    <w:p w14:paraId="784F9631" w14:textId="77777777" w:rsidR="00D054ED" w:rsidRPr="00B72C6C" w:rsidRDefault="00D054ED" w:rsidP="00D054ED">
      <w:pPr>
        <w:pStyle w:val="NormalWeb"/>
        <w:numPr>
          <w:ilvl w:val="0"/>
          <w:numId w:val="30"/>
        </w:numPr>
        <w:rPr>
          <w:rFonts w:ascii="Times New Roman" w:hAnsi="Times New Roman"/>
          <w:sz w:val="24"/>
          <w:szCs w:val="24"/>
        </w:rPr>
      </w:pPr>
      <w:r w:rsidRPr="00B72C6C">
        <w:rPr>
          <w:rFonts w:ascii="Times New Roman" w:hAnsi="Times New Roman"/>
          <w:sz w:val="24"/>
          <w:szCs w:val="24"/>
        </w:rPr>
        <w:t xml:space="preserve">Pituitary radiation should be considered in dogs with PDH and a macroadenoma resulting in CNS signs. </w:t>
      </w:r>
    </w:p>
    <w:p w14:paraId="18097E22" w14:textId="3F388B4F" w:rsidR="00D054ED" w:rsidRPr="00B72C6C" w:rsidRDefault="00D054ED" w:rsidP="00D054ED">
      <w:pPr>
        <w:pStyle w:val="NormalWeb"/>
        <w:numPr>
          <w:ilvl w:val="0"/>
          <w:numId w:val="30"/>
        </w:numPr>
        <w:rPr>
          <w:rFonts w:ascii="Times New Roman" w:hAnsi="Times New Roman"/>
          <w:sz w:val="24"/>
          <w:szCs w:val="24"/>
        </w:rPr>
      </w:pPr>
      <w:r w:rsidRPr="00B72C6C">
        <w:rPr>
          <w:rFonts w:ascii="Times New Roman" w:hAnsi="Times New Roman"/>
          <w:sz w:val="24"/>
          <w:szCs w:val="24"/>
        </w:rPr>
        <w:t>May be effective in resolving CNS signs, but not always signs secondary to hypersecretion of ACTH</w:t>
      </w:r>
    </w:p>
    <w:p w14:paraId="585A4741" w14:textId="2041D15C" w:rsidR="00D054ED" w:rsidRPr="00B72C6C" w:rsidRDefault="00D054ED" w:rsidP="00901913">
      <w:pPr>
        <w:pStyle w:val="NormalWeb"/>
        <w:ind w:left="360"/>
        <w:rPr>
          <w:rFonts w:ascii="Times New Roman" w:hAnsi="Times New Roman"/>
          <w:sz w:val="24"/>
          <w:szCs w:val="24"/>
        </w:rPr>
      </w:pPr>
      <w:r w:rsidRPr="00B72C6C">
        <w:rPr>
          <w:rFonts w:ascii="Times New Roman" w:hAnsi="Times New Roman"/>
          <w:b/>
          <w:sz w:val="24"/>
          <w:szCs w:val="24"/>
          <w:u w:val="single"/>
        </w:rPr>
        <w:t>Adrenalectomy</w:t>
      </w:r>
      <w:r w:rsidRPr="00B72C6C">
        <w:rPr>
          <w:rFonts w:ascii="Times New Roman" w:hAnsi="Times New Roman"/>
          <w:sz w:val="24"/>
          <w:szCs w:val="24"/>
        </w:rPr>
        <w:t>:</w:t>
      </w:r>
    </w:p>
    <w:p w14:paraId="32A45847" w14:textId="6DC8F630" w:rsidR="00901913" w:rsidRPr="00B72C6C" w:rsidRDefault="006B135D" w:rsidP="006B135D">
      <w:pPr>
        <w:pStyle w:val="NormalWeb"/>
        <w:numPr>
          <w:ilvl w:val="0"/>
          <w:numId w:val="31"/>
        </w:numPr>
        <w:rPr>
          <w:rFonts w:ascii="Times New Roman" w:hAnsi="Times New Roman"/>
          <w:sz w:val="24"/>
          <w:szCs w:val="24"/>
        </w:rPr>
      </w:pPr>
      <w:r w:rsidRPr="00B72C6C">
        <w:rPr>
          <w:rFonts w:ascii="Times New Roman" w:hAnsi="Times New Roman"/>
          <w:sz w:val="24"/>
          <w:szCs w:val="24"/>
        </w:rPr>
        <w:t>This is the preferred treatment in patients with an adrenal tumor as it offers and opportunity for a cure.</w:t>
      </w:r>
    </w:p>
    <w:p w14:paraId="58F7B163" w14:textId="77777777" w:rsidR="00027773" w:rsidRPr="00795CB7" w:rsidRDefault="00027773" w:rsidP="00027773">
      <w:pPr>
        <w:pStyle w:val="NormalWeb"/>
        <w:numPr>
          <w:ilvl w:val="0"/>
          <w:numId w:val="31"/>
        </w:numPr>
        <w:rPr>
          <w:rFonts w:ascii="Times New Roman" w:hAnsi="Times New Roman"/>
          <w:sz w:val="24"/>
          <w:szCs w:val="24"/>
        </w:rPr>
      </w:pPr>
      <w:r w:rsidRPr="00B72C6C">
        <w:rPr>
          <w:rFonts w:ascii="Times New Roman" w:hAnsi="Times New Roman"/>
          <w:sz w:val="24"/>
          <w:szCs w:val="24"/>
        </w:rPr>
        <w:t xml:space="preserve">Mitotane therapy has been used in nonsurgical cases of AT, but higher doses </w:t>
      </w:r>
      <w:r w:rsidRPr="00795CB7">
        <w:rPr>
          <w:rFonts w:ascii="Times New Roman" w:hAnsi="Times New Roman"/>
          <w:sz w:val="24"/>
          <w:szCs w:val="24"/>
        </w:rPr>
        <w:t>and the risk for metastatic disease with malignant tumors make it a less than ideal choice.</w:t>
      </w:r>
    </w:p>
    <w:p w14:paraId="6F336CE9" w14:textId="315D1109" w:rsidR="00027773" w:rsidRPr="00795CB7" w:rsidRDefault="00027773" w:rsidP="00027773">
      <w:pPr>
        <w:pStyle w:val="NormalWeb"/>
        <w:numPr>
          <w:ilvl w:val="0"/>
          <w:numId w:val="31"/>
        </w:numPr>
        <w:rPr>
          <w:rFonts w:ascii="Times New Roman" w:hAnsi="Times New Roman"/>
          <w:sz w:val="24"/>
          <w:szCs w:val="24"/>
        </w:rPr>
      </w:pPr>
      <w:r w:rsidRPr="00795CB7">
        <w:rPr>
          <w:rFonts w:ascii="Times New Roman" w:hAnsi="Times New Roman"/>
          <w:sz w:val="24"/>
          <w:szCs w:val="24"/>
        </w:rPr>
        <w:t xml:space="preserve">Although bilateral adrenalectomy has been performed in dogs with PDH that cannot tolerate medications or in which hypophysectomy is not pursued, it is used mainly in treating AT. </w:t>
      </w:r>
    </w:p>
    <w:p w14:paraId="3D21C461" w14:textId="1E68BB87" w:rsidR="00795CB7" w:rsidRPr="00F665F2" w:rsidRDefault="00795CB7" w:rsidP="00795CB7">
      <w:pPr>
        <w:pStyle w:val="NormalWeb"/>
        <w:numPr>
          <w:ilvl w:val="0"/>
          <w:numId w:val="31"/>
        </w:numPr>
        <w:rPr>
          <w:rFonts w:ascii="Times New Roman" w:hAnsi="Times New Roman"/>
          <w:sz w:val="24"/>
          <w:szCs w:val="24"/>
        </w:rPr>
      </w:pPr>
      <w:r w:rsidRPr="00795CB7">
        <w:rPr>
          <w:rFonts w:ascii="Times New Roman" w:hAnsi="Times New Roman"/>
          <w:sz w:val="24"/>
          <w:szCs w:val="24"/>
        </w:rPr>
        <w:t xml:space="preserve">Before surgery, medical management may be indicated to control clinical </w:t>
      </w:r>
      <w:r w:rsidRPr="00F665F2">
        <w:rPr>
          <w:rFonts w:ascii="Times New Roman" w:hAnsi="Times New Roman"/>
          <w:sz w:val="24"/>
          <w:szCs w:val="24"/>
        </w:rPr>
        <w:t xml:space="preserve">signs of hyperadrenocorticism, improve healing, and reduce thromboembolic complications. </w:t>
      </w:r>
    </w:p>
    <w:p w14:paraId="6268D2E9" w14:textId="3C46B707" w:rsidR="00795CB7" w:rsidRPr="00F665F2" w:rsidRDefault="00795CB7" w:rsidP="00795CB7">
      <w:pPr>
        <w:pStyle w:val="NormalWeb"/>
        <w:numPr>
          <w:ilvl w:val="0"/>
          <w:numId w:val="31"/>
        </w:numPr>
        <w:rPr>
          <w:rFonts w:ascii="Times New Roman" w:hAnsi="Times New Roman"/>
          <w:sz w:val="24"/>
          <w:szCs w:val="24"/>
        </w:rPr>
      </w:pPr>
      <w:r w:rsidRPr="00F665F2">
        <w:rPr>
          <w:rFonts w:ascii="Times New Roman" w:hAnsi="Times New Roman"/>
          <w:sz w:val="24"/>
          <w:szCs w:val="24"/>
        </w:rPr>
        <w:t xml:space="preserve">Immediately before and after surgery, glucocorticoids and mineralocorticoids should be administered because removal of autonomously functional ATs results in transient hypoadrenocorticism until the atrophied contralateral adrenal gland regains the ability to respond appropriately to ACTH. </w:t>
      </w:r>
    </w:p>
    <w:p w14:paraId="3B434CAE" w14:textId="29C3CFDD" w:rsidR="00F665F2" w:rsidRPr="00F665F2" w:rsidRDefault="00F665F2" w:rsidP="00F665F2">
      <w:pPr>
        <w:pStyle w:val="NormalWeb"/>
        <w:numPr>
          <w:ilvl w:val="0"/>
          <w:numId w:val="31"/>
        </w:numPr>
        <w:rPr>
          <w:rFonts w:ascii="Times New Roman" w:hAnsi="Times New Roman"/>
          <w:sz w:val="24"/>
          <w:szCs w:val="24"/>
        </w:rPr>
      </w:pPr>
      <w:r w:rsidRPr="00F665F2">
        <w:rPr>
          <w:rFonts w:ascii="Times New Roman" w:hAnsi="Times New Roman"/>
          <w:sz w:val="24"/>
          <w:szCs w:val="24"/>
        </w:rPr>
        <w:t xml:space="preserve">The median survival time of dogs with carcinomas was 778 days, and the median survival time of dogs with adenomas was not obtained because none of these dogs died from adrenal disease or related complications. </w:t>
      </w:r>
    </w:p>
    <w:p w14:paraId="4E6B8712" w14:textId="77777777" w:rsidR="004E51A9" w:rsidRDefault="004E51A9" w:rsidP="004E51A9">
      <w:pPr>
        <w:pStyle w:val="NormalWeb"/>
        <w:rPr>
          <w:rFonts w:ascii="Times New Roman" w:hAnsi="Times New Roman"/>
          <w:sz w:val="24"/>
          <w:szCs w:val="24"/>
        </w:rPr>
      </w:pPr>
    </w:p>
    <w:p w14:paraId="30E72E95" w14:textId="032BA852" w:rsidR="00795CB7" w:rsidRPr="00FF5C94" w:rsidRDefault="004E51A9" w:rsidP="004E51A9">
      <w:pPr>
        <w:pStyle w:val="NormalWeb"/>
        <w:rPr>
          <w:rFonts w:ascii="Times New Roman" w:hAnsi="Times New Roman"/>
          <w:b/>
          <w:sz w:val="24"/>
          <w:szCs w:val="24"/>
        </w:rPr>
      </w:pPr>
      <w:r w:rsidRPr="00FF5C94">
        <w:rPr>
          <w:rFonts w:ascii="Times New Roman" w:hAnsi="Times New Roman"/>
          <w:b/>
          <w:sz w:val="24"/>
          <w:szCs w:val="24"/>
        </w:rPr>
        <w:t>Other:</w:t>
      </w:r>
    </w:p>
    <w:p w14:paraId="5A5A1F31" w14:textId="3FE4C928" w:rsidR="004E51A9" w:rsidRPr="0063035D" w:rsidRDefault="004E51A9" w:rsidP="004E51A9">
      <w:pPr>
        <w:pStyle w:val="NormalWeb"/>
      </w:pPr>
      <w:r w:rsidRPr="00FF5C94">
        <w:rPr>
          <w:rFonts w:ascii="Times New Roman" w:hAnsi="Times New Roman"/>
          <w:sz w:val="24"/>
          <w:szCs w:val="24"/>
        </w:rPr>
        <w:t xml:space="preserve">Metyrapone is an 11βhydroxylase inhibitor that inhibits the final step in adrenal </w:t>
      </w:r>
      <w:r w:rsidRPr="001D22C1">
        <w:rPr>
          <w:rFonts w:ascii="Times New Roman" w:hAnsi="Times New Roman"/>
          <w:sz w:val="24"/>
          <w:szCs w:val="24"/>
        </w:rPr>
        <w:t xml:space="preserve">steroidogenesis. </w:t>
      </w:r>
      <w:r w:rsidR="0055263E" w:rsidRPr="0055263E">
        <w:rPr>
          <w:rFonts w:ascii="ACaslon" w:hAnsi="ACaslon"/>
          <w:b/>
          <w:i/>
          <w:sz w:val="22"/>
          <w:szCs w:val="22"/>
        </w:rPr>
        <w:t>The efficacy of steroidogenesis inhibitors is limited by the fact that progressive increases in ACTH secretion can eventually overwhelm the ability of the drugs to inhibit adrenal cortisol production.</w:t>
      </w:r>
      <w:r w:rsidR="0055263E">
        <w:rPr>
          <w:rFonts w:ascii="ACaslon" w:hAnsi="ACaslon"/>
          <w:sz w:val="22"/>
          <w:szCs w:val="22"/>
        </w:rPr>
        <w:t xml:space="preserve"> </w:t>
      </w:r>
    </w:p>
    <w:p w14:paraId="4F7B77A0" w14:textId="77777777" w:rsidR="00E7070B" w:rsidRPr="001D22C1" w:rsidRDefault="00E7070B" w:rsidP="00E7070B">
      <w:pPr>
        <w:pStyle w:val="NormalWeb"/>
        <w:rPr>
          <w:rFonts w:ascii="Times New Roman" w:hAnsi="Times New Roman"/>
          <w:sz w:val="24"/>
          <w:szCs w:val="24"/>
        </w:rPr>
      </w:pPr>
      <w:r w:rsidRPr="001D22C1">
        <w:rPr>
          <w:rFonts w:ascii="Times New Roman" w:hAnsi="Times New Roman"/>
          <w:sz w:val="24"/>
          <w:szCs w:val="24"/>
        </w:rPr>
        <w:t xml:space="preserve">Aminoglutethimide, a cytochrome P-450 enzyme inhibitor that blocks the conversion of cholesterol to pregnenolone, has been demonstrated to reduce cortisol secretion in normal dogs. </w:t>
      </w:r>
    </w:p>
    <w:p w14:paraId="109249A5" w14:textId="77777777" w:rsidR="009B5C08" w:rsidRPr="00563538" w:rsidRDefault="00FF5C94" w:rsidP="009B5C08">
      <w:pPr>
        <w:pStyle w:val="NormalWeb"/>
        <w:rPr>
          <w:rFonts w:ascii="Times New Roman" w:hAnsi="Times New Roman"/>
          <w:sz w:val="24"/>
          <w:szCs w:val="24"/>
        </w:rPr>
      </w:pPr>
      <w:r w:rsidRPr="001D22C1">
        <w:rPr>
          <w:rFonts w:ascii="Times New Roman" w:hAnsi="Times New Roman"/>
          <w:sz w:val="24"/>
          <w:szCs w:val="24"/>
        </w:rPr>
        <w:t>Mifepristone (RU-486) is a ster</w:t>
      </w:r>
      <w:r w:rsidR="009B5C08" w:rsidRPr="001D22C1">
        <w:rPr>
          <w:rFonts w:ascii="Times New Roman" w:hAnsi="Times New Roman"/>
          <w:sz w:val="24"/>
          <w:szCs w:val="24"/>
        </w:rPr>
        <w:t>oid analogue that is a competi</w:t>
      </w:r>
      <w:r w:rsidRPr="001D22C1">
        <w:rPr>
          <w:rFonts w:ascii="Times New Roman" w:hAnsi="Times New Roman"/>
          <w:sz w:val="24"/>
          <w:szCs w:val="24"/>
        </w:rPr>
        <w:t xml:space="preserve">tive inhibitor of progesterone and glucocorticoids at receptor sites. Administration of the drug results in </w:t>
      </w:r>
      <w:r w:rsidRPr="0006633C">
        <w:rPr>
          <w:rFonts w:ascii="Times New Roman" w:hAnsi="Times New Roman"/>
          <w:sz w:val="24"/>
          <w:szCs w:val="24"/>
        </w:rPr>
        <w:t xml:space="preserve">increases in measured serum levels of both cortisol and ACTH but reduces cellular effects of cortisol and thus the clinical signs of hyperadrenocorticism. </w:t>
      </w:r>
      <w:r w:rsidR="009B5C08" w:rsidRPr="0006633C">
        <w:rPr>
          <w:rFonts w:ascii="Times New Roman" w:hAnsi="Times New Roman"/>
          <w:sz w:val="24"/>
          <w:szCs w:val="24"/>
        </w:rPr>
        <w:t>Side effects reported in people are generally attributable to hypocor- tisolism and resolve when the drug is removed. The drug has been shown to be effective in treating people with AT and syndromes of ectopic ACTH secretion, but not in cases of PDH because increased ACTH secretion and subsequent hypercortisolemia overwhelm the drug’s competitive receptor blockade</w:t>
      </w:r>
      <w:r w:rsidR="009B5C08" w:rsidRPr="00563538">
        <w:rPr>
          <w:rFonts w:ascii="Times New Roman" w:hAnsi="Times New Roman"/>
          <w:sz w:val="24"/>
          <w:szCs w:val="24"/>
        </w:rPr>
        <w:t xml:space="preserve">. </w:t>
      </w:r>
    </w:p>
    <w:p w14:paraId="50016FBE" w14:textId="77777777" w:rsidR="001D22C1" w:rsidRPr="00563538" w:rsidRDefault="00671924" w:rsidP="001D22C1">
      <w:pPr>
        <w:pStyle w:val="NormalWeb"/>
        <w:rPr>
          <w:rFonts w:ascii="Times New Roman" w:hAnsi="Times New Roman"/>
          <w:sz w:val="24"/>
          <w:szCs w:val="24"/>
        </w:rPr>
      </w:pPr>
      <w:r w:rsidRPr="00563538">
        <w:rPr>
          <w:rFonts w:ascii="Times New Roman" w:hAnsi="Times New Roman"/>
          <w:sz w:val="24"/>
          <w:szCs w:val="24"/>
        </w:rPr>
        <w:t xml:space="preserve">Selegiline (i.e., L-deprenyl) is a monoamine oxidase inhibitor that enhances CNS dopamine concentrations. Dopamine inhibits pituitary pars intermedia ACTH secretion and thus has been proposed as a centrally acting therapy for PDH. However, approximately 70% of canine PDH cases are caused by adenomatous changes of a pituitary pars distalis cell type that secretes ACTH independent of dopaminergic control. </w:t>
      </w:r>
      <w:r w:rsidR="001D22C1" w:rsidRPr="00563538">
        <w:rPr>
          <w:rFonts w:ascii="Times New Roman" w:hAnsi="Times New Roman"/>
          <w:sz w:val="24"/>
          <w:szCs w:val="24"/>
        </w:rPr>
        <w:t xml:space="preserve">There is no indication for the use of L-deprenyl in treating AT. </w:t>
      </w:r>
    </w:p>
    <w:p w14:paraId="0ECFAE54" w14:textId="7D3D1B82" w:rsidR="00721388" w:rsidRPr="00563538" w:rsidRDefault="00721388" w:rsidP="00721388">
      <w:pPr>
        <w:pStyle w:val="NormalWeb"/>
        <w:rPr>
          <w:rFonts w:ascii="Times New Roman" w:hAnsi="Times New Roman"/>
          <w:sz w:val="24"/>
          <w:szCs w:val="24"/>
        </w:rPr>
      </w:pPr>
      <w:r w:rsidRPr="00563538">
        <w:rPr>
          <w:rFonts w:ascii="Times New Roman" w:hAnsi="Times New Roman"/>
          <w:sz w:val="24"/>
          <w:szCs w:val="24"/>
        </w:rPr>
        <w:t xml:space="preserve">Cyproheptadine is not recommended for the treatment of hyperadrenocorticism in dogs. It was thought that serotonin supports increased ACTH secretion, however this drug has not proven to be effective. </w:t>
      </w:r>
    </w:p>
    <w:p w14:paraId="70A30ADD" w14:textId="691EF97D" w:rsidR="00563538" w:rsidRPr="00563538" w:rsidRDefault="00563538" w:rsidP="00563538">
      <w:pPr>
        <w:pStyle w:val="NormalWeb"/>
        <w:rPr>
          <w:rFonts w:ascii="Times New Roman" w:hAnsi="Times New Roman"/>
          <w:sz w:val="24"/>
          <w:szCs w:val="24"/>
        </w:rPr>
      </w:pPr>
      <w:r w:rsidRPr="00563538">
        <w:rPr>
          <w:rFonts w:ascii="Times New Roman" w:hAnsi="Times New Roman"/>
          <w:sz w:val="24"/>
          <w:szCs w:val="24"/>
        </w:rPr>
        <w:t xml:space="preserve">Bromocriptine, a dopamine agonist, has been evaluated in treating canine PDH. Mehanism of action of the drug (i.e., increasing CNS dopamine concentrations and inhibiting ACTH secretion) is ultimately similar to that of selegiline. Just like selegiline, bromocriptine has not been shown to be effective in cases of PDH in dogs and is not recommended </w:t>
      </w:r>
    </w:p>
    <w:p w14:paraId="64560D05" w14:textId="77777777" w:rsidR="00563538" w:rsidRDefault="00563538" w:rsidP="00563538">
      <w:pPr>
        <w:pStyle w:val="NormalWeb"/>
      </w:pPr>
    </w:p>
    <w:p w14:paraId="243D96C6" w14:textId="77777777" w:rsidR="0063035D" w:rsidRDefault="0063035D" w:rsidP="00563538">
      <w:pPr>
        <w:pStyle w:val="NormalWeb"/>
      </w:pPr>
    </w:p>
    <w:p w14:paraId="69CDEA11" w14:textId="77777777" w:rsidR="0063035D" w:rsidRDefault="0063035D" w:rsidP="00563538">
      <w:pPr>
        <w:pStyle w:val="NormalWeb"/>
      </w:pPr>
    </w:p>
    <w:p w14:paraId="1B997A99" w14:textId="77777777" w:rsidR="0063035D" w:rsidRDefault="0063035D" w:rsidP="00563538">
      <w:pPr>
        <w:pStyle w:val="NormalWeb"/>
      </w:pPr>
    </w:p>
    <w:p w14:paraId="7157EF6B" w14:textId="563A9422" w:rsidR="00CE7F1A" w:rsidRPr="00901913" w:rsidRDefault="00B81BC0" w:rsidP="00563538">
      <w:pPr>
        <w:pStyle w:val="NormalWeb"/>
        <w:rPr>
          <w:rFonts w:ascii="Times New Roman" w:hAnsi="Times New Roman"/>
          <w:sz w:val="24"/>
          <w:szCs w:val="24"/>
        </w:rPr>
      </w:pPr>
      <w:r w:rsidRPr="00901913">
        <w:rPr>
          <w:rFonts w:ascii="Times New Roman" w:hAnsi="Times New Roman"/>
          <w:b/>
          <w:sz w:val="24"/>
          <w:szCs w:val="24"/>
        </w:rPr>
        <w:t>Questions:</w:t>
      </w:r>
    </w:p>
    <w:p w14:paraId="376C403B" w14:textId="77777777" w:rsidR="00B81BC0" w:rsidRPr="003379F3" w:rsidRDefault="00B81BC0" w:rsidP="00B81BC0">
      <w:pPr>
        <w:pStyle w:val="NormalWeb"/>
        <w:numPr>
          <w:ilvl w:val="0"/>
          <w:numId w:val="16"/>
        </w:numPr>
        <w:rPr>
          <w:rFonts w:ascii="Times New Roman" w:hAnsi="Times New Roman"/>
          <w:sz w:val="24"/>
          <w:szCs w:val="24"/>
        </w:rPr>
      </w:pPr>
      <w:r w:rsidRPr="003379F3">
        <w:rPr>
          <w:rFonts w:ascii="Times New Roman" w:hAnsi="Times New Roman"/>
          <w:sz w:val="24"/>
          <w:szCs w:val="24"/>
        </w:rPr>
        <w:t>How does Mitotane work?</w:t>
      </w:r>
    </w:p>
    <w:p w14:paraId="3A0BB86A" w14:textId="77777777" w:rsidR="00B81BC0" w:rsidRPr="003379F3" w:rsidRDefault="00B81BC0" w:rsidP="00B81BC0">
      <w:pPr>
        <w:pStyle w:val="NormalWeb"/>
        <w:ind w:left="360"/>
        <w:rPr>
          <w:rFonts w:ascii="Times New Roman" w:hAnsi="Times New Roman"/>
          <w:sz w:val="24"/>
          <w:szCs w:val="24"/>
        </w:rPr>
      </w:pPr>
      <w:r w:rsidRPr="003379F3">
        <w:rPr>
          <w:rFonts w:ascii="Times New Roman" w:hAnsi="Times New Roman"/>
          <w:b/>
          <w:sz w:val="24"/>
          <w:szCs w:val="24"/>
        </w:rPr>
        <w:t>Answer:</w:t>
      </w:r>
      <w:r w:rsidRPr="003379F3">
        <w:rPr>
          <w:rFonts w:ascii="Times New Roman" w:hAnsi="Times New Roman"/>
          <w:sz w:val="24"/>
          <w:szCs w:val="24"/>
        </w:rPr>
        <w:t xml:space="preserve"> A potent adrenocorticolytic agent: results in progressive adrenocortical necrosis of the zona fasciculata and zona reticularis.</w:t>
      </w:r>
    </w:p>
    <w:p w14:paraId="73389B00" w14:textId="64FF4845" w:rsidR="00B81BC0" w:rsidRPr="003379F3" w:rsidRDefault="00B81BC0" w:rsidP="00A546A8">
      <w:pPr>
        <w:pStyle w:val="NormalWeb"/>
        <w:ind w:left="360"/>
        <w:rPr>
          <w:rFonts w:ascii="Times New Roman" w:hAnsi="Times New Roman"/>
          <w:sz w:val="24"/>
          <w:szCs w:val="24"/>
        </w:rPr>
      </w:pPr>
      <w:r w:rsidRPr="003379F3">
        <w:rPr>
          <w:rFonts w:ascii="Times New Roman" w:hAnsi="Times New Roman"/>
          <w:sz w:val="24"/>
          <w:szCs w:val="24"/>
        </w:rPr>
        <w:t>(activated within adrenocortical tissue to a reactive acyl chloride intermediate and subsequently is covalently bound to adrenal proteins, resulting in progressive cortical necrosis)</w:t>
      </w:r>
    </w:p>
    <w:p w14:paraId="67D689FD" w14:textId="2B7E643F" w:rsidR="00B81BC0" w:rsidRPr="003379F3" w:rsidRDefault="00B81BC0" w:rsidP="00B81BC0">
      <w:pPr>
        <w:pStyle w:val="NormalWeb"/>
        <w:numPr>
          <w:ilvl w:val="0"/>
          <w:numId w:val="16"/>
        </w:numPr>
        <w:rPr>
          <w:rFonts w:ascii="Times New Roman" w:hAnsi="Times New Roman"/>
          <w:sz w:val="24"/>
          <w:szCs w:val="24"/>
        </w:rPr>
      </w:pPr>
      <w:r w:rsidRPr="003379F3">
        <w:rPr>
          <w:rFonts w:ascii="Times New Roman" w:hAnsi="Times New Roman"/>
          <w:sz w:val="24"/>
          <w:szCs w:val="24"/>
        </w:rPr>
        <w:t>How does Trilostane work?</w:t>
      </w:r>
    </w:p>
    <w:p w14:paraId="7211C219" w14:textId="77777777" w:rsidR="00A546A8" w:rsidRPr="003379F3" w:rsidRDefault="00A546A8" w:rsidP="00A546A8">
      <w:pPr>
        <w:pStyle w:val="NormalWeb"/>
        <w:ind w:left="720"/>
        <w:rPr>
          <w:rFonts w:ascii="Times New Roman" w:hAnsi="Times New Roman"/>
          <w:sz w:val="24"/>
          <w:szCs w:val="24"/>
        </w:rPr>
      </w:pPr>
      <w:r w:rsidRPr="00863D49">
        <w:rPr>
          <w:rFonts w:ascii="Times New Roman" w:hAnsi="Times New Roman"/>
          <w:b/>
          <w:sz w:val="24"/>
          <w:szCs w:val="24"/>
        </w:rPr>
        <w:t>Answer</w:t>
      </w:r>
      <w:r w:rsidRPr="003379F3">
        <w:rPr>
          <w:rFonts w:ascii="Times New Roman" w:hAnsi="Times New Roman"/>
          <w:sz w:val="24"/>
          <w:szCs w:val="24"/>
        </w:rPr>
        <w:t xml:space="preserve">: Competitively inhibits the 3β-hydroxysteroid dehydrogenase enzyme system and blocks the production of both aldosterone and cortisol. </w:t>
      </w:r>
    </w:p>
    <w:p w14:paraId="316397F7" w14:textId="5A4D3C3F" w:rsidR="00C71736" w:rsidRDefault="003379F3" w:rsidP="003379F3">
      <w:pPr>
        <w:pStyle w:val="NormalWeb"/>
        <w:ind w:left="720"/>
        <w:rPr>
          <w:rFonts w:ascii="Times New Roman" w:hAnsi="Times New Roman"/>
          <w:sz w:val="24"/>
          <w:szCs w:val="24"/>
        </w:rPr>
      </w:pPr>
      <w:r w:rsidRPr="003379F3">
        <w:rPr>
          <w:rFonts w:ascii="Times New Roman" w:hAnsi="Times New Roman"/>
          <w:sz w:val="24"/>
          <w:szCs w:val="24"/>
        </w:rPr>
        <w:t>(</w:t>
      </w:r>
      <w:r w:rsidR="00A546A8" w:rsidRPr="003379F3">
        <w:rPr>
          <w:rFonts w:ascii="Times New Roman" w:hAnsi="Times New Roman"/>
          <w:sz w:val="24"/>
          <w:szCs w:val="24"/>
        </w:rPr>
        <w:t>Trilostane competes with pregnenolone as a substrate for 3β- hydroxysteroid dehydrogenase and results in decreased production of progesterone, the progenitor of almost all steroid hormone production</w:t>
      </w:r>
      <w:r w:rsidRPr="003379F3">
        <w:rPr>
          <w:rFonts w:ascii="Times New Roman" w:hAnsi="Times New Roman"/>
          <w:sz w:val="24"/>
          <w:szCs w:val="24"/>
        </w:rPr>
        <w:t>)</w:t>
      </w:r>
    </w:p>
    <w:p w14:paraId="7236191B" w14:textId="2249E01E" w:rsidR="00863D49" w:rsidRDefault="00863D49" w:rsidP="00863D49">
      <w:pPr>
        <w:pStyle w:val="NormalWeb"/>
        <w:numPr>
          <w:ilvl w:val="0"/>
          <w:numId w:val="16"/>
        </w:numPr>
        <w:rPr>
          <w:rFonts w:ascii="Times New Roman" w:hAnsi="Times New Roman"/>
          <w:sz w:val="24"/>
          <w:szCs w:val="24"/>
        </w:rPr>
      </w:pPr>
      <w:r w:rsidRPr="00863D49">
        <w:rPr>
          <w:rFonts w:ascii="Times New Roman" w:hAnsi="Times New Roman"/>
          <w:sz w:val="24"/>
          <w:szCs w:val="24"/>
        </w:rPr>
        <w:t xml:space="preserve">In approximately ____% of patients with PDH, signs of a space-occupying intracranial mass develop because of macroadenomas. </w:t>
      </w:r>
    </w:p>
    <w:p w14:paraId="186E6D47" w14:textId="1710D3C6" w:rsidR="00863D49" w:rsidRDefault="00863D49" w:rsidP="00863D49">
      <w:pPr>
        <w:pStyle w:val="NormalWeb"/>
        <w:numPr>
          <w:ilvl w:val="0"/>
          <w:numId w:val="26"/>
        </w:numPr>
        <w:rPr>
          <w:rFonts w:ascii="Times New Roman" w:hAnsi="Times New Roman"/>
          <w:sz w:val="24"/>
          <w:szCs w:val="24"/>
        </w:rPr>
      </w:pPr>
      <w:r>
        <w:rPr>
          <w:rFonts w:ascii="Times New Roman" w:hAnsi="Times New Roman"/>
          <w:sz w:val="24"/>
          <w:szCs w:val="24"/>
        </w:rPr>
        <w:t>2%</w:t>
      </w:r>
    </w:p>
    <w:p w14:paraId="1AF3C8F1" w14:textId="1A860930" w:rsidR="00863D49" w:rsidRDefault="00863D49" w:rsidP="00863D49">
      <w:pPr>
        <w:pStyle w:val="NormalWeb"/>
        <w:numPr>
          <w:ilvl w:val="0"/>
          <w:numId w:val="26"/>
        </w:numPr>
        <w:rPr>
          <w:rFonts w:ascii="Times New Roman" w:hAnsi="Times New Roman"/>
          <w:sz w:val="24"/>
          <w:szCs w:val="24"/>
        </w:rPr>
      </w:pPr>
      <w:r>
        <w:rPr>
          <w:rFonts w:ascii="Times New Roman" w:hAnsi="Times New Roman"/>
          <w:sz w:val="24"/>
          <w:szCs w:val="24"/>
        </w:rPr>
        <w:t>5%</w:t>
      </w:r>
    </w:p>
    <w:p w14:paraId="15709162" w14:textId="6493E2A2" w:rsidR="00863D49" w:rsidRDefault="00863D49" w:rsidP="00863D49">
      <w:pPr>
        <w:pStyle w:val="NormalWeb"/>
        <w:numPr>
          <w:ilvl w:val="0"/>
          <w:numId w:val="26"/>
        </w:numPr>
        <w:rPr>
          <w:rFonts w:ascii="Times New Roman" w:hAnsi="Times New Roman"/>
          <w:sz w:val="24"/>
          <w:szCs w:val="24"/>
        </w:rPr>
      </w:pPr>
      <w:r>
        <w:rPr>
          <w:rFonts w:ascii="Times New Roman" w:hAnsi="Times New Roman"/>
          <w:sz w:val="24"/>
          <w:szCs w:val="24"/>
        </w:rPr>
        <w:t>7%</w:t>
      </w:r>
    </w:p>
    <w:p w14:paraId="231B2CD6" w14:textId="42F21514" w:rsidR="00863D49" w:rsidRPr="00863D49" w:rsidRDefault="00863D49" w:rsidP="00863D49">
      <w:pPr>
        <w:pStyle w:val="NormalWeb"/>
        <w:numPr>
          <w:ilvl w:val="0"/>
          <w:numId w:val="26"/>
        </w:numPr>
        <w:rPr>
          <w:rFonts w:ascii="Times New Roman" w:hAnsi="Times New Roman"/>
          <w:b/>
          <w:sz w:val="24"/>
          <w:szCs w:val="24"/>
        </w:rPr>
      </w:pPr>
      <w:r w:rsidRPr="00863D49">
        <w:rPr>
          <w:rFonts w:ascii="Times New Roman" w:hAnsi="Times New Roman"/>
          <w:b/>
          <w:sz w:val="24"/>
          <w:szCs w:val="24"/>
        </w:rPr>
        <w:t>10%</w:t>
      </w:r>
    </w:p>
    <w:p w14:paraId="5F62F297" w14:textId="4705D2E1" w:rsidR="00863D49" w:rsidRDefault="00863D49" w:rsidP="0063035D">
      <w:pPr>
        <w:pStyle w:val="NormalWeb"/>
        <w:ind w:left="720"/>
        <w:rPr>
          <w:rFonts w:ascii="Times New Roman" w:hAnsi="Times New Roman"/>
          <w:sz w:val="24"/>
          <w:szCs w:val="24"/>
        </w:rPr>
      </w:pPr>
      <w:r>
        <w:rPr>
          <w:rFonts w:ascii="Times New Roman" w:hAnsi="Times New Roman"/>
          <w:sz w:val="24"/>
          <w:szCs w:val="24"/>
        </w:rPr>
        <w:t>Answer: D.10%</w:t>
      </w:r>
    </w:p>
    <w:p w14:paraId="4577E94A" w14:textId="77777777" w:rsidR="0063035D" w:rsidRPr="00863D49" w:rsidRDefault="0063035D" w:rsidP="00A82FBC">
      <w:pPr>
        <w:pStyle w:val="NormalWeb"/>
        <w:rPr>
          <w:rFonts w:ascii="Times New Roman" w:hAnsi="Times New Roman"/>
          <w:sz w:val="24"/>
          <w:szCs w:val="24"/>
        </w:rPr>
      </w:pPr>
    </w:p>
    <w:p w14:paraId="206E201D" w14:textId="640B9287" w:rsidR="00863D49" w:rsidRDefault="00B25797" w:rsidP="00B25797">
      <w:pPr>
        <w:pStyle w:val="NormalWeb"/>
        <w:numPr>
          <w:ilvl w:val="0"/>
          <w:numId w:val="16"/>
        </w:numPr>
        <w:rPr>
          <w:sz w:val="24"/>
          <w:szCs w:val="24"/>
        </w:rPr>
      </w:pPr>
      <w:r w:rsidRPr="00B25797">
        <w:rPr>
          <w:sz w:val="24"/>
          <w:szCs w:val="24"/>
        </w:rPr>
        <w:t>L</w:t>
      </w:r>
      <w:r>
        <w:rPr>
          <w:sz w:val="24"/>
          <w:szCs w:val="24"/>
        </w:rPr>
        <w:t>ist at least 2</w:t>
      </w:r>
      <w:r w:rsidRPr="00B25797">
        <w:rPr>
          <w:sz w:val="24"/>
          <w:szCs w:val="24"/>
        </w:rPr>
        <w:t xml:space="preserve"> common endocrine disorders that are likely to occur following a hypohysectomy:</w:t>
      </w:r>
    </w:p>
    <w:p w14:paraId="7A696A38" w14:textId="2B014133" w:rsidR="00B25797" w:rsidRPr="00B25797" w:rsidRDefault="00B25797" w:rsidP="00B25797">
      <w:pPr>
        <w:pStyle w:val="NormalWeb"/>
        <w:ind w:left="720"/>
        <w:rPr>
          <w:sz w:val="24"/>
          <w:szCs w:val="24"/>
        </w:rPr>
      </w:pPr>
      <w:r w:rsidRPr="00B25797">
        <w:rPr>
          <w:b/>
          <w:sz w:val="24"/>
          <w:szCs w:val="24"/>
        </w:rPr>
        <w:t>Answer:</w:t>
      </w:r>
      <w:r>
        <w:rPr>
          <w:sz w:val="24"/>
          <w:szCs w:val="24"/>
        </w:rPr>
        <w:t xml:space="preserve"> Hypothyroidism, Hypoadrenocorticism, central DI</w:t>
      </w:r>
    </w:p>
    <w:p w14:paraId="75341775" w14:textId="77777777" w:rsidR="00B25797" w:rsidRDefault="00B25797" w:rsidP="00863D49">
      <w:pPr>
        <w:pStyle w:val="NormalWeb"/>
      </w:pPr>
    </w:p>
    <w:p w14:paraId="482BDE4B" w14:textId="77777777" w:rsidR="00CD78AD" w:rsidRDefault="00CD78AD" w:rsidP="00863D49">
      <w:pPr>
        <w:pStyle w:val="NormalWeb"/>
      </w:pPr>
    </w:p>
    <w:p w14:paraId="55FBB418" w14:textId="77777777" w:rsidR="00CD78AD" w:rsidRDefault="00CD78AD" w:rsidP="00863D49">
      <w:pPr>
        <w:pStyle w:val="NormalWeb"/>
      </w:pPr>
    </w:p>
    <w:p w14:paraId="3438D62F" w14:textId="77777777" w:rsidR="00CD78AD" w:rsidRDefault="00CD78AD" w:rsidP="00863D49">
      <w:pPr>
        <w:pStyle w:val="NormalWeb"/>
      </w:pPr>
    </w:p>
    <w:p w14:paraId="037D9E46" w14:textId="77777777" w:rsidR="00CD78AD" w:rsidRDefault="00CD78AD" w:rsidP="00863D49">
      <w:pPr>
        <w:pStyle w:val="NormalWeb"/>
      </w:pPr>
    </w:p>
    <w:p w14:paraId="39C36770" w14:textId="77777777" w:rsidR="00A33C0E" w:rsidRDefault="00CD78AD" w:rsidP="00863D49">
      <w:pPr>
        <w:pStyle w:val="NormalWeb"/>
        <w:rPr>
          <w:rFonts w:ascii="Times New Roman" w:hAnsi="Times New Roman"/>
          <w:b/>
          <w:sz w:val="24"/>
          <w:szCs w:val="24"/>
          <w:u w:val="single"/>
        </w:rPr>
      </w:pPr>
      <w:r w:rsidRPr="00CD78AD">
        <w:rPr>
          <w:rFonts w:ascii="Times New Roman" w:hAnsi="Times New Roman"/>
          <w:b/>
          <w:sz w:val="24"/>
          <w:szCs w:val="24"/>
          <w:u w:val="single"/>
        </w:rPr>
        <w:t>Testing for Hyperthyroidism in cats</w:t>
      </w:r>
    </w:p>
    <w:p w14:paraId="2B721BA2" w14:textId="18640117" w:rsidR="00CD78AD" w:rsidRPr="00A33C0E" w:rsidRDefault="00CD78AD" w:rsidP="00863D49">
      <w:pPr>
        <w:pStyle w:val="NormalWeb"/>
        <w:rPr>
          <w:rFonts w:ascii="Times New Roman" w:hAnsi="Times New Roman"/>
          <w:b/>
          <w:sz w:val="24"/>
          <w:szCs w:val="24"/>
          <w:u w:val="single"/>
        </w:rPr>
      </w:pPr>
      <w:r>
        <w:rPr>
          <w:rFonts w:ascii="Times New Roman" w:hAnsi="Times New Roman"/>
          <w:sz w:val="24"/>
          <w:szCs w:val="24"/>
        </w:rPr>
        <w:t>Vet Clin Small Animal 37 (2007) 671-691</w:t>
      </w:r>
    </w:p>
    <w:p w14:paraId="528CF08B" w14:textId="598842D9" w:rsidR="003B2A27" w:rsidRPr="003B2A27" w:rsidRDefault="003B2A27" w:rsidP="00863D49">
      <w:pPr>
        <w:pStyle w:val="NormalWeb"/>
        <w:rPr>
          <w:rFonts w:ascii="Times New Roman" w:hAnsi="Times New Roman"/>
          <w:b/>
          <w:sz w:val="24"/>
          <w:szCs w:val="24"/>
        </w:rPr>
      </w:pPr>
      <w:r w:rsidRPr="003B2A27">
        <w:rPr>
          <w:rFonts w:ascii="Times New Roman" w:hAnsi="Times New Roman"/>
          <w:b/>
          <w:sz w:val="24"/>
          <w:szCs w:val="24"/>
        </w:rPr>
        <w:t>Summary:</w:t>
      </w:r>
      <w:r w:rsidR="00C41725">
        <w:rPr>
          <w:rFonts w:ascii="Times New Roman" w:hAnsi="Times New Roman"/>
          <w:b/>
          <w:sz w:val="24"/>
          <w:szCs w:val="24"/>
        </w:rPr>
        <w:t xml:space="preserve"> (review article)</w:t>
      </w:r>
    </w:p>
    <w:p w14:paraId="3518115D" w14:textId="77777777" w:rsidR="003B2A27" w:rsidRDefault="003B2A27" w:rsidP="003B2A27">
      <w:pPr>
        <w:widowControl w:val="0"/>
        <w:autoSpaceDE w:val="0"/>
        <w:autoSpaceDN w:val="0"/>
        <w:adjustRightInd w:val="0"/>
        <w:spacing w:after="240"/>
        <w:rPr>
          <w:rFonts w:ascii="Times" w:hAnsi="Times" w:cs="Times"/>
          <w:sz w:val="26"/>
          <w:szCs w:val="26"/>
        </w:rPr>
      </w:pPr>
      <w:r>
        <w:rPr>
          <w:rFonts w:ascii="Times" w:hAnsi="Times" w:cs="Times"/>
          <w:sz w:val="26"/>
          <w:szCs w:val="26"/>
        </w:rPr>
        <w:t>The clinical syndrome results from excessive circulating concentrations of the active thyroid hormones thyroxine (T</w:t>
      </w:r>
      <w:r>
        <w:rPr>
          <w:rFonts w:ascii="Times" w:hAnsi="Times" w:cs="Times"/>
          <w:position w:val="-6"/>
          <w:sz w:val="18"/>
          <w:szCs w:val="18"/>
        </w:rPr>
        <w:t>4</w:t>
      </w:r>
      <w:r>
        <w:rPr>
          <w:rFonts w:ascii="Times" w:hAnsi="Times" w:cs="Times"/>
          <w:sz w:val="26"/>
          <w:szCs w:val="26"/>
        </w:rPr>
        <w:t>), and triiodothyronine (T</w:t>
      </w:r>
      <w:r>
        <w:rPr>
          <w:rFonts w:ascii="Times" w:hAnsi="Times" w:cs="Times"/>
          <w:position w:val="-6"/>
          <w:sz w:val="18"/>
          <w:szCs w:val="18"/>
        </w:rPr>
        <w:t>3</w:t>
      </w:r>
      <w:r>
        <w:rPr>
          <w:rFonts w:ascii="Times" w:hAnsi="Times" w:cs="Times"/>
          <w:sz w:val="26"/>
          <w:szCs w:val="26"/>
        </w:rPr>
        <w:t xml:space="preserve">) produced by an abnormally functioning thyroid lobe. </w:t>
      </w:r>
    </w:p>
    <w:p w14:paraId="64E7D1D7" w14:textId="7D04D1A4" w:rsidR="003B2A27" w:rsidRDefault="003B2A27" w:rsidP="003B2A27">
      <w:pPr>
        <w:widowControl w:val="0"/>
        <w:autoSpaceDE w:val="0"/>
        <w:autoSpaceDN w:val="0"/>
        <w:adjustRightInd w:val="0"/>
        <w:spacing w:after="240"/>
        <w:rPr>
          <w:rFonts w:ascii="Times" w:hAnsi="Times" w:cs="Times"/>
        </w:rPr>
      </w:pPr>
      <w:r>
        <w:rPr>
          <w:rFonts w:ascii="Times" w:hAnsi="Times" w:cs="Times"/>
          <w:sz w:val="26"/>
          <w:szCs w:val="26"/>
        </w:rPr>
        <w:t>The underlying pathologic finding in more than 98% of cases is benign adenomatous hyperplasia (adenoma); as such, the disease carries a favorable prognosis with effective therapy. Thyroid carcinoma is a rare cause of hyperthyroidism in cats.</w:t>
      </w:r>
    </w:p>
    <w:p w14:paraId="03F4D7E5" w14:textId="334D9818" w:rsidR="003B2A27" w:rsidRPr="00C41725" w:rsidRDefault="003B2A27" w:rsidP="00863D49">
      <w:pPr>
        <w:pStyle w:val="NormalWeb"/>
        <w:rPr>
          <w:rFonts w:ascii="Times New Roman" w:hAnsi="Times New Roman"/>
          <w:b/>
          <w:i/>
          <w:sz w:val="24"/>
          <w:szCs w:val="24"/>
          <w:u w:val="single"/>
        </w:rPr>
      </w:pPr>
      <w:r w:rsidRPr="00C41725">
        <w:rPr>
          <w:rFonts w:ascii="Times New Roman" w:hAnsi="Times New Roman"/>
          <w:b/>
          <w:i/>
          <w:sz w:val="24"/>
          <w:szCs w:val="24"/>
          <w:u w:val="single"/>
        </w:rPr>
        <w:t>Diagnostics:</w:t>
      </w:r>
    </w:p>
    <w:p w14:paraId="3CEB8B59" w14:textId="59432C18" w:rsidR="003B2A27" w:rsidRPr="003B2A27" w:rsidRDefault="003B2A27" w:rsidP="00863D49">
      <w:pPr>
        <w:pStyle w:val="NormalWeb"/>
        <w:rPr>
          <w:rFonts w:ascii="Times New Roman" w:hAnsi="Times New Roman"/>
          <w:b/>
          <w:sz w:val="24"/>
          <w:szCs w:val="24"/>
          <w:u w:val="single"/>
        </w:rPr>
      </w:pPr>
      <w:r w:rsidRPr="003B2A27">
        <w:rPr>
          <w:rFonts w:ascii="Times New Roman" w:hAnsi="Times New Roman"/>
          <w:b/>
          <w:sz w:val="24"/>
          <w:szCs w:val="24"/>
          <w:u w:val="single"/>
        </w:rPr>
        <w:t>CBC:</w:t>
      </w:r>
    </w:p>
    <w:p w14:paraId="6637E7F8" w14:textId="49A1BF6F" w:rsidR="003B2A27" w:rsidRPr="00C41725" w:rsidRDefault="003B2A27" w:rsidP="00C41725">
      <w:pPr>
        <w:pStyle w:val="ListParagraph"/>
        <w:widowControl w:val="0"/>
        <w:numPr>
          <w:ilvl w:val="0"/>
          <w:numId w:val="32"/>
        </w:numPr>
        <w:autoSpaceDE w:val="0"/>
        <w:autoSpaceDN w:val="0"/>
        <w:adjustRightInd w:val="0"/>
        <w:spacing w:after="240"/>
        <w:rPr>
          <w:rFonts w:ascii="Times" w:hAnsi="Times" w:cs="Times"/>
          <w:sz w:val="26"/>
          <w:szCs w:val="26"/>
        </w:rPr>
      </w:pPr>
      <w:r w:rsidRPr="00C41725">
        <w:rPr>
          <w:rFonts w:ascii="Times" w:hAnsi="Times" w:cs="Times"/>
          <w:sz w:val="26"/>
          <w:szCs w:val="26"/>
        </w:rPr>
        <w:t>mild to moderate erythrocytosis and macrocytosis</w:t>
      </w:r>
    </w:p>
    <w:p w14:paraId="631CE9C1" w14:textId="31E5CFAE" w:rsidR="003B2A27" w:rsidRPr="00C41725" w:rsidRDefault="003B2A27" w:rsidP="00C41725">
      <w:pPr>
        <w:pStyle w:val="ListParagraph"/>
        <w:widowControl w:val="0"/>
        <w:numPr>
          <w:ilvl w:val="0"/>
          <w:numId w:val="32"/>
        </w:numPr>
        <w:autoSpaceDE w:val="0"/>
        <w:autoSpaceDN w:val="0"/>
        <w:adjustRightInd w:val="0"/>
        <w:spacing w:after="240"/>
        <w:rPr>
          <w:rFonts w:ascii="Times" w:hAnsi="Times" w:cs="Times"/>
        </w:rPr>
      </w:pPr>
      <w:r w:rsidRPr="00C41725">
        <w:rPr>
          <w:rFonts w:ascii="Times" w:hAnsi="Times" w:cs="Times"/>
          <w:sz w:val="26"/>
          <w:szCs w:val="26"/>
        </w:rPr>
        <w:t>Such changes may reflect increased erythropoietin production resulting from increased oxygen consumption or direct thyroid hormone–mediated b-adrenergic stimulation of erythroid marrow.</w:t>
      </w:r>
    </w:p>
    <w:p w14:paraId="036D74E5" w14:textId="77777777" w:rsidR="003B2A27" w:rsidRPr="00C41725" w:rsidRDefault="003B2A27" w:rsidP="00C41725">
      <w:pPr>
        <w:pStyle w:val="ListParagraph"/>
        <w:widowControl w:val="0"/>
        <w:numPr>
          <w:ilvl w:val="0"/>
          <w:numId w:val="32"/>
        </w:numPr>
        <w:autoSpaceDE w:val="0"/>
        <w:autoSpaceDN w:val="0"/>
        <w:adjustRightInd w:val="0"/>
        <w:spacing w:after="240"/>
        <w:rPr>
          <w:rFonts w:ascii="Times" w:hAnsi="Times" w:cs="Times"/>
        </w:rPr>
      </w:pPr>
      <w:r w:rsidRPr="00C41725">
        <w:rPr>
          <w:rFonts w:ascii="Times" w:hAnsi="Times" w:cs="Times"/>
          <w:sz w:val="26"/>
          <w:szCs w:val="26"/>
        </w:rPr>
        <w:t>Anemia seems to be rare and usually associated with severe hyperthyroidism, and it may result from bone marrow exhaustion or iron or other micronutrient deficiency</w:t>
      </w:r>
    </w:p>
    <w:p w14:paraId="02F687D2" w14:textId="77777777" w:rsidR="003B2A27" w:rsidRPr="00C41725" w:rsidRDefault="003B2A27" w:rsidP="00C41725">
      <w:pPr>
        <w:pStyle w:val="ListParagraph"/>
        <w:widowControl w:val="0"/>
        <w:numPr>
          <w:ilvl w:val="0"/>
          <w:numId w:val="32"/>
        </w:numPr>
        <w:autoSpaceDE w:val="0"/>
        <w:autoSpaceDN w:val="0"/>
        <w:adjustRightInd w:val="0"/>
        <w:spacing w:after="240"/>
        <w:rPr>
          <w:rFonts w:ascii="Times" w:hAnsi="Times" w:cs="Times"/>
          <w:sz w:val="26"/>
          <w:szCs w:val="26"/>
        </w:rPr>
      </w:pPr>
      <w:r w:rsidRPr="00C41725">
        <w:rPr>
          <w:rFonts w:ascii="Times" w:hAnsi="Times" w:cs="Times"/>
          <w:sz w:val="26"/>
          <w:szCs w:val="26"/>
        </w:rPr>
        <w:t>A significantly higher incidence of Heinz body formation has been reported in cats with hyperthyroidism</w:t>
      </w:r>
    </w:p>
    <w:p w14:paraId="2E515699" w14:textId="0173FB9C" w:rsidR="00C41725" w:rsidRPr="00C41725" w:rsidRDefault="00C41725" w:rsidP="00C41725">
      <w:pPr>
        <w:pStyle w:val="ListParagraph"/>
        <w:widowControl w:val="0"/>
        <w:numPr>
          <w:ilvl w:val="0"/>
          <w:numId w:val="32"/>
        </w:numPr>
        <w:autoSpaceDE w:val="0"/>
        <w:autoSpaceDN w:val="0"/>
        <w:adjustRightInd w:val="0"/>
        <w:spacing w:after="240"/>
        <w:rPr>
          <w:rFonts w:ascii="Times" w:hAnsi="Times" w:cs="Times"/>
        </w:rPr>
      </w:pPr>
      <w:r w:rsidRPr="00C41725">
        <w:rPr>
          <w:rFonts w:ascii="Times" w:hAnsi="Times" w:cs="Times"/>
          <w:sz w:val="26"/>
          <w:szCs w:val="26"/>
        </w:rPr>
        <w:t>Stress leukogram</w:t>
      </w:r>
    </w:p>
    <w:p w14:paraId="5D39DFE9" w14:textId="59A4B79C" w:rsidR="003B2A27" w:rsidRDefault="00C41725" w:rsidP="003B2A27">
      <w:pPr>
        <w:widowControl w:val="0"/>
        <w:autoSpaceDE w:val="0"/>
        <w:autoSpaceDN w:val="0"/>
        <w:adjustRightInd w:val="0"/>
        <w:spacing w:after="240"/>
        <w:rPr>
          <w:rFonts w:ascii="Times" w:hAnsi="Times" w:cs="Times"/>
        </w:rPr>
      </w:pPr>
      <w:r w:rsidRPr="003C2106">
        <w:rPr>
          <w:rFonts w:ascii="Times" w:hAnsi="Times" w:cs="Times"/>
          <w:b/>
          <w:u w:val="single"/>
        </w:rPr>
        <w:t>Serum biochemistry profile</w:t>
      </w:r>
      <w:r>
        <w:rPr>
          <w:rFonts w:ascii="Times" w:hAnsi="Times" w:cs="Times"/>
        </w:rPr>
        <w:t>:</w:t>
      </w:r>
    </w:p>
    <w:p w14:paraId="4C6C824E" w14:textId="33271E33" w:rsidR="003C2106" w:rsidRPr="00DD75D3" w:rsidRDefault="003C2106" w:rsidP="00DD75D3">
      <w:pPr>
        <w:pStyle w:val="ListParagraph"/>
        <w:widowControl w:val="0"/>
        <w:numPr>
          <w:ilvl w:val="0"/>
          <w:numId w:val="36"/>
        </w:numPr>
        <w:autoSpaceDE w:val="0"/>
        <w:autoSpaceDN w:val="0"/>
        <w:adjustRightInd w:val="0"/>
        <w:spacing w:after="240"/>
        <w:rPr>
          <w:rFonts w:ascii="Times" w:hAnsi="Times" w:cs="Times"/>
        </w:rPr>
      </w:pPr>
      <w:r w:rsidRPr="00DD75D3">
        <w:rPr>
          <w:rFonts w:ascii="Times" w:hAnsi="Times" w:cs="Times"/>
          <w:sz w:val="26"/>
          <w:szCs w:val="26"/>
        </w:rPr>
        <w:t>The most striking biochemical abnormalities are elevations in the liver enzymes, alanine aminotransferase (ALT), alkaline phosphatase (ALKP), lactate dehydrogenase (LDH), and aspartate aminotransferase (AST). At least one of these enzymes is elevated in more than 90% of hyperthyroid cats</w:t>
      </w:r>
    </w:p>
    <w:p w14:paraId="178DD816" w14:textId="77777777" w:rsidR="003C2106" w:rsidRPr="00DD75D3" w:rsidRDefault="003C2106" w:rsidP="00DD75D3">
      <w:pPr>
        <w:pStyle w:val="ListParagraph"/>
        <w:widowControl w:val="0"/>
        <w:numPr>
          <w:ilvl w:val="0"/>
          <w:numId w:val="36"/>
        </w:numPr>
        <w:autoSpaceDE w:val="0"/>
        <w:autoSpaceDN w:val="0"/>
        <w:adjustRightInd w:val="0"/>
        <w:spacing w:after="240"/>
        <w:rPr>
          <w:rFonts w:ascii="Times" w:hAnsi="Times" w:cs="Times"/>
        </w:rPr>
      </w:pPr>
      <w:r w:rsidRPr="00DD75D3">
        <w:rPr>
          <w:rFonts w:ascii="Times" w:hAnsi="Times" w:cs="Times"/>
        </w:rPr>
        <w:t xml:space="preserve">Liver histopathology: </w:t>
      </w:r>
      <w:r w:rsidRPr="00DD75D3">
        <w:rPr>
          <w:rFonts w:ascii="Times" w:hAnsi="Times" w:cs="Times"/>
          <w:sz w:val="26"/>
          <w:szCs w:val="26"/>
        </w:rPr>
        <w:t>In more severe cases, centrilobular fatty infiltration may occur together with patchy portal fibrosis, lymphocytic infiltration, and proliferation of bile ducts</w:t>
      </w:r>
    </w:p>
    <w:p w14:paraId="2DB632BE" w14:textId="77777777" w:rsidR="003C2106" w:rsidRPr="00DD75D3" w:rsidRDefault="003C2106" w:rsidP="00DD75D3">
      <w:pPr>
        <w:pStyle w:val="ListParagraph"/>
        <w:widowControl w:val="0"/>
        <w:numPr>
          <w:ilvl w:val="0"/>
          <w:numId w:val="36"/>
        </w:numPr>
        <w:autoSpaceDE w:val="0"/>
        <w:autoSpaceDN w:val="0"/>
        <w:adjustRightInd w:val="0"/>
        <w:spacing w:after="240"/>
        <w:rPr>
          <w:rFonts w:ascii="Times" w:hAnsi="Times" w:cs="Times"/>
        </w:rPr>
      </w:pPr>
      <w:r w:rsidRPr="00DD75D3">
        <w:rPr>
          <w:rFonts w:ascii="Times" w:hAnsi="Times" w:cs="Times"/>
          <w:sz w:val="26"/>
          <w:szCs w:val="26"/>
        </w:rPr>
        <w:t>Suggested explanations for such abnormalities have included mal- nutrition, congestive cardiac failure, infections, hepatic anoxia, and direct toxic effects of thyroid hormones on the liver. Several reports have examined the possibility of other sources of these enzymes, however, and have shown that the liver and bone contribute to increased ALKP activity in hyperthyroid cats</w:t>
      </w:r>
    </w:p>
    <w:p w14:paraId="4339FAC7" w14:textId="03BAF9FC" w:rsidR="003C2106" w:rsidRPr="00DD75D3" w:rsidRDefault="003C2106"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rPr>
        <w:t>Hyperphosphatemia (in the absence of azotemia) has been reported to occur more commonly in hyperthyroid cats. This, t</w:t>
      </w:r>
      <w:r w:rsidRPr="00DD75D3">
        <w:rPr>
          <w:rFonts w:ascii="Times" w:hAnsi="Times" w:cs="Times"/>
          <w:sz w:val="26"/>
          <w:szCs w:val="26"/>
        </w:rPr>
        <w:t>ogether with the elevation in the bone isoenzyme of ALKP, is consistent with altered bone meta</w:t>
      </w:r>
      <w:r w:rsidR="00A33C0E">
        <w:rPr>
          <w:rFonts w:ascii="Times" w:hAnsi="Times" w:cs="Times"/>
          <w:sz w:val="26"/>
          <w:szCs w:val="26"/>
        </w:rPr>
        <w:t>bolism in hyperthyroid</w:t>
      </w:r>
      <w:r w:rsidRPr="00DD75D3">
        <w:rPr>
          <w:rFonts w:ascii="Times" w:hAnsi="Times" w:cs="Times"/>
          <w:sz w:val="26"/>
          <w:szCs w:val="26"/>
        </w:rPr>
        <w:t>ism.</w:t>
      </w:r>
    </w:p>
    <w:p w14:paraId="03B6D534" w14:textId="4BEF77C1" w:rsidR="007D6571" w:rsidRPr="00DD75D3" w:rsidRDefault="007D6571"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In addition, hyperparathyroidism seems to be common in hyperthyroid cats</w:t>
      </w:r>
    </w:p>
    <w:p w14:paraId="5DEEB428" w14:textId="77777777" w:rsidR="007D6571" w:rsidRPr="00DD75D3" w:rsidRDefault="007D6571" w:rsidP="00DD75D3">
      <w:pPr>
        <w:pStyle w:val="ListParagraph"/>
        <w:widowControl w:val="0"/>
        <w:numPr>
          <w:ilvl w:val="0"/>
          <w:numId w:val="35"/>
        </w:numPr>
        <w:autoSpaceDE w:val="0"/>
        <w:autoSpaceDN w:val="0"/>
        <w:adjustRightInd w:val="0"/>
        <w:spacing w:after="240"/>
        <w:rPr>
          <w:rFonts w:ascii="Times" w:hAnsi="Times" w:cs="Times"/>
          <w:sz w:val="26"/>
          <w:szCs w:val="26"/>
        </w:rPr>
      </w:pPr>
      <w:r w:rsidRPr="00DD75D3">
        <w:rPr>
          <w:rFonts w:ascii="Times" w:hAnsi="Times" w:cs="Times"/>
          <w:sz w:val="26"/>
          <w:szCs w:val="26"/>
        </w:rPr>
        <w:t>The etiology of hyperparathyroidism, hyperphosphatemia, ionized hypocalcemia, and elevated bone marker concentrations in cats remains unclear and warrants further study.</w:t>
      </w:r>
    </w:p>
    <w:p w14:paraId="2E269BAE" w14:textId="77777777" w:rsidR="00894DAD" w:rsidRPr="00DD75D3" w:rsidRDefault="00894DAD"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Current figures suggest that just more than 10% of hyperthyroid cats are azotemic. Although azotemia is not unexpected in a group of aged cats, it could be exacerbated by the increased protein catabolism and prerenal uremia of thyrotoxicosis</w:t>
      </w:r>
    </w:p>
    <w:p w14:paraId="4F4DB692" w14:textId="2613C939" w:rsidR="00D47CF2" w:rsidRPr="00DD75D3" w:rsidRDefault="00D47CF2"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Most studies have shown relatively lower pretreatment urea concentrations in hyperthyroid cats when compared with posttreatment values, however. This is presumably related to the elevated glomerular filtration rate (GFR) associated with hyperthyroidism, resulting from increased cardiac output and renal afferent arteriolar vasodilation</w:t>
      </w:r>
    </w:p>
    <w:p w14:paraId="65453F8D" w14:textId="77777777" w:rsidR="00AD5C31" w:rsidRPr="00DD75D3" w:rsidRDefault="00AD5C31"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Hypokalemia has been reported in up to 17% of hyperthyroid cats</w:t>
      </w:r>
    </w:p>
    <w:p w14:paraId="2B281CD3" w14:textId="7319B74B" w:rsidR="00AD5C31" w:rsidRPr="00DD75D3" w:rsidRDefault="00AD5C31"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Blood glucose concentrations may be elevated in hyperthyroid cats, presumably reflecting a stress response</w:t>
      </w:r>
    </w:p>
    <w:p w14:paraId="35CC7C50" w14:textId="00C9CF59" w:rsidR="00AD5C31" w:rsidRPr="00DD75D3" w:rsidRDefault="00AD5C31"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Hyperthyroidism is also associated with glucose intolerance characterized by delayed clearance of administered glucose from the plasma despite increased secretion of insulin</w:t>
      </w:r>
    </w:p>
    <w:p w14:paraId="3A5CE784" w14:textId="77777777" w:rsidR="008D52B9" w:rsidRPr="00DD75D3" w:rsidRDefault="008D52B9" w:rsidP="00DD75D3">
      <w:pPr>
        <w:pStyle w:val="ListParagraph"/>
        <w:widowControl w:val="0"/>
        <w:numPr>
          <w:ilvl w:val="0"/>
          <w:numId w:val="35"/>
        </w:numPr>
        <w:autoSpaceDE w:val="0"/>
        <w:autoSpaceDN w:val="0"/>
        <w:adjustRightInd w:val="0"/>
        <w:spacing w:after="240"/>
        <w:rPr>
          <w:rFonts w:ascii="Times" w:hAnsi="Times" w:cs="Times"/>
        </w:rPr>
      </w:pPr>
      <w:r w:rsidRPr="00DD75D3">
        <w:rPr>
          <w:rFonts w:ascii="Times" w:hAnsi="Times" w:cs="Times"/>
          <w:sz w:val="26"/>
          <w:szCs w:val="26"/>
        </w:rPr>
        <w:t>Almost 50% of hyperthyroid cats have detectable serum troponin I concentrations, with a marked reduction in this percentage after therapy, consistent with hyperthyroid-induced myocyte damage</w:t>
      </w:r>
    </w:p>
    <w:p w14:paraId="6EBEF71C" w14:textId="115878C3" w:rsidR="00AD5C31" w:rsidRDefault="00F0574F" w:rsidP="00AD5C31">
      <w:pPr>
        <w:widowControl w:val="0"/>
        <w:autoSpaceDE w:val="0"/>
        <w:autoSpaceDN w:val="0"/>
        <w:adjustRightInd w:val="0"/>
        <w:spacing w:after="240"/>
        <w:rPr>
          <w:rFonts w:ascii="Times" w:hAnsi="Times" w:cs="Times"/>
        </w:rPr>
      </w:pPr>
      <w:r w:rsidRPr="00F0574F">
        <w:rPr>
          <w:rFonts w:ascii="Times" w:hAnsi="Times" w:cs="Times"/>
          <w:b/>
          <w:u w:val="single"/>
        </w:rPr>
        <w:t>Urinalysis</w:t>
      </w:r>
      <w:r>
        <w:rPr>
          <w:rFonts w:ascii="Times" w:hAnsi="Times" w:cs="Times"/>
        </w:rPr>
        <w:t>:</w:t>
      </w:r>
    </w:p>
    <w:p w14:paraId="49DFECE9" w14:textId="28DFCBAF" w:rsidR="00004942" w:rsidRPr="009A0B5B" w:rsidRDefault="00004942" w:rsidP="009A0B5B">
      <w:pPr>
        <w:pStyle w:val="ListParagraph"/>
        <w:widowControl w:val="0"/>
        <w:numPr>
          <w:ilvl w:val="0"/>
          <w:numId w:val="37"/>
        </w:numPr>
        <w:autoSpaceDE w:val="0"/>
        <w:autoSpaceDN w:val="0"/>
        <w:adjustRightInd w:val="0"/>
        <w:spacing w:after="240"/>
        <w:rPr>
          <w:rFonts w:ascii="Times" w:hAnsi="Times" w:cs="Times"/>
        </w:rPr>
      </w:pPr>
      <w:r w:rsidRPr="009A0B5B">
        <w:rPr>
          <w:rFonts w:ascii="Times" w:hAnsi="Times" w:cs="Times"/>
          <w:sz w:val="26"/>
          <w:szCs w:val="26"/>
        </w:rPr>
        <w:t>Routine urinalysis in thyrotoxic cats seems to be noncontributory. Urine specific gravity values are extremely variable and ranged from 1.009 to 1.050 (mean =1.031) in 57 hyperthyroid cats, with only two values (4%) less than 1.015</w:t>
      </w:r>
    </w:p>
    <w:p w14:paraId="54DFFD3D" w14:textId="77777777" w:rsidR="001E5AB5" w:rsidRPr="009A0B5B" w:rsidRDefault="001E5AB5" w:rsidP="009A0B5B">
      <w:pPr>
        <w:pStyle w:val="ListParagraph"/>
        <w:widowControl w:val="0"/>
        <w:numPr>
          <w:ilvl w:val="0"/>
          <w:numId w:val="37"/>
        </w:numPr>
        <w:autoSpaceDE w:val="0"/>
        <w:autoSpaceDN w:val="0"/>
        <w:adjustRightInd w:val="0"/>
        <w:spacing w:after="240"/>
        <w:rPr>
          <w:rFonts w:ascii="Times" w:hAnsi="Times" w:cs="Times"/>
        </w:rPr>
      </w:pPr>
      <w:r w:rsidRPr="009A0B5B">
        <w:rPr>
          <w:rFonts w:ascii="Times" w:hAnsi="Times" w:cs="Times"/>
          <w:sz w:val="26"/>
          <w:szCs w:val="26"/>
        </w:rPr>
        <w:t>Proteinuria is common in hyperthyroid cats.</w:t>
      </w:r>
    </w:p>
    <w:p w14:paraId="53E59493" w14:textId="13702D06" w:rsidR="009A0B5B" w:rsidRPr="009A0B5B" w:rsidRDefault="00A33C0E" w:rsidP="009A0B5B">
      <w:pPr>
        <w:pStyle w:val="ListParagraph"/>
        <w:widowControl w:val="0"/>
        <w:numPr>
          <w:ilvl w:val="0"/>
          <w:numId w:val="37"/>
        </w:numPr>
        <w:autoSpaceDE w:val="0"/>
        <w:autoSpaceDN w:val="0"/>
        <w:adjustRightInd w:val="0"/>
        <w:spacing w:after="240"/>
        <w:rPr>
          <w:rFonts w:ascii="Times" w:hAnsi="Times" w:cs="Times"/>
        </w:rPr>
      </w:pPr>
      <w:r>
        <w:rPr>
          <w:rFonts w:ascii="Times" w:hAnsi="Times" w:cs="Times"/>
          <w:sz w:val="26"/>
          <w:szCs w:val="26"/>
        </w:rPr>
        <w:t>S</w:t>
      </w:r>
      <w:r w:rsidR="009A0B5B" w:rsidRPr="009A0B5B">
        <w:rPr>
          <w:rFonts w:ascii="Times" w:hAnsi="Times" w:cs="Times"/>
          <w:sz w:val="26"/>
          <w:szCs w:val="26"/>
        </w:rPr>
        <w:t>everity of the proteinuria decreased in most cats after treatment. Neither an elevated UPC nor an elevated UAC was predictive of the development of renal failure, and their pathogenic significance remains unclear</w:t>
      </w:r>
    </w:p>
    <w:p w14:paraId="4573BA6C" w14:textId="7B9864C4" w:rsidR="00A33C0E" w:rsidRPr="00A33C0E" w:rsidRDefault="009A0B5B" w:rsidP="00A33C0E">
      <w:pPr>
        <w:pStyle w:val="ListParagraph"/>
        <w:widowControl w:val="0"/>
        <w:numPr>
          <w:ilvl w:val="0"/>
          <w:numId w:val="37"/>
        </w:numPr>
        <w:autoSpaceDE w:val="0"/>
        <w:autoSpaceDN w:val="0"/>
        <w:adjustRightInd w:val="0"/>
        <w:spacing w:after="240"/>
        <w:rPr>
          <w:rFonts w:ascii="Times" w:hAnsi="Times" w:cs="Times"/>
        </w:rPr>
      </w:pPr>
      <w:r w:rsidRPr="009A0B5B">
        <w:rPr>
          <w:rFonts w:ascii="Times" w:hAnsi="Times" w:cs="Times"/>
          <w:sz w:val="26"/>
          <w:szCs w:val="26"/>
        </w:rPr>
        <w:t>Urinary corticoid/creatinine ratios are significantly higher in untreated hyperthyroid cats</w:t>
      </w:r>
      <w:r w:rsidR="00A33C0E">
        <w:rPr>
          <w:rFonts w:ascii="Times" w:hAnsi="Times" w:cs="Times"/>
          <w:sz w:val="26"/>
          <w:szCs w:val="26"/>
        </w:rPr>
        <w:t xml:space="preserve">; this </w:t>
      </w:r>
      <w:r w:rsidR="00A33C0E" w:rsidRPr="00A33C0E">
        <w:rPr>
          <w:rFonts w:ascii="Times" w:hAnsi="Times" w:cs="Times"/>
          <w:sz w:val="26"/>
          <w:szCs w:val="26"/>
        </w:rPr>
        <w:t>pr</w:t>
      </w:r>
      <w:r w:rsidR="00A33C0E">
        <w:rPr>
          <w:rFonts w:ascii="Times" w:hAnsi="Times" w:cs="Times"/>
          <w:sz w:val="26"/>
          <w:szCs w:val="26"/>
        </w:rPr>
        <w:t>esumably reflect increased met</w:t>
      </w:r>
      <w:r w:rsidR="00A33C0E" w:rsidRPr="00A33C0E">
        <w:rPr>
          <w:rFonts w:ascii="Times" w:hAnsi="Times" w:cs="Times"/>
          <w:sz w:val="26"/>
          <w:szCs w:val="26"/>
        </w:rPr>
        <w:t>abolic clearance of cortisol and activation of the hypothalamic-pituitary-adrenal axis by the disease.</w:t>
      </w:r>
    </w:p>
    <w:p w14:paraId="18473339" w14:textId="71160BC1" w:rsidR="00A33C0E" w:rsidRDefault="005D2444" w:rsidP="005D2444">
      <w:pPr>
        <w:widowControl w:val="0"/>
        <w:autoSpaceDE w:val="0"/>
        <w:autoSpaceDN w:val="0"/>
        <w:adjustRightInd w:val="0"/>
        <w:spacing w:after="240"/>
        <w:rPr>
          <w:rFonts w:ascii="Times" w:hAnsi="Times" w:cs="Times"/>
        </w:rPr>
      </w:pPr>
      <w:r w:rsidRPr="005D2444">
        <w:rPr>
          <w:rFonts w:ascii="Times" w:hAnsi="Times" w:cs="Times"/>
          <w:b/>
          <w:u w:val="single"/>
        </w:rPr>
        <w:t>Definitive diagnostic tests</w:t>
      </w:r>
      <w:r>
        <w:rPr>
          <w:rFonts w:ascii="Times" w:hAnsi="Times" w:cs="Times"/>
        </w:rPr>
        <w:t>:</w:t>
      </w:r>
    </w:p>
    <w:p w14:paraId="5CDDC534" w14:textId="5940424C" w:rsidR="007B16B3" w:rsidRDefault="007B16B3" w:rsidP="007B16B3">
      <w:pPr>
        <w:widowControl w:val="0"/>
        <w:autoSpaceDE w:val="0"/>
        <w:autoSpaceDN w:val="0"/>
        <w:adjustRightInd w:val="0"/>
        <w:spacing w:after="240"/>
        <w:rPr>
          <w:rFonts w:ascii="Times" w:hAnsi="Times" w:cs="Times"/>
          <w:sz w:val="26"/>
          <w:szCs w:val="26"/>
        </w:rPr>
      </w:pPr>
      <w:r>
        <w:rPr>
          <w:rFonts w:ascii="Times" w:hAnsi="Times" w:cs="Times"/>
          <w:sz w:val="26"/>
          <w:szCs w:val="26"/>
        </w:rPr>
        <w:t>The diagnosis of hyperthyroidism is confirmed by the demonstration of increased thyroidal radioisotope uptake or circulating concentrations of the thyroid hormones.</w:t>
      </w:r>
    </w:p>
    <w:p w14:paraId="2CB6C729" w14:textId="7B032D8F" w:rsidR="00085D1A" w:rsidRDefault="00085D1A" w:rsidP="007B16B3">
      <w:pPr>
        <w:widowControl w:val="0"/>
        <w:autoSpaceDE w:val="0"/>
        <w:autoSpaceDN w:val="0"/>
        <w:adjustRightInd w:val="0"/>
        <w:spacing w:after="240"/>
        <w:rPr>
          <w:rFonts w:ascii="Times" w:hAnsi="Times" w:cs="Times"/>
        </w:rPr>
      </w:pPr>
      <w:r w:rsidRPr="00085D1A">
        <w:rPr>
          <w:rFonts w:ascii="Times" w:hAnsi="Times" w:cs="Times"/>
          <w:b/>
          <w:sz w:val="26"/>
          <w:szCs w:val="26"/>
        </w:rPr>
        <w:t>Radioactive iodine isotopes</w:t>
      </w:r>
      <w:r>
        <w:rPr>
          <w:rFonts w:ascii="Times" w:hAnsi="Times" w:cs="Times"/>
          <w:sz w:val="26"/>
          <w:szCs w:val="26"/>
        </w:rPr>
        <w:t>:</w:t>
      </w:r>
    </w:p>
    <w:p w14:paraId="74A9AF4B" w14:textId="10B1B6BF" w:rsidR="00085D1A" w:rsidRPr="00996791" w:rsidRDefault="00085D1A"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Uptake of radioactive iodine isotopes (</w:t>
      </w:r>
      <w:r w:rsidRPr="00996791">
        <w:rPr>
          <w:rFonts w:ascii="Times" w:hAnsi="Times" w:cs="Times"/>
          <w:position w:val="10"/>
          <w:sz w:val="18"/>
          <w:szCs w:val="18"/>
        </w:rPr>
        <w:t>131</w:t>
      </w:r>
      <w:r w:rsidRPr="00996791">
        <w:rPr>
          <w:rFonts w:ascii="Times" w:hAnsi="Times" w:cs="Times"/>
          <w:sz w:val="26"/>
          <w:szCs w:val="26"/>
        </w:rPr>
        <w:t xml:space="preserve">I or </w:t>
      </w:r>
      <w:r w:rsidRPr="00996791">
        <w:rPr>
          <w:rFonts w:ascii="Times" w:hAnsi="Times" w:cs="Times"/>
          <w:position w:val="10"/>
          <w:sz w:val="18"/>
          <w:szCs w:val="18"/>
        </w:rPr>
        <w:t>123</w:t>
      </w:r>
      <w:r w:rsidRPr="00996791">
        <w:rPr>
          <w:rFonts w:ascii="Times" w:hAnsi="Times" w:cs="Times"/>
          <w:sz w:val="26"/>
          <w:szCs w:val="26"/>
        </w:rPr>
        <w:t>I) and technetium Tc 99m as pertechnetate (</w:t>
      </w:r>
      <w:r w:rsidRPr="00996791">
        <w:rPr>
          <w:rFonts w:ascii="Times" w:hAnsi="Times" w:cs="Times"/>
          <w:position w:val="10"/>
          <w:sz w:val="18"/>
          <w:szCs w:val="18"/>
        </w:rPr>
        <w:t>99m</w:t>
      </w:r>
      <w:r w:rsidRPr="00996791">
        <w:rPr>
          <w:rFonts w:ascii="Times" w:hAnsi="Times" w:cs="Times"/>
          <w:sz w:val="26"/>
          <w:szCs w:val="26"/>
        </w:rPr>
        <w:t>Tc0</w:t>
      </w:r>
      <w:r w:rsidRPr="00996791">
        <w:rPr>
          <w:rFonts w:ascii="Times" w:hAnsi="Times" w:cs="Times"/>
          <w:position w:val="-6"/>
          <w:sz w:val="18"/>
          <w:szCs w:val="18"/>
        </w:rPr>
        <w:t>4</w:t>
      </w:r>
      <w:r w:rsidRPr="00996791">
        <w:rPr>
          <w:rFonts w:ascii="Times" w:hAnsi="Times" w:cs="Times"/>
          <w:position w:val="10"/>
          <w:sz w:val="18"/>
          <w:szCs w:val="18"/>
        </w:rPr>
        <w:t>-</w:t>
      </w:r>
      <w:r w:rsidRPr="00996791">
        <w:rPr>
          <w:rFonts w:ascii="Times" w:hAnsi="Times" w:cs="Times"/>
          <w:sz w:val="26"/>
          <w:szCs w:val="26"/>
        </w:rPr>
        <w:t>) is increased in hyperthyroid cats</w:t>
      </w:r>
    </w:p>
    <w:p w14:paraId="2566BFFC" w14:textId="5D427B10" w:rsidR="00BB4080" w:rsidRPr="00996791" w:rsidRDefault="00BB4080"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The radioactive iodine isotopes and pertechnetate are trapped and concentrated within the thyroid gland</w:t>
      </w:r>
    </w:p>
    <w:p w14:paraId="473C00A2" w14:textId="77777777" w:rsidR="00BB4080" w:rsidRPr="00996791" w:rsidRDefault="00BB4080"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Percentage thyroid uptake of pertechnetate is routinely measured between 20 and 60 minutes after intravenous injection</w:t>
      </w:r>
    </w:p>
    <w:p w14:paraId="0C194289" w14:textId="77777777" w:rsidR="00CC4763" w:rsidRPr="00996791" w:rsidRDefault="00CC4763"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Values are significantly higher in hyperthyroid cats compared with healthy cats and correlate well with circulating thyroid hormone concentrations</w:t>
      </w:r>
    </w:p>
    <w:p w14:paraId="16F507A9" w14:textId="5133A294" w:rsidR="00CB5D15" w:rsidRPr="00996791" w:rsidRDefault="00CC4763"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Calculation of the percentage uptake of pertechnetate is not routinely performed, however, because it re- quires accurate assessment of the injected dose together with correction for background radioactivity. Similar if not more diagnostically efficient results are obtained if the thyroid/salivary (T/S) ratio is calculated, and this provides the best correlation with serum total T</w:t>
      </w:r>
      <w:r w:rsidRPr="00996791">
        <w:rPr>
          <w:rFonts w:ascii="Times" w:hAnsi="Times" w:cs="Times"/>
          <w:position w:val="-6"/>
          <w:sz w:val="18"/>
          <w:szCs w:val="18"/>
        </w:rPr>
        <w:t xml:space="preserve">4 </w:t>
      </w:r>
      <w:r w:rsidRPr="00996791">
        <w:rPr>
          <w:rFonts w:ascii="Times" w:hAnsi="Times" w:cs="Times"/>
          <w:sz w:val="26"/>
          <w:szCs w:val="26"/>
        </w:rPr>
        <w:t>concentrations. It is generally ac- cepted that the T/S ratio in healthy cats is &lt;1.</w:t>
      </w:r>
      <w:r w:rsidR="00CB5D15" w:rsidRPr="00996791">
        <w:rPr>
          <w:rFonts w:ascii="Times" w:hAnsi="Times" w:cs="Times"/>
          <w:sz w:val="26"/>
          <w:szCs w:val="26"/>
        </w:rPr>
        <w:t xml:space="preserve"> For assessment of the T/S ratio, pertechnetate may be administered subcutaneously or intravenously.</w:t>
      </w:r>
    </w:p>
    <w:p w14:paraId="049ABA0C" w14:textId="2F3A763C" w:rsidR="00F069BA" w:rsidRPr="00996791" w:rsidRDefault="00F069BA"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sz w:val="26"/>
          <w:szCs w:val="26"/>
        </w:rPr>
        <w:t>Nonthyroidal illness likely exerts less effect on the results of scintigraphy than basal total T</w:t>
      </w:r>
      <w:r w:rsidRPr="00996791">
        <w:rPr>
          <w:rFonts w:ascii="Times" w:hAnsi="Times" w:cs="Times"/>
          <w:position w:val="-6"/>
          <w:sz w:val="18"/>
          <w:szCs w:val="18"/>
        </w:rPr>
        <w:t xml:space="preserve">4 </w:t>
      </w:r>
      <w:r w:rsidRPr="00996791">
        <w:rPr>
          <w:rFonts w:ascii="Times" w:hAnsi="Times" w:cs="Times"/>
          <w:sz w:val="26"/>
          <w:szCs w:val="26"/>
        </w:rPr>
        <w:t>concentration and could potentially exclude hyperthyroidism in those few euthyroid cats with an elevated free T</w:t>
      </w:r>
      <w:r w:rsidRPr="00996791">
        <w:rPr>
          <w:rFonts w:ascii="Times" w:hAnsi="Times" w:cs="Times"/>
          <w:position w:val="-6"/>
          <w:sz w:val="18"/>
          <w:szCs w:val="18"/>
        </w:rPr>
        <w:t xml:space="preserve">4 </w:t>
      </w:r>
      <w:r w:rsidRPr="00996791">
        <w:rPr>
          <w:rFonts w:ascii="Times" w:hAnsi="Times" w:cs="Times"/>
          <w:sz w:val="26"/>
          <w:szCs w:val="26"/>
        </w:rPr>
        <w:t>concentration. In addition, res</w:t>
      </w:r>
      <w:r w:rsidR="00996791" w:rsidRPr="00996791">
        <w:rPr>
          <w:rFonts w:ascii="Times" w:hAnsi="Times" w:cs="Times"/>
          <w:sz w:val="26"/>
          <w:szCs w:val="26"/>
        </w:rPr>
        <w:t>ults of scintigraphy may be ab</w:t>
      </w:r>
      <w:r w:rsidRPr="00996791">
        <w:rPr>
          <w:rFonts w:ascii="Times" w:hAnsi="Times" w:cs="Times"/>
          <w:sz w:val="26"/>
          <w:szCs w:val="26"/>
        </w:rPr>
        <w:t>normal in cats with early hyperthyroidism and r</w:t>
      </w:r>
      <w:r w:rsidR="00996791" w:rsidRPr="00996791">
        <w:rPr>
          <w:rFonts w:ascii="Times" w:hAnsi="Times" w:cs="Times"/>
          <w:sz w:val="26"/>
          <w:szCs w:val="26"/>
        </w:rPr>
        <w:t>eference range circulating thy</w:t>
      </w:r>
      <w:r w:rsidRPr="00996791">
        <w:rPr>
          <w:rFonts w:ascii="Times" w:hAnsi="Times" w:cs="Times"/>
          <w:sz w:val="26"/>
          <w:szCs w:val="26"/>
        </w:rPr>
        <w:t xml:space="preserve">roid hormone concentrations. Pertechnetate </w:t>
      </w:r>
      <w:r w:rsidR="005F6CBD" w:rsidRPr="00996791">
        <w:rPr>
          <w:rFonts w:ascii="Times" w:hAnsi="Times" w:cs="Times"/>
          <w:sz w:val="26"/>
          <w:szCs w:val="26"/>
        </w:rPr>
        <w:t xml:space="preserve">scans (sintigraphy) </w:t>
      </w:r>
      <w:r w:rsidRPr="00996791">
        <w:rPr>
          <w:rFonts w:ascii="Times" w:hAnsi="Times" w:cs="Times"/>
          <w:sz w:val="26"/>
          <w:szCs w:val="26"/>
        </w:rPr>
        <w:t xml:space="preserve">are performed uncommonly in veterinary medicine. </w:t>
      </w:r>
    </w:p>
    <w:p w14:paraId="5CDBFFB9" w14:textId="75625E25" w:rsidR="00CC4763" w:rsidRPr="00996791" w:rsidRDefault="00996791" w:rsidP="00996791">
      <w:pPr>
        <w:pStyle w:val="ListParagraph"/>
        <w:widowControl w:val="0"/>
        <w:numPr>
          <w:ilvl w:val="0"/>
          <w:numId w:val="38"/>
        </w:numPr>
        <w:autoSpaceDE w:val="0"/>
        <w:autoSpaceDN w:val="0"/>
        <w:adjustRightInd w:val="0"/>
        <w:spacing w:after="240"/>
        <w:rPr>
          <w:rFonts w:ascii="Times" w:hAnsi="Times" w:cs="Times"/>
        </w:rPr>
      </w:pPr>
      <w:r w:rsidRPr="00996791">
        <w:rPr>
          <w:rFonts w:ascii="Times" w:hAnsi="Times" w:cs="Times"/>
        </w:rPr>
        <w:t>Methimazole may affect radioactive iodine uptake.</w:t>
      </w:r>
    </w:p>
    <w:p w14:paraId="48C44032" w14:textId="39490842" w:rsidR="00CC4763" w:rsidRDefault="00252FDD" w:rsidP="00CC4763">
      <w:pPr>
        <w:widowControl w:val="0"/>
        <w:autoSpaceDE w:val="0"/>
        <w:autoSpaceDN w:val="0"/>
        <w:adjustRightInd w:val="0"/>
        <w:spacing w:after="240"/>
        <w:rPr>
          <w:rFonts w:ascii="Times" w:hAnsi="Times" w:cs="Times"/>
        </w:rPr>
      </w:pPr>
      <w:r w:rsidRPr="00252FDD">
        <w:rPr>
          <w:rFonts w:ascii="Times" w:hAnsi="Times" w:cs="Times"/>
          <w:b/>
        </w:rPr>
        <w:t>Circulating thyroid hormone concentrations</w:t>
      </w:r>
      <w:r>
        <w:rPr>
          <w:rFonts w:ascii="Times" w:hAnsi="Times" w:cs="Times"/>
        </w:rPr>
        <w:t>:</w:t>
      </w:r>
    </w:p>
    <w:p w14:paraId="6306E334" w14:textId="3A29EB1E" w:rsidR="0070387E" w:rsidRDefault="0070387E" w:rsidP="0070387E">
      <w:pPr>
        <w:widowControl w:val="0"/>
        <w:autoSpaceDE w:val="0"/>
        <w:autoSpaceDN w:val="0"/>
        <w:adjustRightInd w:val="0"/>
        <w:spacing w:after="240"/>
        <w:rPr>
          <w:rFonts w:ascii="Times" w:hAnsi="Times" w:cs="Times"/>
        </w:rPr>
      </w:pPr>
      <w:r>
        <w:rPr>
          <w:rFonts w:ascii="Times" w:hAnsi="Times" w:cs="Times"/>
          <w:sz w:val="26"/>
          <w:szCs w:val="26"/>
        </w:rPr>
        <w:t>The elevated circulating thyroid hormone concentration remains the biochemical hallmark of hyperthyroidism.</w:t>
      </w:r>
    </w:p>
    <w:p w14:paraId="6A9034DE" w14:textId="77777777" w:rsidR="00252FDD" w:rsidRDefault="00252FDD" w:rsidP="00CC4763">
      <w:pPr>
        <w:widowControl w:val="0"/>
        <w:autoSpaceDE w:val="0"/>
        <w:autoSpaceDN w:val="0"/>
        <w:adjustRightInd w:val="0"/>
        <w:spacing w:after="240"/>
        <w:rPr>
          <w:rFonts w:ascii="Times" w:hAnsi="Times" w:cs="Times"/>
        </w:rPr>
      </w:pPr>
    </w:p>
    <w:p w14:paraId="70A7D151" w14:textId="0A268738" w:rsidR="005D2444" w:rsidRPr="00A33C0E" w:rsidRDefault="006718BF" w:rsidP="005D2444">
      <w:pPr>
        <w:widowControl w:val="0"/>
        <w:autoSpaceDE w:val="0"/>
        <w:autoSpaceDN w:val="0"/>
        <w:adjustRightInd w:val="0"/>
        <w:spacing w:after="240"/>
        <w:rPr>
          <w:rFonts w:ascii="Times" w:hAnsi="Times" w:cs="Times"/>
        </w:rPr>
      </w:pPr>
      <w:r>
        <w:rPr>
          <w:rFonts w:ascii="Times" w:hAnsi="Times" w:cs="Times"/>
          <w:b/>
          <w:i/>
          <w:u w:val="single"/>
        </w:rPr>
        <w:t>Basal thyroid hormone levels</w:t>
      </w:r>
      <w:r w:rsidR="0070387E">
        <w:rPr>
          <w:rFonts w:ascii="Times" w:hAnsi="Times" w:cs="Times"/>
        </w:rPr>
        <w:t>:</w:t>
      </w:r>
    </w:p>
    <w:p w14:paraId="75ABA21F" w14:textId="0CB72763" w:rsidR="006718BF" w:rsidRPr="00CE6435" w:rsidRDefault="006718BF" w:rsidP="00CE6435">
      <w:pPr>
        <w:pStyle w:val="ListParagraph"/>
        <w:widowControl w:val="0"/>
        <w:numPr>
          <w:ilvl w:val="0"/>
          <w:numId w:val="39"/>
        </w:numPr>
        <w:autoSpaceDE w:val="0"/>
        <w:autoSpaceDN w:val="0"/>
        <w:adjustRightInd w:val="0"/>
        <w:spacing w:after="240"/>
        <w:rPr>
          <w:rFonts w:ascii="Times" w:hAnsi="Times" w:cs="Times"/>
          <w:sz w:val="26"/>
          <w:szCs w:val="26"/>
        </w:rPr>
      </w:pPr>
      <w:r w:rsidRPr="00CE6435">
        <w:rPr>
          <w:rFonts w:ascii="Times" w:hAnsi="Times" w:cs="Times"/>
          <w:sz w:val="26"/>
          <w:szCs w:val="26"/>
        </w:rPr>
        <w:t>The basal total T</w:t>
      </w:r>
      <w:r w:rsidRPr="00CE6435">
        <w:rPr>
          <w:rFonts w:ascii="Times" w:hAnsi="Times" w:cs="Times"/>
          <w:position w:val="-6"/>
          <w:sz w:val="18"/>
          <w:szCs w:val="18"/>
        </w:rPr>
        <w:t xml:space="preserve">4 </w:t>
      </w:r>
      <w:r w:rsidRPr="00CE6435">
        <w:rPr>
          <w:rFonts w:ascii="Times" w:hAnsi="Times" w:cs="Times"/>
          <w:sz w:val="26"/>
          <w:szCs w:val="26"/>
        </w:rPr>
        <w:t>concentration is greater than the reference range in most hyperthyroid cats</w:t>
      </w:r>
    </w:p>
    <w:p w14:paraId="59D166AC" w14:textId="592A2778" w:rsidR="003C7FCE" w:rsidRPr="00F10791" w:rsidRDefault="003C7FCE"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It is becoming increasingly recognized that the serum total T</w:t>
      </w:r>
      <w:r w:rsidRPr="00F10791">
        <w:rPr>
          <w:rFonts w:ascii="Times" w:hAnsi="Times" w:cs="Times"/>
          <w:position w:val="-6"/>
          <w:sz w:val="18"/>
          <w:szCs w:val="18"/>
        </w:rPr>
        <w:t xml:space="preserve">4 </w:t>
      </w:r>
      <w:r w:rsidRPr="00F10791">
        <w:rPr>
          <w:rFonts w:ascii="Times" w:hAnsi="Times" w:cs="Times"/>
          <w:sz w:val="26"/>
          <w:szCs w:val="26"/>
        </w:rPr>
        <w:t>concentration may also be within the middle to high end of the reference range (&gt;30 nmol/L) in a significant percentage (up to and exceeding 10%) of hyperthyroid cats</w:t>
      </w:r>
    </w:p>
    <w:p w14:paraId="57D35BE1" w14:textId="41C435D3" w:rsidR="003C7FCE" w:rsidRPr="00F10791" w:rsidRDefault="003C7FCE"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Serum total T</w:t>
      </w:r>
      <w:r w:rsidRPr="00F10791">
        <w:rPr>
          <w:rFonts w:ascii="Times" w:hAnsi="Times" w:cs="Times"/>
          <w:position w:val="-6"/>
          <w:sz w:val="18"/>
          <w:szCs w:val="18"/>
        </w:rPr>
        <w:t xml:space="preserve">3 </w:t>
      </w:r>
      <w:r w:rsidRPr="00F10791">
        <w:rPr>
          <w:rFonts w:ascii="Times" w:hAnsi="Times" w:cs="Times"/>
          <w:sz w:val="26"/>
          <w:szCs w:val="26"/>
        </w:rPr>
        <w:t>values are often concurrently elevated; however serum total T</w:t>
      </w:r>
      <w:r w:rsidRPr="00F10791">
        <w:rPr>
          <w:rFonts w:ascii="Times" w:hAnsi="Times" w:cs="Times"/>
          <w:position w:val="-6"/>
          <w:sz w:val="18"/>
          <w:szCs w:val="18"/>
        </w:rPr>
        <w:t xml:space="preserve">3 </w:t>
      </w:r>
      <w:r w:rsidRPr="00F10791">
        <w:rPr>
          <w:rFonts w:ascii="Times" w:hAnsi="Times" w:cs="Times"/>
          <w:sz w:val="26"/>
          <w:szCs w:val="26"/>
        </w:rPr>
        <w:t>values are within the reference range in a significant proportion of hyperthyroid cats.</w:t>
      </w:r>
    </w:p>
    <w:p w14:paraId="4CA3322C" w14:textId="4C4DA575" w:rsidR="003C7FCE" w:rsidRPr="00F10791" w:rsidRDefault="003C7FCE"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Severe concurrent nonthyroidal illness may play a role in suppressing the T</w:t>
      </w:r>
      <w:r w:rsidRPr="00F10791">
        <w:rPr>
          <w:rFonts w:ascii="Times" w:hAnsi="Times" w:cs="Times"/>
          <w:position w:val="-6"/>
          <w:sz w:val="18"/>
          <w:szCs w:val="18"/>
        </w:rPr>
        <w:t xml:space="preserve">3 </w:t>
      </w:r>
      <w:r w:rsidRPr="00F10791">
        <w:rPr>
          <w:rFonts w:ascii="Times" w:hAnsi="Times" w:cs="Times"/>
          <w:sz w:val="26"/>
          <w:szCs w:val="26"/>
        </w:rPr>
        <w:t>concentration by inhibiting peripheral conversion of T</w:t>
      </w:r>
      <w:r w:rsidRPr="00F10791">
        <w:rPr>
          <w:rFonts w:ascii="Times" w:hAnsi="Times" w:cs="Times"/>
          <w:position w:val="-6"/>
          <w:sz w:val="18"/>
          <w:szCs w:val="18"/>
        </w:rPr>
        <w:t xml:space="preserve">4 </w:t>
      </w:r>
      <w:r w:rsidRPr="00F10791">
        <w:rPr>
          <w:rFonts w:ascii="Times" w:hAnsi="Times" w:cs="Times"/>
          <w:sz w:val="26"/>
          <w:szCs w:val="26"/>
        </w:rPr>
        <w:t>to T</w:t>
      </w:r>
      <w:r w:rsidRPr="00F10791">
        <w:rPr>
          <w:rFonts w:ascii="Times" w:hAnsi="Times" w:cs="Times"/>
          <w:position w:val="-6"/>
          <w:sz w:val="18"/>
          <w:szCs w:val="18"/>
        </w:rPr>
        <w:t>3</w:t>
      </w:r>
    </w:p>
    <w:p w14:paraId="20B99F6C" w14:textId="77777777" w:rsidR="009E46C2" w:rsidRPr="00F10791" w:rsidRDefault="009E46C2"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Nonspecific fluctuation of thyroid hormones may account for the reference range total T</w:t>
      </w:r>
      <w:r w:rsidRPr="00F10791">
        <w:rPr>
          <w:rFonts w:ascii="Times" w:hAnsi="Times" w:cs="Times"/>
          <w:position w:val="-6"/>
          <w:sz w:val="18"/>
          <w:szCs w:val="18"/>
        </w:rPr>
        <w:t xml:space="preserve">4 </w:t>
      </w:r>
      <w:r w:rsidRPr="00F10791">
        <w:rPr>
          <w:rFonts w:ascii="Times" w:hAnsi="Times" w:cs="Times"/>
          <w:sz w:val="26"/>
          <w:szCs w:val="26"/>
        </w:rPr>
        <w:t>and T</w:t>
      </w:r>
      <w:r w:rsidRPr="00F10791">
        <w:rPr>
          <w:rFonts w:ascii="Times" w:hAnsi="Times" w:cs="Times"/>
          <w:position w:val="-6"/>
          <w:sz w:val="18"/>
          <w:szCs w:val="18"/>
        </w:rPr>
        <w:t xml:space="preserve">3 </w:t>
      </w:r>
      <w:r w:rsidRPr="00F10791">
        <w:rPr>
          <w:rFonts w:ascii="Times" w:hAnsi="Times" w:cs="Times"/>
          <w:sz w:val="26"/>
          <w:szCs w:val="26"/>
        </w:rPr>
        <w:t>values found in hyperthyroid cats</w:t>
      </w:r>
    </w:p>
    <w:p w14:paraId="1961A828" w14:textId="199C0680" w:rsidR="00251B52" w:rsidRPr="00F10791" w:rsidRDefault="00251B52"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The presence of concurrent nonthyroidal illness can also affect the circulating total T</w:t>
      </w:r>
      <w:r w:rsidRPr="00F10791">
        <w:rPr>
          <w:rFonts w:ascii="Times" w:hAnsi="Times" w:cs="Times"/>
          <w:position w:val="-6"/>
          <w:sz w:val="18"/>
          <w:szCs w:val="18"/>
        </w:rPr>
        <w:t xml:space="preserve">4 </w:t>
      </w:r>
      <w:r w:rsidRPr="00F10791">
        <w:rPr>
          <w:rFonts w:ascii="Times" w:hAnsi="Times" w:cs="Times"/>
          <w:sz w:val="26"/>
          <w:szCs w:val="26"/>
        </w:rPr>
        <w:t>concentration in hyperthyroid cats</w:t>
      </w:r>
    </w:p>
    <w:p w14:paraId="6F19B764" w14:textId="489D676C" w:rsidR="00CE6435" w:rsidRPr="00F10791" w:rsidRDefault="00CE6435" w:rsidP="00F10791">
      <w:pPr>
        <w:pStyle w:val="ListParagraph"/>
        <w:widowControl w:val="0"/>
        <w:numPr>
          <w:ilvl w:val="0"/>
          <w:numId w:val="39"/>
        </w:numPr>
        <w:autoSpaceDE w:val="0"/>
        <w:autoSpaceDN w:val="0"/>
        <w:adjustRightInd w:val="0"/>
        <w:spacing w:after="240"/>
        <w:rPr>
          <w:rFonts w:ascii="Times" w:hAnsi="Times" w:cs="Times"/>
        </w:rPr>
      </w:pPr>
      <w:r w:rsidRPr="00F10791">
        <w:rPr>
          <w:rFonts w:ascii="Times" w:hAnsi="Times" w:cs="Times"/>
          <w:sz w:val="26"/>
          <w:szCs w:val="26"/>
        </w:rPr>
        <w:t>Despite the possibility of encountering middle to high reference range values in mildly hyperthyroid cats with concurrent dis- ease, they usually do not pose a diagnostic dilemma, because serum total T</w:t>
      </w:r>
      <w:r w:rsidRPr="00F10791">
        <w:rPr>
          <w:rFonts w:ascii="Times" w:hAnsi="Times" w:cs="Times"/>
          <w:position w:val="-6"/>
          <w:sz w:val="18"/>
          <w:szCs w:val="18"/>
        </w:rPr>
        <w:t xml:space="preserve">4 </w:t>
      </w:r>
      <w:r w:rsidRPr="00F10791">
        <w:rPr>
          <w:rFonts w:ascii="Times" w:hAnsi="Times" w:cs="Times"/>
          <w:sz w:val="26"/>
          <w:szCs w:val="26"/>
        </w:rPr>
        <w:t>concentrations also decline in euthyroid individuals with similar illnesses. In euthyroid cats, the degree of suppression is correlated with the severity rather than with the type of illness and can be used as a prognostic indicator. Low total T</w:t>
      </w:r>
      <w:r w:rsidRPr="00F10791">
        <w:rPr>
          <w:rFonts w:ascii="Times" w:hAnsi="Times" w:cs="Times"/>
          <w:position w:val="-6"/>
          <w:sz w:val="18"/>
          <w:szCs w:val="18"/>
        </w:rPr>
        <w:t xml:space="preserve">4 </w:t>
      </w:r>
      <w:r w:rsidRPr="00F10791">
        <w:rPr>
          <w:rFonts w:ascii="Times" w:hAnsi="Times" w:cs="Times"/>
          <w:sz w:val="26"/>
          <w:szCs w:val="26"/>
        </w:rPr>
        <w:t>values are only expected in hyperthyroid cats with the most severe concurrent disorders, and in these cases, other criteria, particularly detection of a palpable thyroid nodule, may indicate the need to investigate hyperthyroidism further.</w:t>
      </w:r>
    </w:p>
    <w:p w14:paraId="49E9D75A" w14:textId="77777777" w:rsidR="005D1098" w:rsidRDefault="00F10791" w:rsidP="005D1098">
      <w:pPr>
        <w:widowControl w:val="0"/>
        <w:autoSpaceDE w:val="0"/>
        <w:autoSpaceDN w:val="0"/>
        <w:adjustRightInd w:val="0"/>
        <w:spacing w:after="240"/>
        <w:rPr>
          <w:rFonts w:ascii="Times" w:hAnsi="Times" w:cs="Times"/>
        </w:rPr>
      </w:pPr>
      <w:r w:rsidRPr="00F10791">
        <w:rPr>
          <w:rFonts w:ascii="Times" w:hAnsi="Times" w:cs="Times"/>
          <w:b/>
          <w:i/>
          <w:u w:val="single"/>
        </w:rPr>
        <w:t>Free T4</w:t>
      </w:r>
      <w:r>
        <w:rPr>
          <w:rFonts w:ascii="Times" w:hAnsi="Times" w:cs="Times"/>
        </w:rPr>
        <w:t>:</w:t>
      </w:r>
    </w:p>
    <w:p w14:paraId="094706FA" w14:textId="71E54546" w:rsidR="005D1098" w:rsidRPr="002001CC" w:rsidRDefault="005D1098" w:rsidP="002001CC">
      <w:pPr>
        <w:pStyle w:val="ListParagraph"/>
        <w:widowControl w:val="0"/>
        <w:numPr>
          <w:ilvl w:val="0"/>
          <w:numId w:val="40"/>
        </w:numPr>
        <w:autoSpaceDE w:val="0"/>
        <w:autoSpaceDN w:val="0"/>
        <w:adjustRightInd w:val="0"/>
        <w:spacing w:after="240"/>
        <w:rPr>
          <w:rFonts w:ascii="Times" w:hAnsi="Times" w:cs="Times"/>
        </w:rPr>
      </w:pPr>
      <w:r w:rsidRPr="002001CC">
        <w:rPr>
          <w:rFonts w:ascii="Times" w:hAnsi="Times" w:cs="Times"/>
        </w:rPr>
        <w:t>S</w:t>
      </w:r>
      <w:r w:rsidRPr="002001CC">
        <w:rPr>
          <w:rFonts w:ascii="Times" w:hAnsi="Times" w:cs="Times"/>
          <w:sz w:val="26"/>
          <w:szCs w:val="26"/>
        </w:rPr>
        <w:t>erum free T</w:t>
      </w:r>
      <w:r w:rsidRPr="002001CC">
        <w:rPr>
          <w:rFonts w:ascii="Times" w:hAnsi="Times" w:cs="Times"/>
          <w:position w:val="-6"/>
          <w:sz w:val="18"/>
          <w:szCs w:val="18"/>
        </w:rPr>
        <w:t xml:space="preserve">4 </w:t>
      </w:r>
      <w:r w:rsidRPr="002001CC">
        <w:rPr>
          <w:rFonts w:ascii="Times" w:hAnsi="Times" w:cs="Times"/>
          <w:sz w:val="26"/>
          <w:szCs w:val="26"/>
        </w:rPr>
        <w:t>concentration remains elevated in hyperthyroid patients with nonthyroidal illnesses when the total T</w:t>
      </w:r>
      <w:r w:rsidRPr="002001CC">
        <w:rPr>
          <w:rFonts w:ascii="Times" w:hAnsi="Times" w:cs="Times"/>
          <w:position w:val="-6"/>
          <w:sz w:val="18"/>
          <w:szCs w:val="18"/>
        </w:rPr>
        <w:t xml:space="preserve">4 </w:t>
      </w:r>
      <w:r w:rsidRPr="002001CC">
        <w:rPr>
          <w:rFonts w:ascii="Times" w:hAnsi="Times" w:cs="Times"/>
          <w:sz w:val="26"/>
          <w:szCs w:val="26"/>
        </w:rPr>
        <w:t>concentration is suppressed into the reference range. Measurement of the free T</w:t>
      </w:r>
      <w:r w:rsidRPr="002001CC">
        <w:rPr>
          <w:rFonts w:ascii="Times" w:hAnsi="Times" w:cs="Times"/>
          <w:position w:val="-6"/>
          <w:sz w:val="18"/>
          <w:szCs w:val="18"/>
        </w:rPr>
        <w:t xml:space="preserve">4 </w:t>
      </w:r>
      <w:r w:rsidRPr="002001CC">
        <w:rPr>
          <w:rFonts w:ascii="Times" w:hAnsi="Times" w:cs="Times"/>
          <w:sz w:val="26"/>
          <w:szCs w:val="26"/>
        </w:rPr>
        <w:t>concentration has recently been evaluated in hyperthyroid cats and seems to be a useful diagnostic test, particularly in cats with a reference range serum total T</w:t>
      </w:r>
      <w:r w:rsidRPr="002001CC">
        <w:rPr>
          <w:rFonts w:ascii="Times" w:hAnsi="Times" w:cs="Times"/>
          <w:position w:val="-6"/>
          <w:sz w:val="18"/>
          <w:szCs w:val="18"/>
        </w:rPr>
        <w:t xml:space="preserve">4 </w:t>
      </w:r>
      <w:r w:rsidRPr="002001CC">
        <w:rPr>
          <w:rFonts w:ascii="Times" w:hAnsi="Times" w:cs="Times"/>
          <w:sz w:val="26"/>
          <w:szCs w:val="26"/>
        </w:rPr>
        <w:t>concentration</w:t>
      </w:r>
    </w:p>
    <w:p w14:paraId="1AA50ECF" w14:textId="77777777" w:rsidR="00523813" w:rsidRPr="002001CC" w:rsidRDefault="00523813" w:rsidP="002001CC">
      <w:pPr>
        <w:pStyle w:val="ListParagraph"/>
        <w:widowControl w:val="0"/>
        <w:numPr>
          <w:ilvl w:val="0"/>
          <w:numId w:val="40"/>
        </w:numPr>
        <w:autoSpaceDE w:val="0"/>
        <w:autoSpaceDN w:val="0"/>
        <w:adjustRightInd w:val="0"/>
        <w:spacing w:after="240"/>
        <w:rPr>
          <w:rFonts w:ascii="Times" w:hAnsi="Times" w:cs="Times"/>
          <w:sz w:val="26"/>
          <w:szCs w:val="26"/>
        </w:rPr>
      </w:pPr>
      <w:r w:rsidRPr="002001CC">
        <w:rPr>
          <w:rFonts w:ascii="Times" w:hAnsi="Times" w:cs="Times"/>
          <w:sz w:val="26"/>
          <w:szCs w:val="26"/>
        </w:rPr>
        <w:t>The serum free T</w:t>
      </w:r>
      <w:r w:rsidRPr="002001CC">
        <w:rPr>
          <w:rFonts w:ascii="Times" w:hAnsi="Times" w:cs="Times"/>
          <w:position w:val="-6"/>
          <w:sz w:val="18"/>
          <w:szCs w:val="18"/>
        </w:rPr>
        <w:t xml:space="preserve">4 </w:t>
      </w:r>
      <w:r w:rsidRPr="002001CC">
        <w:rPr>
          <w:rFonts w:ascii="Times" w:hAnsi="Times" w:cs="Times"/>
          <w:sz w:val="26"/>
          <w:szCs w:val="26"/>
        </w:rPr>
        <w:t>concentration was elevated in 903 (98.5%) of 917 hyperthyroid cats, whereas the corresponding serum total T</w:t>
      </w:r>
      <w:r w:rsidRPr="002001CC">
        <w:rPr>
          <w:rFonts w:ascii="Times" w:hAnsi="Times" w:cs="Times"/>
          <w:position w:val="-6"/>
          <w:sz w:val="18"/>
          <w:szCs w:val="18"/>
        </w:rPr>
        <w:t xml:space="preserve">4 </w:t>
      </w:r>
      <w:r w:rsidRPr="002001CC">
        <w:rPr>
          <w:rFonts w:ascii="Times" w:hAnsi="Times" w:cs="Times"/>
          <w:sz w:val="26"/>
          <w:szCs w:val="26"/>
        </w:rPr>
        <w:t xml:space="preserve">concentration was elevated in 837 (91.3%) cases. </w:t>
      </w:r>
    </w:p>
    <w:p w14:paraId="0488D340" w14:textId="77777777" w:rsidR="00767677" w:rsidRPr="005C1374" w:rsidRDefault="00523813" w:rsidP="00767677">
      <w:pPr>
        <w:pStyle w:val="ListParagraph"/>
        <w:widowControl w:val="0"/>
        <w:numPr>
          <w:ilvl w:val="0"/>
          <w:numId w:val="40"/>
        </w:numPr>
        <w:autoSpaceDE w:val="0"/>
        <w:autoSpaceDN w:val="0"/>
        <w:adjustRightInd w:val="0"/>
        <w:spacing w:after="240"/>
        <w:rPr>
          <w:rFonts w:ascii="Times" w:hAnsi="Times" w:cs="Times"/>
          <w:highlight w:val="yellow"/>
        </w:rPr>
      </w:pPr>
      <w:r w:rsidRPr="005C1374">
        <w:rPr>
          <w:rFonts w:ascii="Times" w:hAnsi="Times" w:cs="Times"/>
          <w:sz w:val="26"/>
          <w:szCs w:val="26"/>
          <w:highlight w:val="yellow"/>
        </w:rPr>
        <w:t>In all cats with a markedly elevated serum total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concentration, the free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concentration was concurrently elevated, adding little diagnostic information to that already obtained.</w:t>
      </w:r>
    </w:p>
    <w:p w14:paraId="441E5F76" w14:textId="77777777" w:rsidR="00767677" w:rsidRPr="005C1374" w:rsidRDefault="002001CC" w:rsidP="00767677">
      <w:pPr>
        <w:pStyle w:val="ListParagraph"/>
        <w:widowControl w:val="0"/>
        <w:numPr>
          <w:ilvl w:val="0"/>
          <w:numId w:val="40"/>
        </w:numPr>
        <w:autoSpaceDE w:val="0"/>
        <w:autoSpaceDN w:val="0"/>
        <w:adjustRightInd w:val="0"/>
        <w:spacing w:after="240"/>
        <w:rPr>
          <w:rFonts w:ascii="Times" w:hAnsi="Times" w:cs="Times"/>
          <w:highlight w:val="yellow"/>
        </w:rPr>
      </w:pPr>
      <w:r w:rsidRPr="005C1374">
        <w:rPr>
          <w:rFonts w:ascii="Times" w:hAnsi="Times" w:cs="Times"/>
          <w:sz w:val="26"/>
          <w:szCs w:val="26"/>
          <w:highlight w:val="yellow"/>
        </w:rPr>
        <w:t>The increased diagnostic sensitivity of free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measurement is complicated by a loss of specificity, because 6% to 12% of sick euthyroid cats have elevated concentrations.</w:t>
      </w:r>
      <w:r w:rsidR="00767677" w:rsidRPr="005C1374">
        <w:rPr>
          <w:rFonts w:ascii="Times" w:hAnsi="Times" w:cs="Times"/>
          <w:sz w:val="26"/>
          <w:szCs w:val="26"/>
          <w:highlight w:val="yellow"/>
        </w:rPr>
        <w:t xml:space="preserve"> </w:t>
      </w:r>
    </w:p>
    <w:p w14:paraId="031AF822" w14:textId="5C411BE4" w:rsidR="00767677" w:rsidRPr="00767677" w:rsidRDefault="00767677" w:rsidP="00767677">
      <w:pPr>
        <w:pStyle w:val="ListParagraph"/>
        <w:widowControl w:val="0"/>
        <w:numPr>
          <w:ilvl w:val="0"/>
          <w:numId w:val="40"/>
        </w:numPr>
        <w:autoSpaceDE w:val="0"/>
        <w:autoSpaceDN w:val="0"/>
        <w:adjustRightInd w:val="0"/>
        <w:spacing w:after="240"/>
        <w:rPr>
          <w:rFonts w:ascii="Times" w:hAnsi="Times" w:cs="Times"/>
        </w:rPr>
      </w:pPr>
      <w:r w:rsidRPr="00767677">
        <w:rPr>
          <w:rFonts w:ascii="Times" w:hAnsi="Times" w:cs="Times"/>
          <w:sz w:val="26"/>
          <w:szCs w:val="26"/>
        </w:rPr>
        <w:t>The specificity of free T</w:t>
      </w:r>
      <w:r w:rsidRPr="00767677">
        <w:rPr>
          <w:rFonts w:ascii="Times" w:hAnsi="Times" w:cs="Times"/>
          <w:position w:val="-6"/>
          <w:sz w:val="18"/>
          <w:szCs w:val="18"/>
        </w:rPr>
        <w:t xml:space="preserve">4 </w:t>
      </w:r>
      <w:r w:rsidRPr="00767677">
        <w:rPr>
          <w:rFonts w:ascii="Times" w:hAnsi="Times" w:cs="Times"/>
          <w:sz w:val="26"/>
          <w:szCs w:val="26"/>
        </w:rPr>
        <w:t>measurement may be substantially lower in certain disease states</w:t>
      </w:r>
    </w:p>
    <w:p w14:paraId="323B5E6F" w14:textId="77777777" w:rsidR="00F90A7B" w:rsidRPr="005C1374" w:rsidRDefault="00F90A7B" w:rsidP="00F90A7B">
      <w:pPr>
        <w:pStyle w:val="ListParagraph"/>
        <w:widowControl w:val="0"/>
        <w:numPr>
          <w:ilvl w:val="0"/>
          <w:numId w:val="40"/>
        </w:numPr>
        <w:autoSpaceDE w:val="0"/>
        <w:autoSpaceDN w:val="0"/>
        <w:adjustRightInd w:val="0"/>
        <w:spacing w:after="240"/>
        <w:rPr>
          <w:rFonts w:ascii="Times" w:hAnsi="Times" w:cs="Times"/>
          <w:highlight w:val="yellow"/>
        </w:rPr>
      </w:pPr>
      <w:r w:rsidRPr="005C1374">
        <w:rPr>
          <w:rFonts w:ascii="Times" w:hAnsi="Times" w:cs="Times"/>
          <w:sz w:val="26"/>
          <w:szCs w:val="26"/>
          <w:highlight w:val="yellow"/>
        </w:rPr>
        <w:t>More reliable information is obtained when it is interpreted together with the serum total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concentration. A middle to high reference range total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concentration and an elevated free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concentration are consistent with hyperthyroidism</w:t>
      </w:r>
    </w:p>
    <w:p w14:paraId="50BC2ADD" w14:textId="368EBD78" w:rsidR="00F90A7B" w:rsidRPr="005C1374" w:rsidRDefault="00F90A7B" w:rsidP="00F90A7B">
      <w:pPr>
        <w:pStyle w:val="ListParagraph"/>
        <w:widowControl w:val="0"/>
        <w:numPr>
          <w:ilvl w:val="0"/>
          <w:numId w:val="40"/>
        </w:numPr>
        <w:autoSpaceDE w:val="0"/>
        <w:autoSpaceDN w:val="0"/>
        <w:adjustRightInd w:val="0"/>
        <w:spacing w:after="240"/>
        <w:rPr>
          <w:rFonts w:ascii="Times" w:hAnsi="Times" w:cs="Times"/>
          <w:highlight w:val="yellow"/>
        </w:rPr>
      </w:pPr>
      <w:r w:rsidRPr="005C1374">
        <w:rPr>
          <w:rFonts w:ascii="Times" w:hAnsi="Times" w:cs="Times"/>
          <w:sz w:val="26"/>
          <w:szCs w:val="26"/>
          <w:highlight w:val="yellow"/>
        </w:rPr>
        <w:t>By contrast, a low total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value and elevated free T</w:t>
      </w:r>
      <w:r w:rsidRPr="005C1374">
        <w:rPr>
          <w:rFonts w:ascii="Times" w:hAnsi="Times" w:cs="Times"/>
          <w:position w:val="-6"/>
          <w:sz w:val="18"/>
          <w:szCs w:val="18"/>
          <w:highlight w:val="yellow"/>
        </w:rPr>
        <w:t xml:space="preserve">4 </w:t>
      </w:r>
      <w:r w:rsidRPr="005C1374">
        <w:rPr>
          <w:rFonts w:ascii="Times" w:hAnsi="Times" w:cs="Times"/>
          <w:sz w:val="26"/>
          <w:szCs w:val="26"/>
          <w:highlight w:val="yellow"/>
        </w:rPr>
        <w:t>value are usually associated with nonthyroidal illness</w:t>
      </w:r>
    </w:p>
    <w:p w14:paraId="3C5DD380" w14:textId="0D7AF318" w:rsidR="002001CC" w:rsidRPr="002001CC" w:rsidRDefault="002001CC" w:rsidP="00767677">
      <w:pPr>
        <w:pStyle w:val="ListParagraph"/>
        <w:widowControl w:val="0"/>
        <w:autoSpaceDE w:val="0"/>
        <w:autoSpaceDN w:val="0"/>
        <w:adjustRightInd w:val="0"/>
        <w:spacing w:after="240"/>
        <w:rPr>
          <w:rFonts w:ascii="Times" w:hAnsi="Times" w:cs="Times"/>
        </w:rPr>
      </w:pPr>
    </w:p>
    <w:p w14:paraId="1A056D8A" w14:textId="6B5F1C4B" w:rsidR="00894DAD" w:rsidRDefault="0081467D" w:rsidP="007D6571">
      <w:pPr>
        <w:widowControl w:val="0"/>
        <w:autoSpaceDE w:val="0"/>
        <w:autoSpaceDN w:val="0"/>
        <w:adjustRightInd w:val="0"/>
        <w:spacing w:after="240"/>
        <w:rPr>
          <w:rFonts w:ascii="Times" w:hAnsi="Times" w:cs="Times"/>
        </w:rPr>
      </w:pPr>
      <w:r w:rsidRPr="0081467D">
        <w:rPr>
          <w:rFonts w:ascii="Times" w:hAnsi="Times" w:cs="Times"/>
          <w:b/>
          <w:i/>
          <w:u w:val="single"/>
        </w:rPr>
        <w:t>Thyroid stimulating hormone (TSH)</w:t>
      </w:r>
      <w:r>
        <w:rPr>
          <w:rFonts w:ascii="Times" w:hAnsi="Times" w:cs="Times"/>
        </w:rPr>
        <w:t>:</w:t>
      </w:r>
    </w:p>
    <w:p w14:paraId="49928538" w14:textId="46293981" w:rsidR="00EC0475" w:rsidRPr="00FD2EB4" w:rsidRDefault="00EC0475" w:rsidP="00FD2EB4">
      <w:pPr>
        <w:pStyle w:val="ListParagraph"/>
        <w:widowControl w:val="0"/>
        <w:numPr>
          <w:ilvl w:val="0"/>
          <w:numId w:val="42"/>
        </w:numPr>
        <w:autoSpaceDE w:val="0"/>
        <w:autoSpaceDN w:val="0"/>
        <w:adjustRightInd w:val="0"/>
        <w:spacing w:after="240"/>
        <w:rPr>
          <w:rFonts w:ascii="Times" w:hAnsi="Times" w:cs="Times"/>
        </w:rPr>
      </w:pPr>
      <w:r w:rsidRPr="00FD2EB4">
        <w:rPr>
          <w:rFonts w:ascii="Times" w:hAnsi="Times" w:cs="Times"/>
          <w:sz w:val="26"/>
          <w:szCs w:val="26"/>
        </w:rPr>
        <w:t>In human beings, measurement of the circulat</w:t>
      </w:r>
      <w:r w:rsidRPr="00FD2EB4">
        <w:rPr>
          <w:rFonts w:ascii="Times" w:hAnsi="Times" w:cs="Times"/>
          <w:sz w:val="26"/>
          <w:szCs w:val="26"/>
        </w:rPr>
        <w:t>ing TSH concentration is gener</w:t>
      </w:r>
      <w:r w:rsidRPr="00FD2EB4">
        <w:rPr>
          <w:rFonts w:ascii="Times" w:hAnsi="Times" w:cs="Times"/>
          <w:sz w:val="26"/>
          <w:szCs w:val="26"/>
        </w:rPr>
        <w:t>ally used as a first-line discriminatory test of thyroid function.</w:t>
      </w:r>
    </w:p>
    <w:p w14:paraId="47D84E67" w14:textId="77777777" w:rsidR="00EC0475" w:rsidRPr="00FD2EB4" w:rsidRDefault="00EC0475" w:rsidP="00FD2EB4">
      <w:pPr>
        <w:pStyle w:val="ListParagraph"/>
        <w:widowControl w:val="0"/>
        <w:numPr>
          <w:ilvl w:val="0"/>
          <w:numId w:val="42"/>
        </w:numPr>
        <w:autoSpaceDE w:val="0"/>
        <w:autoSpaceDN w:val="0"/>
        <w:adjustRightInd w:val="0"/>
        <w:spacing w:after="240"/>
        <w:rPr>
          <w:rFonts w:ascii="Times" w:hAnsi="Times" w:cs="Times"/>
          <w:sz w:val="26"/>
          <w:szCs w:val="26"/>
        </w:rPr>
      </w:pPr>
      <w:r w:rsidRPr="00FD2EB4">
        <w:rPr>
          <w:rFonts w:ascii="Times" w:hAnsi="Times" w:cs="Times"/>
          <w:sz w:val="26"/>
          <w:szCs w:val="26"/>
        </w:rPr>
        <w:t>T</w:t>
      </w:r>
      <w:r w:rsidRPr="00FD2EB4">
        <w:rPr>
          <w:rFonts w:ascii="Times" w:hAnsi="Times" w:cs="Times"/>
          <w:sz w:val="26"/>
          <w:szCs w:val="26"/>
        </w:rPr>
        <w:t>here is a log-linear negative feedback relation between free T</w:t>
      </w:r>
      <w:r w:rsidRPr="00FD2EB4">
        <w:rPr>
          <w:rFonts w:ascii="Times" w:hAnsi="Times" w:cs="Times"/>
          <w:position w:val="-6"/>
          <w:sz w:val="18"/>
          <w:szCs w:val="18"/>
        </w:rPr>
        <w:t xml:space="preserve">4 </w:t>
      </w:r>
      <w:r w:rsidRPr="00FD2EB4">
        <w:rPr>
          <w:rFonts w:ascii="Times" w:hAnsi="Times" w:cs="Times"/>
          <w:sz w:val="26"/>
          <w:szCs w:val="26"/>
        </w:rPr>
        <w:t>and TSH, such that marked changes in TSH concentration can be induced by relatively small changes in free T</w:t>
      </w:r>
      <w:r w:rsidRPr="00FD2EB4">
        <w:rPr>
          <w:rFonts w:ascii="Times" w:hAnsi="Times" w:cs="Times"/>
          <w:position w:val="-6"/>
          <w:sz w:val="18"/>
          <w:szCs w:val="18"/>
        </w:rPr>
        <w:t>4</w:t>
      </w:r>
      <w:r w:rsidRPr="00FD2EB4">
        <w:rPr>
          <w:rFonts w:ascii="Times" w:hAnsi="Times" w:cs="Times"/>
          <w:sz w:val="26"/>
          <w:szCs w:val="26"/>
        </w:rPr>
        <w:t xml:space="preserve">. </w:t>
      </w:r>
    </w:p>
    <w:p w14:paraId="51846F52" w14:textId="77777777" w:rsidR="00EC0475" w:rsidRPr="00FD2EB4" w:rsidRDefault="00EC0475" w:rsidP="00FD2EB4">
      <w:pPr>
        <w:pStyle w:val="ListParagraph"/>
        <w:widowControl w:val="0"/>
        <w:numPr>
          <w:ilvl w:val="0"/>
          <w:numId w:val="42"/>
        </w:numPr>
        <w:autoSpaceDE w:val="0"/>
        <w:autoSpaceDN w:val="0"/>
        <w:adjustRightInd w:val="0"/>
        <w:spacing w:after="240"/>
        <w:rPr>
          <w:rFonts w:ascii="Times" w:hAnsi="Times" w:cs="Times"/>
        </w:rPr>
      </w:pPr>
      <w:r w:rsidRPr="00FD2EB4">
        <w:rPr>
          <w:rFonts w:ascii="Times" w:hAnsi="Times" w:cs="Times"/>
          <w:sz w:val="26"/>
          <w:szCs w:val="26"/>
        </w:rPr>
        <w:t>To date, a feline-specific TSH assay has not been</w:t>
      </w:r>
      <w:r w:rsidRPr="00FD2EB4">
        <w:rPr>
          <w:rFonts w:ascii="Times" w:hAnsi="Times" w:cs="Times"/>
          <w:sz w:val="26"/>
          <w:szCs w:val="26"/>
        </w:rPr>
        <w:t xml:space="preserve"> </w:t>
      </w:r>
      <w:r w:rsidRPr="00FD2EB4">
        <w:rPr>
          <w:rFonts w:ascii="Times" w:hAnsi="Times" w:cs="Times"/>
          <w:sz w:val="26"/>
          <w:szCs w:val="26"/>
        </w:rPr>
        <w:t>developed commercially, and most studies have focused on using assays de- signed for canine or human use.</w:t>
      </w:r>
    </w:p>
    <w:p w14:paraId="73528F74" w14:textId="231170DA" w:rsidR="00EC0475" w:rsidRPr="00FD2EB4" w:rsidRDefault="00EC0475" w:rsidP="00FD2EB4">
      <w:pPr>
        <w:pStyle w:val="ListParagraph"/>
        <w:widowControl w:val="0"/>
        <w:numPr>
          <w:ilvl w:val="0"/>
          <w:numId w:val="42"/>
        </w:numPr>
        <w:autoSpaceDE w:val="0"/>
        <w:autoSpaceDN w:val="0"/>
        <w:adjustRightInd w:val="0"/>
        <w:spacing w:after="240"/>
        <w:rPr>
          <w:rFonts w:ascii="Times" w:hAnsi="Times" w:cs="Times"/>
        </w:rPr>
      </w:pPr>
      <w:r w:rsidRPr="00FD2EB4">
        <w:rPr>
          <w:rFonts w:ascii="Times" w:hAnsi="Times" w:cs="Times"/>
        </w:rPr>
        <w:t xml:space="preserve">A canine TSH assay has been evaluated in cats; </w:t>
      </w:r>
      <w:r w:rsidR="00F6498F" w:rsidRPr="00FD2EB4">
        <w:rPr>
          <w:rFonts w:ascii="Times" w:hAnsi="Times" w:cs="Times"/>
          <w:sz w:val="26"/>
          <w:szCs w:val="26"/>
        </w:rPr>
        <w:t>i</w:t>
      </w:r>
      <w:r w:rsidRPr="00FD2EB4">
        <w:rPr>
          <w:rFonts w:ascii="Times" w:hAnsi="Times" w:cs="Times"/>
          <w:sz w:val="26"/>
          <w:szCs w:val="26"/>
        </w:rPr>
        <w:t>ts only value may be in elimi</w:t>
      </w:r>
      <w:r w:rsidRPr="00FD2EB4">
        <w:rPr>
          <w:rFonts w:ascii="Times" w:hAnsi="Times" w:cs="Times"/>
          <w:sz w:val="26"/>
          <w:szCs w:val="26"/>
        </w:rPr>
        <w:t>nating hyperthyroidism in cats with readily detectable concentrations.</w:t>
      </w:r>
    </w:p>
    <w:p w14:paraId="4650A265" w14:textId="60AF7474" w:rsidR="00EC0475" w:rsidRDefault="00EC0475" w:rsidP="00EC0475">
      <w:pPr>
        <w:widowControl w:val="0"/>
        <w:autoSpaceDE w:val="0"/>
        <w:autoSpaceDN w:val="0"/>
        <w:adjustRightInd w:val="0"/>
        <w:spacing w:after="240"/>
        <w:rPr>
          <w:rFonts w:ascii="Times" w:hAnsi="Times" w:cs="Times"/>
        </w:rPr>
      </w:pPr>
    </w:p>
    <w:p w14:paraId="3998FAFC" w14:textId="756A2017" w:rsidR="008C546E" w:rsidRDefault="00FD2EB4" w:rsidP="003B2A27">
      <w:pPr>
        <w:widowControl w:val="0"/>
        <w:autoSpaceDE w:val="0"/>
        <w:autoSpaceDN w:val="0"/>
        <w:adjustRightInd w:val="0"/>
        <w:spacing w:after="240"/>
        <w:rPr>
          <w:rFonts w:ascii="Times" w:hAnsi="Times" w:cs="Times"/>
          <w:b/>
        </w:rPr>
      </w:pPr>
      <w:r>
        <w:rPr>
          <w:rFonts w:ascii="Times" w:hAnsi="Times" w:cs="Times"/>
          <w:b/>
        </w:rPr>
        <w:t>Dynamic thyroid function testing:</w:t>
      </w:r>
    </w:p>
    <w:p w14:paraId="3420C34D" w14:textId="34F90F72" w:rsidR="00A42CFD" w:rsidRDefault="00A42CFD" w:rsidP="00A42CFD">
      <w:pPr>
        <w:widowControl w:val="0"/>
        <w:autoSpaceDE w:val="0"/>
        <w:autoSpaceDN w:val="0"/>
        <w:adjustRightInd w:val="0"/>
        <w:spacing w:after="240"/>
        <w:rPr>
          <w:rFonts w:ascii="Times" w:hAnsi="Times" w:cs="Times"/>
        </w:rPr>
      </w:pPr>
      <w:r>
        <w:rPr>
          <w:rFonts w:ascii="Times" w:hAnsi="Times" w:cs="Times"/>
          <w:sz w:val="26"/>
          <w:szCs w:val="26"/>
        </w:rPr>
        <w:t>Such tests may be required in some cats with clin</w:t>
      </w:r>
      <w:r w:rsidR="00C86AD7">
        <w:rPr>
          <w:rFonts w:ascii="Times" w:hAnsi="Times" w:cs="Times"/>
          <w:sz w:val="26"/>
          <w:szCs w:val="26"/>
        </w:rPr>
        <w:t>ical signs suggestive of hyper</w:t>
      </w:r>
      <w:r>
        <w:rPr>
          <w:rFonts w:ascii="Times" w:hAnsi="Times" w:cs="Times"/>
          <w:sz w:val="26"/>
          <w:szCs w:val="26"/>
        </w:rPr>
        <w:t>thyroidism, however, when a repeated serum total T</w:t>
      </w:r>
      <w:r>
        <w:rPr>
          <w:rFonts w:ascii="Times" w:hAnsi="Times" w:cs="Times"/>
          <w:position w:val="-6"/>
          <w:sz w:val="18"/>
          <w:szCs w:val="18"/>
        </w:rPr>
        <w:t xml:space="preserve">4 </w:t>
      </w:r>
      <w:r>
        <w:rPr>
          <w:rFonts w:ascii="Times" w:hAnsi="Times" w:cs="Times"/>
          <w:sz w:val="26"/>
          <w:szCs w:val="26"/>
        </w:rPr>
        <w:t>concentration remains equivocal and a serum free T</w:t>
      </w:r>
      <w:r>
        <w:rPr>
          <w:rFonts w:ascii="Times" w:hAnsi="Times" w:cs="Times"/>
          <w:position w:val="-6"/>
          <w:sz w:val="18"/>
          <w:szCs w:val="18"/>
        </w:rPr>
        <w:t xml:space="preserve">4 </w:t>
      </w:r>
      <w:r>
        <w:rPr>
          <w:rFonts w:ascii="Times" w:hAnsi="Times" w:cs="Times"/>
          <w:sz w:val="26"/>
          <w:szCs w:val="26"/>
        </w:rPr>
        <w:t>measurement is unavailable or unhelpful</w:t>
      </w:r>
    </w:p>
    <w:p w14:paraId="3CE17634" w14:textId="549982D4" w:rsidR="008C546E" w:rsidRDefault="00A42CFD" w:rsidP="003B2A27">
      <w:pPr>
        <w:widowControl w:val="0"/>
        <w:autoSpaceDE w:val="0"/>
        <w:autoSpaceDN w:val="0"/>
        <w:adjustRightInd w:val="0"/>
        <w:spacing w:after="240"/>
        <w:rPr>
          <w:rFonts w:ascii="Times" w:hAnsi="Times" w:cs="Times"/>
          <w:b/>
        </w:rPr>
      </w:pPr>
      <w:r>
        <w:rPr>
          <w:rFonts w:ascii="Times" w:hAnsi="Times" w:cs="Times"/>
          <w:b/>
          <w:noProof/>
        </w:rPr>
        <w:drawing>
          <wp:inline distT="0" distB="0" distL="0" distR="0" wp14:anchorId="2FB8B9FC" wp14:editId="57D525B8">
            <wp:extent cx="5486400" cy="489714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897149"/>
                    </a:xfrm>
                    <a:prstGeom prst="rect">
                      <a:avLst/>
                    </a:prstGeom>
                    <a:noFill/>
                    <a:ln>
                      <a:noFill/>
                    </a:ln>
                  </pic:spPr>
                </pic:pic>
              </a:graphicData>
            </a:graphic>
          </wp:inline>
        </w:drawing>
      </w:r>
    </w:p>
    <w:p w14:paraId="30808EDF" w14:textId="77777777" w:rsidR="008C546E" w:rsidRDefault="008C546E" w:rsidP="003B2A27">
      <w:pPr>
        <w:widowControl w:val="0"/>
        <w:autoSpaceDE w:val="0"/>
        <w:autoSpaceDN w:val="0"/>
        <w:adjustRightInd w:val="0"/>
        <w:spacing w:after="240"/>
        <w:rPr>
          <w:rFonts w:ascii="Times" w:hAnsi="Times" w:cs="Times"/>
          <w:b/>
        </w:rPr>
      </w:pPr>
    </w:p>
    <w:p w14:paraId="4EF5BCA7" w14:textId="77777777" w:rsidR="008C546E" w:rsidRDefault="008C546E" w:rsidP="003B2A27">
      <w:pPr>
        <w:widowControl w:val="0"/>
        <w:autoSpaceDE w:val="0"/>
        <w:autoSpaceDN w:val="0"/>
        <w:adjustRightInd w:val="0"/>
        <w:spacing w:after="240"/>
        <w:rPr>
          <w:rFonts w:ascii="Times" w:hAnsi="Times" w:cs="Times"/>
          <w:b/>
        </w:rPr>
      </w:pPr>
    </w:p>
    <w:p w14:paraId="445342FC" w14:textId="2D9B223C" w:rsidR="008C546E" w:rsidRDefault="00477372" w:rsidP="003B2A27">
      <w:pPr>
        <w:widowControl w:val="0"/>
        <w:autoSpaceDE w:val="0"/>
        <w:autoSpaceDN w:val="0"/>
        <w:adjustRightInd w:val="0"/>
        <w:spacing w:after="240"/>
        <w:rPr>
          <w:rFonts w:ascii="Times" w:hAnsi="Times" w:cs="Times"/>
        </w:rPr>
      </w:pPr>
      <w:r w:rsidRPr="00477372">
        <w:rPr>
          <w:rFonts w:ascii="Times" w:hAnsi="Times" w:cs="Times"/>
          <w:b/>
          <w:i/>
          <w:u w:val="single"/>
        </w:rPr>
        <w:t>TSH response test</w:t>
      </w:r>
      <w:r>
        <w:rPr>
          <w:rFonts w:ascii="Times" w:hAnsi="Times" w:cs="Times"/>
        </w:rPr>
        <w:t>:</w:t>
      </w:r>
    </w:p>
    <w:p w14:paraId="321156EC" w14:textId="65F78798" w:rsidR="00FC06D3" w:rsidRDefault="00FC06D3" w:rsidP="003B2A27">
      <w:pPr>
        <w:widowControl w:val="0"/>
        <w:autoSpaceDE w:val="0"/>
        <w:autoSpaceDN w:val="0"/>
        <w:adjustRightInd w:val="0"/>
        <w:spacing w:after="240"/>
        <w:rPr>
          <w:rFonts w:ascii="Times" w:hAnsi="Times" w:cs="Times"/>
        </w:rPr>
      </w:pPr>
      <w:r>
        <w:rPr>
          <w:rFonts w:ascii="Times" w:hAnsi="Times" w:cs="Times"/>
        </w:rPr>
        <w:t>May not be different between hyper and euthyroid cats, suggesting the thyroid is secreting T4 at maximal capacity or is independent of TSH</w:t>
      </w:r>
    </w:p>
    <w:p w14:paraId="5E405B32" w14:textId="25AEC307" w:rsidR="00FC06D3" w:rsidRPr="00477372" w:rsidRDefault="00FC06D3" w:rsidP="003B2A27">
      <w:pPr>
        <w:widowControl w:val="0"/>
        <w:autoSpaceDE w:val="0"/>
        <w:autoSpaceDN w:val="0"/>
        <w:adjustRightInd w:val="0"/>
        <w:spacing w:after="240"/>
        <w:rPr>
          <w:rFonts w:ascii="Times" w:hAnsi="Times" w:cs="Times"/>
        </w:rPr>
      </w:pPr>
      <w:r>
        <w:rPr>
          <w:rFonts w:ascii="Times" w:hAnsi="Times" w:cs="Times"/>
        </w:rPr>
        <w:t>If there is a difference it may be due stimulation of normal thyroid tissue</w:t>
      </w:r>
    </w:p>
    <w:p w14:paraId="493DA21A" w14:textId="7E984162" w:rsidR="008C546E" w:rsidRPr="002721BE" w:rsidRDefault="00FC06D3" w:rsidP="003B2A27">
      <w:pPr>
        <w:widowControl w:val="0"/>
        <w:autoSpaceDE w:val="0"/>
        <w:autoSpaceDN w:val="0"/>
        <w:adjustRightInd w:val="0"/>
        <w:spacing w:after="240"/>
        <w:rPr>
          <w:rFonts w:ascii="Times" w:hAnsi="Times" w:cs="Times"/>
          <w:b/>
          <w:i/>
        </w:rPr>
      </w:pPr>
      <w:r w:rsidRPr="002721BE">
        <w:rPr>
          <w:rFonts w:ascii="Times" w:hAnsi="Times" w:cs="Times"/>
          <w:b/>
          <w:i/>
          <w:u w:val="single"/>
        </w:rPr>
        <w:t>TRH response test</w:t>
      </w:r>
      <w:r w:rsidRPr="002721BE">
        <w:rPr>
          <w:rFonts w:ascii="Times" w:hAnsi="Times" w:cs="Times"/>
          <w:b/>
          <w:i/>
        </w:rPr>
        <w:t>:</w:t>
      </w:r>
    </w:p>
    <w:p w14:paraId="73A1A681" w14:textId="77777777" w:rsidR="002721BE" w:rsidRDefault="002721BE" w:rsidP="002721BE">
      <w:pPr>
        <w:widowControl w:val="0"/>
        <w:autoSpaceDE w:val="0"/>
        <w:autoSpaceDN w:val="0"/>
        <w:adjustRightInd w:val="0"/>
        <w:spacing w:after="240"/>
        <w:rPr>
          <w:rFonts w:ascii="Times" w:hAnsi="Times" w:cs="Times"/>
          <w:sz w:val="26"/>
          <w:szCs w:val="26"/>
        </w:rPr>
      </w:pPr>
      <w:r>
        <w:rPr>
          <w:rFonts w:ascii="Times" w:hAnsi="Times" w:cs="Times"/>
          <w:sz w:val="26"/>
          <w:szCs w:val="26"/>
        </w:rPr>
        <w:t>There is a limited total T</w:t>
      </w:r>
      <w:r>
        <w:rPr>
          <w:rFonts w:ascii="Times" w:hAnsi="Times" w:cs="Times"/>
          <w:position w:val="-6"/>
          <w:sz w:val="18"/>
          <w:szCs w:val="18"/>
        </w:rPr>
        <w:t xml:space="preserve">4 </w:t>
      </w:r>
      <w:r>
        <w:rPr>
          <w:rFonts w:ascii="Times" w:hAnsi="Times" w:cs="Times"/>
          <w:sz w:val="26"/>
          <w:szCs w:val="26"/>
        </w:rPr>
        <w:t>response to TRH stimulation in hyperthyroid cats.</w:t>
      </w:r>
    </w:p>
    <w:p w14:paraId="2BF3B456" w14:textId="41D40E63" w:rsidR="00EC7210" w:rsidRDefault="00EC7210" w:rsidP="002721BE">
      <w:pPr>
        <w:widowControl w:val="0"/>
        <w:autoSpaceDE w:val="0"/>
        <w:autoSpaceDN w:val="0"/>
        <w:adjustRightInd w:val="0"/>
        <w:spacing w:after="240"/>
        <w:rPr>
          <w:rFonts w:ascii="Times" w:hAnsi="Times" w:cs="Times"/>
          <w:sz w:val="26"/>
          <w:szCs w:val="26"/>
        </w:rPr>
      </w:pPr>
      <w:r w:rsidRPr="00EC7210">
        <w:rPr>
          <w:rFonts w:ascii="Times" w:hAnsi="Times" w:cs="Times"/>
          <w:b/>
          <w:i/>
          <w:sz w:val="26"/>
          <w:szCs w:val="26"/>
          <w:u w:val="single"/>
        </w:rPr>
        <w:t>T3 suppression test</w:t>
      </w:r>
      <w:r>
        <w:rPr>
          <w:rFonts w:ascii="Times" w:hAnsi="Times" w:cs="Times"/>
          <w:sz w:val="26"/>
          <w:szCs w:val="26"/>
        </w:rPr>
        <w:t>:</w:t>
      </w:r>
    </w:p>
    <w:p w14:paraId="1CCAFD20" w14:textId="77777777" w:rsidR="00225DA1" w:rsidRPr="007F23E7" w:rsidRDefault="00225DA1" w:rsidP="007F23E7">
      <w:pPr>
        <w:pStyle w:val="ListParagraph"/>
        <w:widowControl w:val="0"/>
        <w:numPr>
          <w:ilvl w:val="0"/>
          <w:numId w:val="43"/>
        </w:numPr>
        <w:autoSpaceDE w:val="0"/>
        <w:autoSpaceDN w:val="0"/>
        <w:adjustRightInd w:val="0"/>
        <w:spacing w:after="240"/>
        <w:rPr>
          <w:rFonts w:ascii="Times" w:hAnsi="Times" w:cs="Times"/>
        </w:rPr>
      </w:pPr>
      <w:r w:rsidRPr="007F23E7">
        <w:rPr>
          <w:rFonts w:ascii="Times" w:hAnsi="Times" w:cs="Times"/>
          <w:sz w:val="26"/>
          <w:szCs w:val="26"/>
        </w:rPr>
        <w:t>The T</w:t>
      </w:r>
      <w:r w:rsidRPr="007F23E7">
        <w:rPr>
          <w:rFonts w:ascii="Times" w:hAnsi="Times" w:cs="Times"/>
          <w:position w:val="-6"/>
          <w:sz w:val="18"/>
          <w:szCs w:val="18"/>
        </w:rPr>
        <w:t xml:space="preserve">3 </w:t>
      </w:r>
      <w:r w:rsidRPr="007F23E7">
        <w:rPr>
          <w:rFonts w:ascii="Times" w:hAnsi="Times" w:cs="Times"/>
          <w:sz w:val="26"/>
          <w:szCs w:val="26"/>
        </w:rPr>
        <w:t>suppression test relies on the ability of administered liothyronine, through negative feedback, to decrease T</w:t>
      </w:r>
      <w:r w:rsidRPr="007F23E7">
        <w:rPr>
          <w:rFonts w:ascii="Times" w:hAnsi="Times" w:cs="Times"/>
          <w:position w:val="-6"/>
          <w:sz w:val="18"/>
          <w:szCs w:val="18"/>
        </w:rPr>
        <w:t xml:space="preserve">4 </w:t>
      </w:r>
      <w:r w:rsidRPr="007F23E7">
        <w:rPr>
          <w:rFonts w:ascii="Times" w:hAnsi="Times" w:cs="Times"/>
          <w:sz w:val="26"/>
          <w:szCs w:val="26"/>
        </w:rPr>
        <w:t>production by the thyroid gland.</w:t>
      </w:r>
    </w:p>
    <w:p w14:paraId="71F46D12" w14:textId="05B9BD9E" w:rsidR="00C153B8" w:rsidRPr="007F23E7" w:rsidRDefault="00C153B8" w:rsidP="007F23E7">
      <w:pPr>
        <w:pStyle w:val="ListParagraph"/>
        <w:widowControl w:val="0"/>
        <w:numPr>
          <w:ilvl w:val="0"/>
          <w:numId w:val="43"/>
        </w:numPr>
        <w:autoSpaceDE w:val="0"/>
        <w:autoSpaceDN w:val="0"/>
        <w:adjustRightInd w:val="0"/>
        <w:spacing w:after="240"/>
        <w:rPr>
          <w:rFonts w:ascii="Times" w:hAnsi="Times" w:cs="Times"/>
        </w:rPr>
      </w:pPr>
      <w:r w:rsidRPr="007F23E7">
        <w:rPr>
          <w:rFonts w:ascii="Times" w:hAnsi="Times" w:cs="Times"/>
          <w:sz w:val="26"/>
          <w:szCs w:val="26"/>
        </w:rPr>
        <w:t>In hyperthyroidism, because excess circulating thyroid hormone concentrations have already suppressed TSH production and secretion, additional T</w:t>
      </w:r>
      <w:r w:rsidRPr="007F23E7">
        <w:rPr>
          <w:rFonts w:ascii="Times" w:hAnsi="Times" w:cs="Times"/>
          <w:position w:val="-6"/>
          <w:sz w:val="18"/>
          <w:szCs w:val="18"/>
        </w:rPr>
        <w:t xml:space="preserve">3 </w:t>
      </w:r>
      <w:r w:rsidRPr="007F23E7">
        <w:rPr>
          <w:rFonts w:ascii="Times" w:hAnsi="Times" w:cs="Times"/>
          <w:sz w:val="26"/>
          <w:szCs w:val="26"/>
        </w:rPr>
        <w:t>has min</w:t>
      </w:r>
      <w:r w:rsidRPr="007F23E7">
        <w:rPr>
          <w:rFonts w:ascii="Times" w:hAnsi="Times" w:cs="Times"/>
          <w:sz w:val="26"/>
          <w:szCs w:val="26"/>
        </w:rPr>
        <w:t>imal effect on T</w:t>
      </w:r>
      <w:r w:rsidRPr="007F23E7">
        <w:rPr>
          <w:rFonts w:ascii="Times" w:hAnsi="Times" w:cs="Times"/>
          <w:position w:val="-6"/>
          <w:sz w:val="18"/>
          <w:szCs w:val="18"/>
        </w:rPr>
        <w:t xml:space="preserve">4 </w:t>
      </w:r>
      <w:r w:rsidRPr="007F23E7">
        <w:rPr>
          <w:rFonts w:ascii="Times" w:hAnsi="Times" w:cs="Times"/>
          <w:sz w:val="26"/>
          <w:szCs w:val="26"/>
        </w:rPr>
        <w:t>production. Therefore, the serum total T</w:t>
      </w:r>
      <w:r w:rsidRPr="007F23E7">
        <w:rPr>
          <w:rFonts w:ascii="Times" w:hAnsi="Times" w:cs="Times"/>
          <w:position w:val="-6"/>
          <w:sz w:val="18"/>
          <w:szCs w:val="18"/>
        </w:rPr>
        <w:t xml:space="preserve">4 </w:t>
      </w:r>
      <w:r w:rsidRPr="007F23E7">
        <w:rPr>
          <w:rFonts w:ascii="Times" w:hAnsi="Times" w:cs="Times"/>
          <w:sz w:val="26"/>
          <w:szCs w:val="26"/>
        </w:rPr>
        <w:t>concentration re- mains significantly higher after liothyronine administration in hyperthyroid compared with euthyroid (healthy and sick) cats, and the percentage decrease is consequently significantly lower</w:t>
      </w:r>
    </w:p>
    <w:p w14:paraId="451341AB" w14:textId="77777777" w:rsidR="007F23E7" w:rsidRPr="007F23E7" w:rsidRDefault="007F23E7" w:rsidP="007F23E7">
      <w:pPr>
        <w:pStyle w:val="ListParagraph"/>
        <w:widowControl w:val="0"/>
        <w:numPr>
          <w:ilvl w:val="0"/>
          <w:numId w:val="43"/>
        </w:numPr>
        <w:autoSpaceDE w:val="0"/>
        <w:autoSpaceDN w:val="0"/>
        <w:adjustRightInd w:val="0"/>
        <w:spacing w:after="240"/>
        <w:rPr>
          <w:rFonts w:ascii="Times" w:hAnsi="Times" w:cs="Times"/>
          <w:sz w:val="26"/>
          <w:szCs w:val="26"/>
        </w:rPr>
      </w:pPr>
      <w:r w:rsidRPr="007F23E7">
        <w:rPr>
          <w:rFonts w:ascii="Times" w:hAnsi="Times" w:cs="Times"/>
          <w:sz w:val="26"/>
          <w:szCs w:val="26"/>
        </w:rPr>
        <w:t>Although individual laboratories vary, as a general guideline, the postliothyronine serum total T</w:t>
      </w:r>
      <w:r w:rsidRPr="007F23E7">
        <w:rPr>
          <w:rFonts w:ascii="Times" w:hAnsi="Times" w:cs="Times"/>
          <w:position w:val="-6"/>
          <w:sz w:val="18"/>
          <w:szCs w:val="18"/>
        </w:rPr>
        <w:t xml:space="preserve">4 </w:t>
      </w:r>
      <w:r w:rsidRPr="007F23E7">
        <w:rPr>
          <w:rFonts w:ascii="Times" w:hAnsi="Times" w:cs="Times"/>
          <w:sz w:val="26"/>
          <w:szCs w:val="26"/>
        </w:rPr>
        <w:t>concentration tends to be greater than 20 nmol/L in hyperthyroid cats and less than 20 nmol/L in euthyroid cats.</w:t>
      </w:r>
      <w:r w:rsidRPr="007F23E7">
        <w:rPr>
          <w:rFonts w:ascii="Times" w:hAnsi="Times" w:cs="Times"/>
          <w:sz w:val="26"/>
          <w:szCs w:val="26"/>
        </w:rPr>
        <w:t xml:space="preserve"> </w:t>
      </w:r>
    </w:p>
    <w:p w14:paraId="715053FF" w14:textId="2090094A" w:rsidR="007F23E7" w:rsidRPr="007F23E7" w:rsidRDefault="007F23E7" w:rsidP="007F23E7">
      <w:pPr>
        <w:pStyle w:val="ListParagraph"/>
        <w:widowControl w:val="0"/>
        <w:numPr>
          <w:ilvl w:val="0"/>
          <w:numId w:val="43"/>
        </w:numPr>
        <w:autoSpaceDE w:val="0"/>
        <w:autoSpaceDN w:val="0"/>
        <w:adjustRightInd w:val="0"/>
        <w:spacing w:after="240"/>
        <w:rPr>
          <w:rFonts w:ascii="Times" w:hAnsi="Times" w:cs="Times"/>
        </w:rPr>
      </w:pPr>
      <w:r w:rsidRPr="007F23E7">
        <w:rPr>
          <w:rFonts w:ascii="Times" w:hAnsi="Times" w:cs="Times"/>
          <w:sz w:val="26"/>
          <w:szCs w:val="26"/>
        </w:rPr>
        <w:t>S</w:t>
      </w:r>
      <w:r w:rsidRPr="007F23E7">
        <w:rPr>
          <w:rFonts w:ascii="Times" w:hAnsi="Times" w:cs="Times"/>
          <w:sz w:val="26"/>
          <w:szCs w:val="26"/>
        </w:rPr>
        <w:t>uppression of 50% or more is consistent with euthyroidism, whereas hyperthyroid cats rarely have values exceeding 35%.</w:t>
      </w:r>
    </w:p>
    <w:p w14:paraId="215C4000" w14:textId="32D8FE5A" w:rsidR="008C546E" w:rsidRPr="002768A8" w:rsidRDefault="007F23E7" w:rsidP="003B2A27">
      <w:pPr>
        <w:pStyle w:val="ListParagraph"/>
        <w:widowControl w:val="0"/>
        <w:numPr>
          <w:ilvl w:val="0"/>
          <w:numId w:val="43"/>
        </w:numPr>
        <w:autoSpaceDE w:val="0"/>
        <w:autoSpaceDN w:val="0"/>
        <w:adjustRightInd w:val="0"/>
        <w:spacing w:after="240"/>
        <w:rPr>
          <w:rFonts w:ascii="Times" w:hAnsi="Times" w:cs="Times"/>
          <w:highlight w:val="yellow"/>
        </w:rPr>
      </w:pPr>
      <w:r w:rsidRPr="00C86AD7">
        <w:rPr>
          <w:rFonts w:ascii="Times" w:hAnsi="Times" w:cs="Times"/>
          <w:sz w:val="26"/>
          <w:szCs w:val="26"/>
          <w:highlight w:val="yellow"/>
        </w:rPr>
        <w:t>Although the T</w:t>
      </w:r>
      <w:r w:rsidRPr="00C86AD7">
        <w:rPr>
          <w:rFonts w:ascii="Times" w:hAnsi="Times" w:cs="Times"/>
          <w:position w:val="-6"/>
          <w:sz w:val="18"/>
          <w:szCs w:val="18"/>
          <w:highlight w:val="yellow"/>
        </w:rPr>
        <w:t xml:space="preserve">3 </w:t>
      </w:r>
      <w:r w:rsidRPr="00C86AD7">
        <w:rPr>
          <w:rFonts w:ascii="Times" w:hAnsi="Times" w:cs="Times"/>
          <w:sz w:val="26"/>
          <w:szCs w:val="26"/>
          <w:highlight w:val="yellow"/>
        </w:rPr>
        <w:t>suppres</w:t>
      </w:r>
      <w:r w:rsidRPr="00C86AD7">
        <w:rPr>
          <w:rFonts w:ascii="Times" w:hAnsi="Times" w:cs="Times"/>
          <w:sz w:val="26"/>
          <w:szCs w:val="26"/>
          <w:highlight w:val="yellow"/>
        </w:rPr>
        <w:t>sion test is capable of diagnos</w:t>
      </w:r>
      <w:r w:rsidRPr="00C86AD7">
        <w:rPr>
          <w:rFonts w:ascii="Times" w:hAnsi="Times" w:cs="Times"/>
          <w:sz w:val="26"/>
          <w:szCs w:val="26"/>
          <w:highlight w:val="yellow"/>
        </w:rPr>
        <w:t>ing hyperthyroidism, some authors suggest that it is most useful in confirming euthyroidism and ruling out hyperthyroidism</w:t>
      </w:r>
      <w:bookmarkStart w:id="0" w:name="_GoBack"/>
      <w:bookmarkEnd w:id="0"/>
    </w:p>
    <w:p w14:paraId="6B101351" w14:textId="77777777" w:rsidR="008C546E" w:rsidRDefault="008C546E" w:rsidP="003B2A27">
      <w:pPr>
        <w:widowControl w:val="0"/>
        <w:autoSpaceDE w:val="0"/>
        <w:autoSpaceDN w:val="0"/>
        <w:adjustRightInd w:val="0"/>
        <w:spacing w:after="240"/>
        <w:rPr>
          <w:rFonts w:ascii="Times" w:hAnsi="Times" w:cs="Times"/>
          <w:b/>
        </w:rPr>
      </w:pPr>
    </w:p>
    <w:p w14:paraId="5B795AFE" w14:textId="08FEA463" w:rsidR="00C41725" w:rsidRDefault="007D6571" w:rsidP="003B2A27">
      <w:pPr>
        <w:widowControl w:val="0"/>
        <w:autoSpaceDE w:val="0"/>
        <w:autoSpaceDN w:val="0"/>
        <w:adjustRightInd w:val="0"/>
        <w:spacing w:after="240"/>
        <w:rPr>
          <w:rFonts w:ascii="Times" w:hAnsi="Times" w:cs="Times"/>
        </w:rPr>
      </w:pPr>
      <w:r w:rsidRPr="007D6571">
        <w:rPr>
          <w:rFonts w:ascii="Times" w:hAnsi="Times" w:cs="Times"/>
          <w:b/>
        </w:rPr>
        <w:t>Questions</w:t>
      </w:r>
      <w:r>
        <w:rPr>
          <w:rFonts w:ascii="Times" w:hAnsi="Times" w:cs="Times"/>
        </w:rPr>
        <w:t>:</w:t>
      </w:r>
    </w:p>
    <w:p w14:paraId="29825B8B" w14:textId="4F0AA020" w:rsidR="007D6571" w:rsidRDefault="007D6571" w:rsidP="007D6571">
      <w:pPr>
        <w:widowControl w:val="0"/>
        <w:autoSpaceDE w:val="0"/>
        <w:autoSpaceDN w:val="0"/>
        <w:adjustRightInd w:val="0"/>
        <w:spacing w:after="240"/>
        <w:rPr>
          <w:rFonts w:ascii="Times" w:hAnsi="Times" w:cs="Times"/>
        </w:rPr>
      </w:pPr>
      <w:r>
        <w:rPr>
          <w:rFonts w:ascii="Times" w:hAnsi="Times" w:cs="Times"/>
        </w:rPr>
        <w:t>1. According to this review, hyperparathyroidism is more common in hyperthyroid cats. T or F?</w:t>
      </w:r>
    </w:p>
    <w:p w14:paraId="38D49952" w14:textId="65ADD473" w:rsidR="007D6571" w:rsidRPr="007D6571" w:rsidRDefault="007D6571" w:rsidP="007D6571">
      <w:pPr>
        <w:widowControl w:val="0"/>
        <w:autoSpaceDE w:val="0"/>
        <w:autoSpaceDN w:val="0"/>
        <w:adjustRightInd w:val="0"/>
        <w:spacing w:after="240"/>
        <w:rPr>
          <w:rFonts w:ascii="Times" w:hAnsi="Times" w:cs="Times"/>
        </w:rPr>
      </w:pPr>
      <w:r w:rsidRPr="008D52B9">
        <w:rPr>
          <w:rFonts w:ascii="Times" w:hAnsi="Times" w:cs="Times"/>
          <w:b/>
        </w:rPr>
        <w:t>Answer</w:t>
      </w:r>
      <w:r>
        <w:rPr>
          <w:rFonts w:ascii="Times" w:hAnsi="Times" w:cs="Times"/>
        </w:rPr>
        <w:t>: True</w:t>
      </w:r>
    </w:p>
    <w:p w14:paraId="4BE7A705" w14:textId="6FB55955" w:rsidR="008D52B9" w:rsidRDefault="008D52B9" w:rsidP="008D52B9">
      <w:pPr>
        <w:widowControl w:val="0"/>
        <w:autoSpaceDE w:val="0"/>
        <w:autoSpaceDN w:val="0"/>
        <w:adjustRightInd w:val="0"/>
        <w:spacing w:after="240"/>
        <w:rPr>
          <w:rFonts w:ascii="Times" w:hAnsi="Times" w:cs="Times"/>
          <w:sz w:val="26"/>
          <w:szCs w:val="26"/>
        </w:rPr>
      </w:pPr>
      <w:r>
        <w:rPr>
          <w:rFonts w:ascii="Times New Roman" w:hAnsi="Times New Roman"/>
        </w:rPr>
        <w:t xml:space="preserve">2. According to this review </w:t>
      </w:r>
      <w:r>
        <w:rPr>
          <w:rFonts w:ascii="Times" w:hAnsi="Times" w:cs="Times"/>
          <w:sz w:val="26"/>
          <w:szCs w:val="26"/>
        </w:rPr>
        <w:t>almost _______________% of hyperthyroid cats have detectable serum troponin I concentrations, with a marked reduction in this percentage after therapy, consistent with hyperthyroid-induced myocyte damage</w:t>
      </w:r>
    </w:p>
    <w:p w14:paraId="1B30F35D" w14:textId="2E76A869" w:rsidR="008D52B9" w:rsidRPr="008D52B9" w:rsidRDefault="008D52B9" w:rsidP="008D52B9">
      <w:pPr>
        <w:pStyle w:val="ListParagraph"/>
        <w:widowControl w:val="0"/>
        <w:numPr>
          <w:ilvl w:val="1"/>
          <w:numId w:val="34"/>
        </w:numPr>
        <w:autoSpaceDE w:val="0"/>
        <w:autoSpaceDN w:val="0"/>
        <w:adjustRightInd w:val="0"/>
        <w:spacing w:after="240"/>
        <w:rPr>
          <w:rFonts w:ascii="Times" w:hAnsi="Times" w:cs="Times"/>
          <w:sz w:val="26"/>
          <w:szCs w:val="26"/>
        </w:rPr>
      </w:pPr>
      <w:r w:rsidRPr="008D52B9">
        <w:rPr>
          <w:rFonts w:ascii="Times" w:hAnsi="Times" w:cs="Times"/>
          <w:sz w:val="26"/>
          <w:szCs w:val="26"/>
        </w:rPr>
        <w:t>15%</w:t>
      </w:r>
    </w:p>
    <w:p w14:paraId="559A95AF" w14:textId="60BB4145" w:rsidR="008D52B9" w:rsidRPr="008D52B9" w:rsidRDefault="008D52B9" w:rsidP="008D52B9">
      <w:pPr>
        <w:pStyle w:val="ListParagraph"/>
        <w:widowControl w:val="0"/>
        <w:numPr>
          <w:ilvl w:val="1"/>
          <w:numId w:val="34"/>
        </w:numPr>
        <w:autoSpaceDE w:val="0"/>
        <w:autoSpaceDN w:val="0"/>
        <w:adjustRightInd w:val="0"/>
        <w:spacing w:after="240"/>
        <w:rPr>
          <w:rFonts w:ascii="Times" w:hAnsi="Times" w:cs="Times"/>
          <w:sz w:val="26"/>
          <w:szCs w:val="26"/>
        </w:rPr>
      </w:pPr>
      <w:r w:rsidRPr="008D52B9">
        <w:rPr>
          <w:rFonts w:ascii="Times" w:hAnsi="Times" w:cs="Times"/>
          <w:sz w:val="26"/>
          <w:szCs w:val="26"/>
        </w:rPr>
        <w:t>25%</w:t>
      </w:r>
    </w:p>
    <w:p w14:paraId="4A8889C0" w14:textId="642AE29B" w:rsidR="008D52B9" w:rsidRPr="00EB724D" w:rsidRDefault="008D52B9" w:rsidP="008D52B9">
      <w:pPr>
        <w:pStyle w:val="ListParagraph"/>
        <w:widowControl w:val="0"/>
        <w:numPr>
          <w:ilvl w:val="1"/>
          <w:numId w:val="34"/>
        </w:numPr>
        <w:autoSpaceDE w:val="0"/>
        <w:autoSpaceDN w:val="0"/>
        <w:adjustRightInd w:val="0"/>
        <w:spacing w:after="240"/>
        <w:rPr>
          <w:rFonts w:ascii="Times" w:hAnsi="Times" w:cs="Times"/>
          <w:b/>
          <w:sz w:val="26"/>
          <w:szCs w:val="26"/>
        </w:rPr>
      </w:pPr>
      <w:r w:rsidRPr="00EB724D">
        <w:rPr>
          <w:rFonts w:ascii="Times" w:hAnsi="Times" w:cs="Times"/>
          <w:b/>
          <w:sz w:val="26"/>
          <w:szCs w:val="26"/>
        </w:rPr>
        <w:t>50%</w:t>
      </w:r>
    </w:p>
    <w:p w14:paraId="32A48A77" w14:textId="455DBED5" w:rsidR="008D52B9" w:rsidRPr="008D52B9" w:rsidRDefault="008D52B9" w:rsidP="008D52B9">
      <w:pPr>
        <w:pStyle w:val="ListParagraph"/>
        <w:widowControl w:val="0"/>
        <w:numPr>
          <w:ilvl w:val="1"/>
          <w:numId w:val="34"/>
        </w:numPr>
        <w:autoSpaceDE w:val="0"/>
        <w:autoSpaceDN w:val="0"/>
        <w:adjustRightInd w:val="0"/>
        <w:spacing w:after="240"/>
        <w:rPr>
          <w:rFonts w:ascii="Times" w:hAnsi="Times" w:cs="Times"/>
        </w:rPr>
      </w:pPr>
      <w:r w:rsidRPr="008D52B9">
        <w:rPr>
          <w:rFonts w:ascii="Times" w:hAnsi="Times" w:cs="Times"/>
          <w:sz w:val="26"/>
          <w:szCs w:val="26"/>
        </w:rPr>
        <w:t>75%</w:t>
      </w:r>
    </w:p>
    <w:p w14:paraId="42D0A47D" w14:textId="48035AE8" w:rsidR="003B2A27" w:rsidRDefault="00EB724D" w:rsidP="00863D49">
      <w:pPr>
        <w:pStyle w:val="NormalWeb"/>
        <w:rPr>
          <w:rFonts w:ascii="Times New Roman" w:hAnsi="Times New Roman"/>
          <w:sz w:val="24"/>
          <w:szCs w:val="24"/>
        </w:rPr>
      </w:pPr>
      <w:r w:rsidRPr="00EB724D">
        <w:rPr>
          <w:rFonts w:ascii="Times New Roman" w:hAnsi="Times New Roman"/>
          <w:b/>
          <w:sz w:val="24"/>
          <w:szCs w:val="24"/>
        </w:rPr>
        <w:t>Answer:</w:t>
      </w:r>
      <w:r>
        <w:rPr>
          <w:rFonts w:ascii="Times New Roman" w:hAnsi="Times New Roman"/>
          <w:sz w:val="24"/>
          <w:szCs w:val="24"/>
        </w:rPr>
        <w:t xml:space="preserve"> C. 50%</w:t>
      </w:r>
    </w:p>
    <w:p w14:paraId="63F11167" w14:textId="4C3C8327" w:rsidR="00BB4080" w:rsidRDefault="00BB4080" w:rsidP="00863D49">
      <w:pPr>
        <w:pStyle w:val="NormalWeb"/>
        <w:rPr>
          <w:rFonts w:ascii="Times New Roman" w:hAnsi="Times New Roman"/>
          <w:sz w:val="24"/>
          <w:szCs w:val="24"/>
        </w:rPr>
      </w:pPr>
      <w:r>
        <w:rPr>
          <w:rFonts w:ascii="Times New Roman" w:hAnsi="Times New Roman"/>
          <w:sz w:val="24"/>
          <w:szCs w:val="24"/>
        </w:rPr>
        <w:t>3. What is the most common biochemical abnormality documented on hyperthyroid cats?</w:t>
      </w:r>
    </w:p>
    <w:p w14:paraId="3235925B" w14:textId="48803DB1" w:rsidR="00BB4080" w:rsidRDefault="00BB4080" w:rsidP="00863D49">
      <w:pPr>
        <w:pStyle w:val="NormalWeb"/>
        <w:rPr>
          <w:rFonts w:ascii="Times New Roman" w:hAnsi="Times New Roman"/>
          <w:sz w:val="24"/>
          <w:szCs w:val="24"/>
        </w:rPr>
      </w:pPr>
      <w:r w:rsidRPr="00BB4080">
        <w:rPr>
          <w:rFonts w:ascii="Times New Roman" w:hAnsi="Times New Roman"/>
          <w:b/>
          <w:sz w:val="24"/>
          <w:szCs w:val="24"/>
        </w:rPr>
        <w:t>Answer:</w:t>
      </w:r>
      <w:r>
        <w:rPr>
          <w:rFonts w:ascii="Times New Roman" w:hAnsi="Times New Roman"/>
          <w:sz w:val="24"/>
          <w:szCs w:val="24"/>
        </w:rPr>
        <w:t xml:space="preserve"> elevated liver enzymes</w:t>
      </w:r>
    </w:p>
    <w:p w14:paraId="6F69E3F4" w14:textId="1CA91044" w:rsidR="00BB4080" w:rsidRDefault="00BB4080" w:rsidP="00863D49">
      <w:pPr>
        <w:pStyle w:val="NormalWeb"/>
        <w:rPr>
          <w:rFonts w:ascii="Times New Roman" w:hAnsi="Times New Roman"/>
          <w:sz w:val="24"/>
          <w:szCs w:val="24"/>
        </w:rPr>
      </w:pPr>
      <w:r>
        <w:rPr>
          <w:rFonts w:ascii="Times New Roman" w:hAnsi="Times New Roman"/>
          <w:sz w:val="24"/>
          <w:szCs w:val="24"/>
        </w:rPr>
        <w:t>4. List 2 definitive tests for hyperthyroidism in cats</w:t>
      </w:r>
    </w:p>
    <w:p w14:paraId="004CC834" w14:textId="1B6A8F90" w:rsidR="00BB4080" w:rsidRDefault="00BB4080" w:rsidP="00863D49">
      <w:pPr>
        <w:pStyle w:val="NormalWeb"/>
        <w:rPr>
          <w:rFonts w:cs="Times"/>
          <w:sz w:val="26"/>
          <w:szCs w:val="26"/>
        </w:rPr>
      </w:pPr>
      <w:r w:rsidRPr="00BB4080">
        <w:rPr>
          <w:rFonts w:ascii="Times New Roman" w:hAnsi="Times New Roman"/>
          <w:b/>
          <w:sz w:val="24"/>
          <w:szCs w:val="24"/>
        </w:rPr>
        <w:t>Answer:</w:t>
      </w:r>
      <w:r>
        <w:rPr>
          <w:rFonts w:ascii="Times New Roman" w:hAnsi="Times New Roman"/>
          <w:sz w:val="24"/>
          <w:szCs w:val="24"/>
        </w:rPr>
        <w:t xml:space="preserve"> </w:t>
      </w:r>
      <w:r>
        <w:rPr>
          <w:rFonts w:cs="Times"/>
          <w:sz w:val="26"/>
          <w:szCs w:val="26"/>
        </w:rPr>
        <w:t>Demonstration of increased thyroidal radioisotope uptake or circulating concentrations of the thyroid hormones</w:t>
      </w:r>
    </w:p>
    <w:p w14:paraId="1D077033" w14:textId="7C103CBC" w:rsidR="00F90A7B" w:rsidRDefault="00F90A7B" w:rsidP="00863D49">
      <w:pPr>
        <w:pStyle w:val="NormalWeb"/>
        <w:rPr>
          <w:rFonts w:cs="Times"/>
          <w:sz w:val="26"/>
          <w:szCs w:val="26"/>
        </w:rPr>
      </w:pPr>
      <w:r>
        <w:rPr>
          <w:rFonts w:cs="Times"/>
          <w:sz w:val="26"/>
          <w:szCs w:val="26"/>
        </w:rPr>
        <w:t xml:space="preserve">5. You have a feline patient you suspect of having hyperthyroidism. You measure a Total T4 and a Free T4 and obtain the following results: </w:t>
      </w:r>
      <w:r w:rsidR="008C546E" w:rsidRPr="00F90A7B">
        <w:rPr>
          <w:rFonts w:cs="Times"/>
          <w:sz w:val="26"/>
          <w:szCs w:val="26"/>
        </w:rPr>
        <w:t>low total T</w:t>
      </w:r>
      <w:r w:rsidR="008C546E" w:rsidRPr="00F90A7B">
        <w:rPr>
          <w:rFonts w:cs="Times"/>
          <w:position w:val="-6"/>
          <w:sz w:val="18"/>
          <w:szCs w:val="18"/>
        </w:rPr>
        <w:t xml:space="preserve">4 </w:t>
      </w:r>
      <w:r w:rsidR="008C546E" w:rsidRPr="00F90A7B">
        <w:rPr>
          <w:rFonts w:cs="Times"/>
          <w:sz w:val="26"/>
          <w:szCs w:val="26"/>
        </w:rPr>
        <w:t>value and elevated free T</w:t>
      </w:r>
      <w:r w:rsidR="008C546E" w:rsidRPr="00F90A7B">
        <w:rPr>
          <w:rFonts w:cs="Times"/>
          <w:position w:val="-6"/>
          <w:sz w:val="18"/>
          <w:szCs w:val="18"/>
        </w:rPr>
        <w:t>4</w:t>
      </w:r>
      <w:r w:rsidR="008C546E">
        <w:rPr>
          <w:rFonts w:cs="Times"/>
          <w:position w:val="-6"/>
          <w:sz w:val="18"/>
          <w:szCs w:val="18"/>
        </w:rPr>
        <w:t xml:space="preserve"> </w:t>
      </w:r>
    </w:p>
    <w:p w14:paraId="15F6FF05" w14:textId="1A92F622" w:rsidR="008C546E" w:rsidRDefault="008C546E" w:rsidP="00863D49">
      <w:pPr>
        <w:pStyle w:val="NormalWeb"/>
        <w:rPr>
          <w:rFonts w:cs="Times"/>
          <w:sz w:val="26"/>
          <w:szCs w:val="26"/>
        </w:rPr>
      </w:pPr>
      <w:r>
        <w:rPr>
          <w:rFonts w:cs="Times"/>
          <w:sz w:val="26"/>
          <w:szCs w:val="26"/>
        </w:rPr>
        <w:t xml:space="preserve">Your patient </w:t>
      </w:r>
      <w:r w:rsidR="009F15D7">
        <w:rPr>
          <w:rFonts w:cs="Times"/>
          <w:sz w:val="26"/>
          <w:szCs w:val="26"/>
        </w:rPr>
        <w:t xml:space="preserve">most </w:t>
      </w:r>
      <w:r>
        <w:rPr>
          <w:rFonts w:cs="Times"/>
          <w:sz w:val="26"/>
          <w:szCs w:val="26"/>
        </w:rPr>
        <w:t>likely has…</w:t>
      </w:r>
    </w:p>
    <w:p w14:paraId="043280B6" w14:textId="42BD2E65" w:rsidR="008C546E" w:rsidRDefault="008C546E" w:rsidP="008C546E">
      <w:pPr>
        <w:pStyle w:val="NormalWeb"/>
        <w:numPr>
          <w:ilvl w:val="1"/>
          <w:numId w:val="41"/>
        </w:numPr>
        <w:rPr>
          <w:rFonts w:cs="Times"/>
          <w:sz w:val="26"/>
          <w:szCs w:val="26"/>
        </w:rPr>
      </w:pPr>
      <w:r>
        <w:rPr>
          <w:rFonts w:cs="Times"/>
          <w:sz w:val="26"/>
          <w:szCs w:val="26"/>
        </w:rPr>
        <w:t>hyperthyroidism</w:t>
      </w:r>
    </w:p>
    <w:p w14:paraId="20806F1C" w14:textId="6EA9A1D2" w:rsidR="008C546E" w:rsidRPr="008C546E" w:rsidRDefault="008C546E" w:rsidP="008C546E">
      <w:pPr>
        <w:pStyle w:val="NormalWeb"/>
        <w:numPr>
          <w:ilvl w:val="1"/>
          <w:numId w:val="41"/>
        </w:numPr>
        <w:rPr>
          <w:rFonts w:cs="Times"/>
          <w:b/>
          <w:sz w:val="26"/>
          <w:szCs w:val="26"/>
        </w:rPr>
      </w:pPr>
      <w:r w:rsidRPr="008C546E">
        <w:rPr>
          <w:rFonts w:cs="Times"/>
          <w:b/>
          <w:sz w:val="26"/>
          <w:szCs w:val="26"/>
        </w:rPr>
        <w:t>Non-thyroidal illness</w:t>
      </w:r>
    </w:p>
    <w:p w14:paraId="19D170DA" w14:textId="2B15B566" w:rsidR="008C546E" w:rsidRDefault="008C546E" w:rsidP="00863D49">
      <w:pPr>
        <w:pStyle w:val="NormalWeb"/>
        <w:rPr>
          <w:rFonts w:cs="Times"/>
          <w:sz w:val="26"/>
          <w:szCs w:val="26"/>
        </w:rPr>
      </w:pPr>
      <w:r>
        <w:rPr>
          <w:rFonts w:cs="Times"/>
          <w:sz w:val="26"/>
          <w:szCs w:val="26"/>
        </w:rPr>
        <w:t>Answer: B</w:t>
      </w:r>
    </w:p>
    <w:p w14:paraId="12F7F367" w14:textId="4D416C84" w:rsidR="00CC1047" w:rsidRPr="003379F3" w:rsidRDefault="00CC1047" w:rsidP="00863D49">
      <w:pPr>
        <w:pStyle w:val="NormalWeb"/>
        <w:rPr>
          <w:rFonts w:ascii="Times New Roman" w:hAnsi="Times New Roman"/>
          <w:sz w:val="24"/>
          <w:szCs w:val="24"/>
        </w:rPr>
      </w:pPr>
      <w:r w:rsidRPr="00767677">
        <w:rPr>
          <w:rFonts w:cs="Times"/>
          <w:sz w:val="26"/>
          <w:szCs w:val="26"/>
        </w:rPr>
        <w:t>The increased diagnostic sensitivity of free T</w:t>
      </w:r>
      <w:r w:rsidRPr="00767677">
        <w:rPr>
          <w:rFonts w:cs="Times"/>
          <w:position w:val="-6"/>
          <w:sz w:val="18"/>
          <w:szCs w:val="18"/>
        </w:rPr>
        <w:t xml:space="preserve">4 </w:t>
      </w:r>
      <w:r w:rsidRPr="00767677">
        <w:rPr>
          <w:rFonts w:cs="Times"/>
          <w:sz w:val="26"/>
          <w:szCs w:val="26"/>
        </w:rPr>
        <w:t>measurement is complicated by a loss of specificity, because 6% to 12% of sick euthyroid cats have elevated concentrations</w:t>
      </w:r>
    </w:p>
    <w:sectPr w:rsidR="00CC1047" w:rsidRPr="003379F3"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Caslon">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720"/>
    <w:multiLevelType w:val="hybridMultilevel"/>
    <w:tmpl w:val="A37A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50AB3"/>
    <w:multiLevelType w:val="multilevel"/>
    <w:tmpl w:val="47B8F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DB0037"/>
    <w:multiLevelType w:val="hybridMultilevel"/>
    <w:tmpl w:val="F812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B760F"/>
    <w:multiLevelType w:val="hybridMultilevel"/>
    <w:tmpl w:val="81DE818E"/>
    <w:lvl w:ilvl="0" w:tplc="0409000F">
      <w:start w:val="1"/>
      <w:numFmt w:val="decimal"/>
      <w:lvlText w:val="%1."/>
      <w:lvlJc w:val="left"/>
      <w:pPr>
        <w:ind w:left="720" w:hanging="360"/>
      </w:pPr>
      <w:rPr>
        <w:rFonts w:hint="default"/>
      </w:rPr>
    </w:lvl>
    <w:lvl w:ilvl="1" w:tplc="9CB45474">
      <w:start w:val="1"/>
      <w:numFmt w:val="upperLetter"/>
      <w:lvlText w:val="%2."/>
      <w:lvlJc w:val="left"/>
      <w:pPr>
        <w:ind w:left="1460" w:hanging="3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32F09"/>
    <w:multiLevelType w:val="hybridMultilevel"/>
    <w:tmpl w:val="3E3C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302CA3"/>
    <w:multiLevelType w:val="hybridMultilevel"/>
    <w:tmpl w:val="6778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8E40AF"/>
    <w:multiLevelType w:val="hybridMultilevel"/>
    <w:tmpl w:val="998C2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BA162B"/>
    <w:multiLevelType w:val="hybridMultilevel"/>
    <w:tmpl w:val="594069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2DA593A"/>
    <w:multiLevelType w:val="hybridMultilevel"/>
    <w:tmpl w:val="B6E87C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3577A4"/>
    <w:multiLevelType w:val="hybridMultilevel"/>
    <w:tmpl w:val="504E5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521E0"/>
    <w:multiLevelType w:val="hybridMultilevel"/>
    <w:tmpl w:val="780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2460E8"/>
    <w:multiLevelType w:val="hybridMultilevel"/>
    <w:tmpl w:val="E550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C22497"/>
    <w:multiLevelType w:val="multilevel"/>
    <w:tmpl w:val="FC5E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E1503D"/>
    <w:multiLevelType w:val="hybridMultilevel"/>
    <w:tmpl w:val="F74C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1872B8"/>
    <w:multiLevelType w:val="hybridMultilevel"/>
    <w:tmpl w:val="98CA2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358726B"/>
    <w:multiLevelType w:val="hybridMultilevel"/>
    <w:tmpl w:val="CDD4B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FF0D9E"/>
    <w:multiLevelType w:val="hybridMultilevel"/>
    <w:tmpl w:val="28CC9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283ADE"/>
    <w:multiLevelType w:val="hybridMultilevel"/>
    <w:tmpl w:val="3DFE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B2661"/>
    <w:multiLevelType w:val="hybridMultilevel"/>
    <w:tmpl w:val="B0F0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7D3AE0"/>
    <w:multiLevelType w:val="hybridMultilevel"/>
    <w:tmpl w:val="CBFA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E729EE"/>
    <w:multiLevelType w:val="hybridMultilevel"/>
    <w:tmpl w:val="7EBED95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E0C0B22"/>
    <w:multiLevelType w:val="hybridMultilevel"/>
    <w:tmpl w:val="7746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0D4C7B"/>
    <w:multiLevelType w:val="hybridMultilevel"/>
    <w:tmpl w:val="BC4A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1C2D6C"/>
    <w:multiLevelType w:val="hybridMultilevel"/>
    <w:tmpl w:val="69EE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1D1D15"/>
    <w:multiLevelType w:val="hybridMultilevel"/>
    <w:tmpl w:val="D4DE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C01E7B"/>
    <w:multiLevelType w:val="hybridMultilevel"/>
    <w:tmpl w:val="6EF4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94540B"/>
    <w:multiLevelType w:val="hybridMultilevel"/>
    <w:tmpl w:val="2406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C21DDD"/>
    <w:multiLevelType w:val="hybridMultilevel"/>
    <w:tmpl w:val="C320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1313C5"/>
    <w:multiLevelType w:val="multilevel"/>
    <w:tmpl w:val="46B2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84295F"/>
    <w:multiLevelType w:val="hybridMultilevel"/>
    <w:tmpl w:val="B27E15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2E4870"/>
    <w:multiLevelType w:val="hybridMultilevel"/>
    <w:tmpl w:val="5B786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F74B60"/>
    <w:multiLevelType w:val="hybridMultilevel"/>
    <w:tmpl w:val="E098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0319E3"/>
    <w:multiLevelType w:val="hybridMultilevel"/>
    <w:tmpl w:val="8F22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575D9A"/>
    <w:multiLevelType w:val="hybridMultilevel"/>
    <w:tmpl w:val="77A43F3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1627E0B"/>
    <w:multiLevelType w:val="hybridMultilevel"/>
    <w:tmpl w:val="A4D4D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BA6553"/>
    <w:multiLevelType w:val="multilevel"/>
    <w:tmpl w:val="B7A6D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933274"/>
    <w:multiLevelType w:val="hybridMultilevel"/>
    <w:tmpl w:val="774C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3152AF"/>
    <w:multiLevelType w:val="hybridMultilevel"/>
    <w:tmpl w:val="7A023B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443426"/>
    <w:multiLevelType w:val="hybridMultilevel"/>
    <w:tmpl w:val="8E028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DB0725"/>
    <w:multiLevelType w:val="hybridMultilevel"/>
    <w:tmpl w:val="7DD4CD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983C3A"/>
    <w:multiLevelType w:val="hybridMultilevel"/>
    <w:tmpl w:val="76D442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BA40A96"/>
    <w:multiLevelType w:val="hybridMultilevel"/>
    <w:tmpl w:val="9B245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D1054E"/>
    <w:multiLevelType w:val="hybridMultilevel"/>
    <w:tmpl w:val="DC74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6"/>
  </w:num>
  <w:num w:numId="4">
    <w:abstractNumId w:val="3"/>
  </w:num>
  <w:num w:numId="5">
    <w:abstractNumId w:val="15"/>
  </w:num>
  <w:num w:numId="6">
    <w:abstractNumId w:val="21"/>
  </w:num>
  <w:num w:numId="7">
    <w:abstractNumId w:val="17"/>
  </w:num>
  <w:num w:numId="8">
    <w:abstractNumId w:val="10"/>
  </w:num>
  <w:num w:numId="9">
    <w:abstractNumId w:val="6"/>
  </w:num>
  <w:num w:numId="10">
    <w:abstractNumId w:val="14"/>
  </w:num>
  <w:num w:numId="11">
    <w:abstractNumId w:val="13"/>
  </w:num>
  <w:num w:numId="12">
    <w:abstractNumId w:val="22"/>
  </w:num>
  <w:num w:numId="13">
    <w:abstractNumId w:val="1"/>
  </w:num>
  <w:num w:numId="14">
    <w:abstractNumId w:val="9"/>
  </w:num>
  <w:num w:numId="15">
    <w:abstractNumId w:val="41"/>
  </w:num>
  <w:num w:numId="16">
    <w:abstractNumId w:val="19"/>
  </w:num>
  <w:num w:numId="17">
    <w:abstractNumId w:val="33"/>
  </w:num>
  <w:num w:numId="18">
    <w:abstractNumId w:val="35"/>
  </w:num>
  <w:num w:numId="19">
    <w:abstractNumId w:val="28"/>
  </w:num>
  <w:num w:numId="20">
    <w:abstractNumId w:val="12"/>
  </w:num>
  <w:num w:numId="21">
    <w:abstractNumId w:val="42"/>
  </w:num>
  <w:num w:numId="22">
    <w:abstractNumId w:val="24"/>
  </w:num>
  <w:num w:numId="23">
    <w:abstractNumId w:val="23"/>
  </w:num>
  <w:num w:numId="24">
    <w:abstractNumId w:val="2"/>
  </w:num>
  <w:num w:numId="25">
    <w:abstractNumId w:val="20"/>
  </w:num>
  <w:num w:numId="26">
    <w:abstractNumId w:val="40"/>
  </w:num>
  <w:num w:numId="27">
    <w:abstractNumId w:val="31"/>
  </w:num>
  <w:num w:numId="28">
    <w:abstractNumId w:val="8"/>
  </w:num>
  <w:num w:numId="29">
    <w:abstractNumId w:val="7"/>
  </w:num>
  <w:num w:numId="30">
    <w:abstractNumId w:val="38"/>
  </w:num>
  <w:num w:numId="31">
    <w:abstractNumId w:val="30"/>
  </w:num>
  <w:num w:numId="32">
    <w:abstractNumId w:val="11"/>
  </w:num>
  <w:num w:numId="33">
    <w:abstractNumId w:val="37"/>
  </w:num>
  <w:num w:numId="34">
    <w:abstractNumId w:val="29"/>
  </w:num>
  <w:num w:numId="35">
    <w:abstractNumId w:val="36"/>
  </w:num>
  <w:num w:numId="36">
    <w:abstractNumId w:val="32"/>
  </w:num>
  <w:num w:numId="37">
    <w:abstractNumId w:val="34"/>
  </w:num>
  <w:num w:numId="38">
    <w:abstractNumId w:val="27"/>
  </w:num>
  <w:num w:numId="39">
    <w:abstractNumId w:val="26"/>
  </w:num>
  <w:num w:numId="40">
    <w:abstractNumId w:val="5"/>
  </w:num>
  <w:num w:numId="41">
    <w:abstractNumId w:val="39"/>
  </w:num>
  <w:num w:numId="42">
    <w:abstractNumId w:val="0"/>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A7"/>
    <w:rsid w:val="00004807"/>
    <w:rsid w:val="00004942"/>
    <w:rsid w:val="00010779"/>
    <w:rsid w:val="00027773"/>
    <w:rsid w:val="00032354"/>
    <w:rsid w:val="0006633C"/>
    <w:rsid w:val="00085D1A"/>
    <w:rsid w:val="000B5B25"/>
    <w:rsid w:val="000E5CAE"/>
    <w:rsid w:val="000F0362"/>
    <w:rsid w:val="00110AA0"/>
    <w:rsid w:val="001159FD"/>
    <w:rsid w:val="00141906"/>
    <w:rsid w:val="00195CA3"/>
    <w:rsid w:val="001D22C1"/>
    <w:rsid w:val="001E0D5A"/>
    <w:rsid w:val="001E102B"/>
    <w:rsid w:val="001E5AB5"/>
    <w:rsid w:val="002001CC"/>
    <w:rsid w:val="00210F3E"/>
    <w:rsid w:val="002222EC"/>
    <w:rsid w:val="00225DA1"/>
    <w:rsid w:val="00251B52"/>
    <w:rsid w:val="00252FDD"/>
    <w:rsid w:val="002721BE"/>
    <w:rsid w:val="002768A8"/>
    <w:rsid w:val="002F7EA2"/>
    <w:rsid w:val="0031147E"/>
    <w:rsid w:val="00316E8B"/>
    <w:rsid w:val="003379F3"/>
    <w:rsid w:val="00356902"/>
    <w:rsid w:val="00372496"/>
    <w:rsid w:val="00390B03"/>
    <w:rsid w:val="003B2A27"/>
    <w:rsid w:val="003C2106"/>
    <w:rsid w:val="003C7FCE"/>
    <w:rsid w:val="003E2AE9"/>
    <w:rsid w:val="00401572"/>
    <w:rsid w:val="00407D21"/>
    <w:rsid w:val="00451318"/>
    <w:rsid w:val="00477372"/>
    <w:rsid w:val="004E51A9"/>
    <w:rsid w:val="005015A6"/>
    <w:rsid w:val="005029D1"/>
    <w:rsid w:val="00502A2E"/>
    <w:rsid w:val="00523813"/>
    <w:rsid w:val="0055263E"/>
    <w:rsid w:val="00563538"/>
    <w:rsid w:val="005C1374"/>
    <w:rsid w:val="005C292E"/>
    <w:rsid w:val="005C5F13"/>
    <w:rsid w:val="005D1098"/>
    <w:rsid w:val="005D2444"/>
    <w:rsid w:val="005E306F"/>
    <w:rsid w:val="005E4480"/>
    <w:rsid w:val="005F6CBD"/>
    <w:rsid w:val="006248BB"/>
    <w:rsid w:val="0063035D"/>
    <w:rsid w:val="00652D16"/>
    <w:rsid w:val="00663E31"/>
    <w:rsid w:val="006718BF"/>
    <w:rsid w:val="00671924"/>
    <w:rsid w:val="006726F9"/>
    <w:rsid w:val="0068610F"/>
    <w:rsid w:val="006B0A61"/>
    <w:rsid w:val="006B135D"/>
    <w:rsid w:val="006D1A4C"/>
    <w:rsid w:val="0070387E"/>
    <w:rsid w:val="00703957"/>
    <w:rsid w:val="00721388"/>
    <w:rsid w:val="007306F2"/>
    <w:rsid w:val="00740B97"/>
    <w:rsid w:val="0076386E"/>
    <w:rsid w:val="00767677"/>
    <w:rsid w:val="00780418"/>
    <w:rsid w:val="00795CB7"/>
    <w:rsid w:val="007B0ABA"/>
    <w:rsid w:val="007B16B3"/>
    <w:rsid w:val="007C0BFE"/>
    <w:rsid w:val="007C59CD"/>
    <w:rsid w:val="007D0DEF"/>
    <w:rsid w:val="007D6571"/>
    <w:rsid w:val="007F23E7"/>
    <w:rsid w:val="007F2CC8"/>
    <w:rsid w:val="00811397"/>
    <w:rsid w:val="008127C5"/>
    <w:rsid w:val="0081467D"/>
    <w:rsid w:val="00826307"/>
    <w:rsid w:val="008315DA"/>
    <w:rsid w:val="00863D49"/>
    <w:rsid w:val="00894DAD"/>
    <w:rsid w:val="008C546E"/>
    <w:rsid w:val="008D52B9"/>
    <w:rsid w:val="008F144A"/>
    <w:rsid w:val="008F30C2"/>
    <w:rsid w:val="00901913"/>
    <w:rsid w:val="0090767D"/>
    <w:rsid w:val="00947AA0"/>
    <w:rsid w:val="00996791"/>
    <w:rsid w:val="009A03CC"/>
    <w:rsid w:val="009A0B5B"/>
    <w:rsid w:val="009B5C08"/>
    <w:rsid w:val="009E46C2"/>
    <w:rsid w:val="009F15D7"/>
    <w:rsid w:val="00A132BE"/>
    <w:rsid w:val="00A33C0E"/>
    <w:rsid w:val="00A405F1"/>
    <w:rsid w:val="00A42CFD"/>
    <w:rsid w:val="00A43D1C"/>
    <w:rsid w:val="00A534C6"/>
    <w:rsid w:val="00A546A8"/>
    <w:rsid w:val="00A82FBC"/>
    <w:rsid w:val="00A83A12"/>
    <w:rsid w:val="00A964A5"/>
    <w:rsid w:val="00AB2DC7"/>
    <w:rsid w:val="00AC0B28"/>
    <w:rsid w:val="00AD0F5D"/>
    <w:rsid w:val="00AD5C31"/>
    <w:rsid w:val="00AF5CA7"/>
    <w:rsid w:val="00B25797"/>
    <w:rsid w:val="00B52EE1"/>
    <w:rsid w:val="00B63FBB"/>
    <w:rsid w:val="00B72417"/>
    <w:rsid w:val="00B72C6C"/>
    <w:rsid w:val="00B81BC0"/>
    <w:rsid w:val="00B977F3"/>
    <w:rsid w:val="00BB312F"/>
    <w:rsid w:val="00BB4080"/>
    <w:rsid w:val="00BC0C96"/>
    <w:rsid w:val="00BC30C8"/>
    <w:rsid w:val="00BE3473"/>
    <w:rsid w:val="00BF3194"/>
    <w:rsid w:val="00BF6BDD"/>
    <w:rsid w:val="00C1376E"/>
    <w:rsid w:val="00C153B8"/>
    <w:rsid w:val="00C21679"/>
    <w:rsid w:val="00C23CF8"/>
    <w:rsid w:val="00C31CBE"/>
    <w:rsid w:val="00C41725"/>
    <w:rsid w:val="00C71736"/>
    <w:rsid w:val="00C72592"/>
    <w:rsid w:val="00C767F3"/>
    <w:rsid w:val="00C85718"/>
    <w:rsid w:val="00C86AD7"/>
    <w:rsid w:val="00CB5D15"/>
    <w:rsid w:val="00CC1047"/>
    <w:rsid w:val="00CC4763"/>
    <w:rsid w:val="00CD78AD"/>
    <w:rsid w:val="00CE6435"/>
    <w:rsid w:val="00CE7F1A"/>
    <w:rsid w:val="00D054ED"/>
    <w:rsid w:val="00D47CF2"/>
    <w:rsid w:val="00D51166"/>
    <w:rsid w:val="00D81917"/>
    <w:rsid w:val="00DA3469"/>
    <w:rsid w:val="00DB0D22"/>
    <w:rsid w:val="00DD75D3"/>
    <w:rsid w:val="00E04C9E"/>
    <w:rsid w:val="00E15156"/>
    <w:rsid w:val="00E17751"/>
    <w:rsid w:val="00E61D29"/>
    <w:rsid w:val="00E7070B"/>
    <w:rsid w:val="00E7118E"/>
    <w:rsid w:val="00E818C9"/>
    <w:rsid w:val="00EB5BA1"/>
    <w:rsid w:val="00EB724D"/>
    <w:rsid w:val="00EC0475"/>
    <w:rsid w:val="00EC1F4F"/>
    <w:rsid w:val="00EC7210"/>
    <w:rsid w:val="00EE6556"/>
    <w:rsid w:val="00EF1F42"/>
    <w:rsid w:val="00F0574F"/>
    <w:rsid w:val="00F069BA"/>
    <w:rsid w:val="00F10791"/>
    <w:rsid w:val="00F156BE"/>
    <w:rsid w:val="00F256E5"/>
    <w:rsid w:val="00F57EDB"/>
    <w:rsid w:val="00F6498F"/>
    <w:rsid w:val="00F665F2"/>
    <w:rsid w:val="00F90A7B"/>
    <w:rsid w:val="00F916EF"/>
    <w:rsid w:val="00F93791"/>
    <w:rsid w:val="00FA25E7"/>
    <w:rsid w:val="00FB0BD1"/>
    <w:rsid w:val="00FC06D3"/>
    <w:rsid w:val="00FC13CB"/>
    <w:rsid w:val="00FD2EB4"/>
    <w:rsid w:val="00FF5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85BB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CA7"/>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663E31"/>
    <w:pPr>
      <w:ind w:left="720"/>
      <w:contextualSpacing/>
    </w:pPr>
  </w:style>
  <w:style w:type="table" w:styleId="TableGrid">
    <w:name w:val="Table Grid"/>
    <w:basedOn w:val="TableNormal"/>
    <w:uiPriority w:val="59"/>
    <w:rsid w:val="002F7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1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144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CA7"/>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663E31"/>
    <w:pPr>
      <w:ind w:left="720"/>
      <w:contextualSpacing/>
    </w:pPr>
  </w:style>
  <w:style w:type="table" w:styleId="TableGrid">
    <w:name w:val="Table Grid"/>
    <w:basedOn w:val="TableNormal"/>
    <w:uiPriority w:val="59"/>
    <w:rsid w:val="002F7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1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144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697">
      <w:bodyDiv w:val="1"/>
      <w:marLeft w:val="0"/>
      <w:marRight w:val="0"/>
      <w:marTop w:val="0"/>
      <w:marBottom w:val="0"/>
      <w:divBdr>
        <w:top w:val="none" w:sz="0" w:space="0" w:color="auto"/>
        <w:left w:val="none" w:sz="0" w:space="0" w:color="auto"/>
        <w:bottom w:val="none" w:sz="0" w:space="0" w:color="auto"/>
        <w:right w:val="none" w:sz="0" w:space="0" w:color="auto"/>
      </w:divBdr>
      <w:divsChild>
        <w:div w:id="2067874741">
          <w:marLeft w:val="0"/>
          <w:marRight w:val="0"/>
          <w:marTop w:val="0"/>
          <w:marBottom w:val="0"/>
          <w:divBdr>
            <w:top w:val="none" w:sz="0" w:space="0" w:color="auto"/>
            <w:left w:val="none" w:sz="0" w:space="0" w:color="auto"/>
            <w:bottom w:val="none" w:sz="0" w:space="0" w:color="auto"/>
            <w:right w:val="none" w:sz="0" w:space="0" w:color="auto"/>
          </w:divBdr>
          <w:divsChild>
            <w:div w:id="1833521087">
              <w:marLeft w:val="0"/>
              <w:marRight w:val="0"/>
              <w:marTop w:val="0"/>
              <w:marBottom w:val="0"/>
              <w:divBdr>
                <w:top w:val="none" w:sz="0" w:space="0" w:color="auto"/>
                <w:left w:val="none" w:sz="0" w:space="0" w:color="auto"/>
                <w:bottom w:val="none" w:sz="0" w:space="0" w:color="auto"/>
                <w:right w:val="none" w:sz="0" w:space="0" w:color="auto"/>
              </w:divBdr>
              <w:divsChild>
                <w:div w:id="17668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6311">
      <w:bodyDiv w:val="1"/>
      <w:marLeft w:val="0"/>
      <w:marRight w:val="0"/>
      <w:marTop w:val="0"/>
      <w:marBottom w:val="0"/>
      <w:divBdr>
        <w:top w:val="none" w:sz="0" w:space="0" w:color="auto"/>
        <w:left w:val="none" w:sz="0" w:space="0" w:color="auto"/>
        <w:bottom w:val="none" w:sz="0" w:space="0" w:color="auto"/>
        <w:right w:val="none" w:sz="0" w:space="0" w:color="auto"/>
      </w:divBdr>
      <w:divsChild>
        <w:div w:id="1466507563">
          <w:marLeft w:val="0"/>
          <w:marRight w:val="0"/>
          <w:marTop w:val="0"/>
          <w:marBottom w:val="0"/>
          <w:divBdr>
            <w:top w:val="none" w:sz="0" w:space="0" w:color="auto"/>
            <w:left w:val="none" w:sz="0" w:space="0" w:color="auto"/>
            <w:bottom w:val="none" w:sz="0" w:space="0" w:color="auto"/>
            <w:right w:val="none" w:sz="0" w:space="0" w:color="auto"/>
          </w:divBdr>
          <w:divsChild>
            <w:div w:id="1368943966">
              <w:marLeft w:val="0"/>
              <w:marRight w:val="0"/>
              <w:marTop w:val="0"/>
              <w:marBottom w:val="0"/>
              <w:divBdr>
                <w:top w:val="none" w:sz="0" w:space="0" w:color="auto"/>
                <w:left w:val="none" w:sz="0" w:space="0" w:color="auto"/>
                <w:bottom w:val="none" w:sz="0" w:space="0" w:color="auto"/>
                <w:right w:val="none" w:sz="0" w:space="0" w:color="auto"/>
              </w:divBdr>
              <w:divsChild>
                <w:div w:id="16158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2700">
      <w:bodyDiv w:val="1"/>
      <w:marLeft w:val="0"/>
      <w:marRight w:val="0"/>
      <w:marTop w:val="0"/>
      <w:marBottom w:val="0"/>
      <w:divBdr>
        <w:top w:val="none" w:sz="0" w:space="0" w:color="auto"/>
        <w:left w:val="none" w:sz="0" w:space="0" w:color="auto"/>
        <w:bottom w:val="none" w:sz="0" w:space="0" w:color="auto"/>
        <w:right w:val="none" w:sz="0" w:space="0" w:color="auto"/>
      </w:divBdr>
      <w:divsChild>
        <w:div w:id="2109306301">
          <w:marLeft w:val="0"/>
          <w:marRight w:val="0"/>
          <w:marTop w:val="0"/>
          <w:marBottom w:val="0"/>
          <w:divBdr>
            <w:top w:val="none" w:sz="0" w:space="0" w:color="auto"/>
            <w:left w:val="none" w:sz="0" w:space="0" w:color="auto"/>
            <w:bottom w:val="none" w:sz="0" w:space="0" w:color="auto"/>
            <w:right w:val="none" w:sz="0" w:space="0" w:color="auto"/>
          </w:divBdr>
          <w:divsChild>
            <w:div w:id="1116681713">
              <w:marLeft w:val="0"/>
              <w:marRight w:val="0"/>
              <w:marTop w:val="0"/>
              <w:marBottom w:val="0"/>
              <w:divBdr>
                <w:top w:val="none" w:sz="0" w:space="0" w:color="auto"/>
                <w:left w:val="none" w:sz="0" w:space="0" w:color="auto"/>
                <w:bottom w:val="none" w:sz="0" w:space="0" w:color="auto"/>
                <w:right w:val="none" w:sz="0" w:space="0" w:color="auto"/>
              </w:divBdr>
              <w:divsChild>
                <w:div w:id="3438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093">
      <w:bodyDiv w:val="1"/>
      <w:marLeft w:val="0"/>
      <w:marRight w:val="0"/>
      <w:marTop w:val="0"/>
      <w:marBottom w:val="0"/>
      <w:divBdr>
        <w:top w:val="none" w:sz="0" w:space="0" w:color="auto"/>
        <w:left w:val="none" w:sz="0" w:space="0" w:color="auto"/>
        <w:bottom w:val="none" w:sz="0" w:space="0" w:color="auto"/>
        <w:right w:val="none" w:sz="0" w:space="0" w:color="auto"/>
      </w:divBdr>
      <w:divsChild>
        <w:div w:id="345594216">
          <w:marLeft w:val="0"/>
          <w:marRight w:val="0"/>
          <w:marTop w:val="0"/>
          <w:marBottom w:val="0"/>
          <w:divBdr>
            <w:top w:val="none" w:sz="0" w:space="0" w:color="auto"/>
            <w:left w:val="none" w:sz="0" w:space="0" w:color="auto"/>
            <w:bottom w:val="none" w:sz="0" w:space="0" w:color="auto"/>
            <w:right w:val="none" w:sz="0" w:space="0" w:color="auto"/>
          </w:divBdr>
          <w:divsChild>
            <w:div w:id="1507818218">
              <w:marLeft w:val="0"/>
              <w:marRight w:val="0"/>
              <w:marTop w:val="0"/>
              <w:marBottom w:val="0"/>
              <w:divBdr>
                <w:top w:val="none" w:sz="0" w:space="0" w:color="auto"/>
                <w:left w:val="none" w:sz="0" w:space="0" w:color="auto"/>
                <w:bottom w:val="none" w:sz="0" w:space="0" w:color="auto"/>
                <w:right w:val="none" w:sz="0" w:space="0" w:color="auto"/>
              </w:divBdr>
              <w:divsChild>
                <w:div w:id="7951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7492">
      <w:bodyDiv w:val="1"/>
      <w:marLeft w:val="0"/>
      <w:marRight w:val="0"/>
      <w:marTop w:val="0"/>
      <w:marBottom w:val="0"/>
      <w:divBdr>
        <w:top w:val="none" w:sz="0" w:space="0" w:color="auto"/>
        <w:left w:val="none" w:sz="0" w:space="0" w:color="auto"/>
        <w:bottom w:val="none" w:sz="0" w:space="0" w:color="auto"/>
        <w:right w:val="none" w:sz="0" w:space="0" w:color="auto"/>
      </w:divBdr>
      <w:divsChild>
        <w:div w:id="669140984">
          <w:marLeft w:val="0"/>
          <w:marRight w:val="0"/>
          <w:marTop w:val="0"/>
          <w:marBottom w:val="0"/>
          <w:divBdr>
            <w:top w:val="none" w:sz="0" w:space="0" w:color="auto"/>
            <w:left w:val="none" w:sz="0" w:space="0" w:color="auto"/>
            <w:bottom w:val="none" w:sz="0" w:space="0" w:color="auto"/>
            <w:right w:val="none" w:sz="0" w:space="0" w:color="auto"/>
          </w:divBdr>
          <w:divsChild>
            <w:div w:id="792990339">
              <w:marLeft w:val="0"/>
              <w:marRight w:val="0"/>
              <w:marTop w:val="0"/>
              <w:marBottom w:val="0"/>
              <w:divBdr>
                <w:top w:val="none" w:sz="0" w:space="0" w:color="auto"/>
                <w:left w:val="none" w:sz="0" w:space="0" w:color="auto"/>
                <w:bottom w:val="none" w:sz="0" w:space="0" w:color="auto"/>
                <w:right w:val="none" w:sz="0" w:space="0" w:color="auto"/>
              </w:divBdr>
              <w:divsChild>
                <w:div w:id="195015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08323">
      <w:bodyDiv w:val="1"/>
      <w:marLeft w:val="0"/>
      <w:marRight w:val="0"/>
      <w:marTop w:val="0"/>
      <w:marBottom w:val="0"/>
      <w:divBdr>
        <w:top w:val="none" w:sz="0" w:space="0" w:color="auto"/>
        <w:left w:val="none" w:sz="0" w:space="0" w:color="auto"/>
        <w:bottom w:val="none" w:sz="0" w:space="0" w:color="auto"/>
        <w:right w:val="none" w:sz="0" w:space="0" w:color="auto"/>
      </w:divBdr>
      <w:divsChild>
        <w:div w:id="2136211827">
          <w:marLeft w:val="0"/>
          <w:marRight w:val="0"/>
          <w:marTop w:val="0"/>
          <w:marBottom w:val="0"/>
          <w:divBdr>
            <w:top w:val="none" w:sz="0" w:space="0" w:color="auto"/>
            <w:left w:val="none" w:sz="0" w:space="0" w:color="auto"/>
            <w:bottom w:val="none" w:sz="0" w:space="0" w:color="auto"/>
            <w:right w:val="none" w:sz="0" w:space="0" w:color="auto"/>
          </w:divBdr>
          <w:divsChild>
            <w:div w:id="462502486">
              <w:marLeft w:val="0"/>
              <w:marRight w:val="0"/>
              <w:marTop w:val="0"/>
              <w:marBottom w:val="0"/>
              <w:divBdr>
                <w:top w:val="none" w:sz="0" w:space="0" w:color="auto"/>
                <w:left w:val="none" w:sz="0" w:space="0" w:color="auto"/>
                <w:bottom w:val="none" w:sz="0" w:space="0" w:color="auto"/>
                <w:right w:val="none" w:sz="0" w:space="0" w:color="auto"/>
              </w:divBdr>
              <w:divsChild>
                <w:div w:id="190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3450">
      <w:bodyDiv w:val="1"/>
      <w:marLeft w:val="0"/>
      <w:marRight w:val="0"/>
      <w:marTop w:val="0"/>
      <w:marBottom w:val="0"/>
      <w:divBdr>
        <w:top w:val="none" w:sz="0" w:space="0" w:color="auto"/>
        <w:left w:val="none" w:sz="0" w:space="0" w:color="auto"/>
        <w:bottom w:val="none" w:sz="0" w:space="0" w:color="auto"/>
        <w:right w:val="none" w:sz="0" w:space="0" w:color="auto"/>
      </w:divBdr>
      <w:divsChild>
        <w:div w:id="1436945776">
          <w:marLeft w:val="0"/>
          <w:marRight w:val="0"/>
          <w:marTop w:val="0"/>
          <w:marBottom w:val="0"/>
          <w:divBdr>
            <w:top w:val="none" w:sz="0" w:space="0" w:color="auto"/>
            <w:left w:val="none" w:sz="0" w:space="0" w:color="auto"/>
            <w:bottom w:val="none" w:sz="0" w:space="0" w:color="auto"/>
            <w:right w:val="none" w:sz="0" w:space="0" w:color="auto"/>
          </w:divBdr>
          <w:divsChild>
            <w:div w:id="111286973">
              <w:marLeft w:val="0"/>
              <w:marRight w:val="0"/>
              <w:marTop w:val="0"/>
              <w:marBottom w:val="0"/>
              <w:divBdr>
                <w:top w:val="none" w:sz="0" w:space="0" w:color="auto"/>
                <w:left w:val="none" w:sz="0" w:space="0" w:color="auto"/>
                <w:bottom w:val="none" w:sz="0" w:space="0" w:color="auto"/>
                <w:right w:val="none" w:sz="0" w:space="0" w:color="auto"/>
              </w:divBdr>
              <w:divsChild>
                <w:div w:id="68925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05949">
      <w:bodyDiv w:val="1"/>
      <w:marLeft w:val="0"/>
      <w:marRight w:val="0"/>
      <w:marTop w:val="0"/>
      <w:marBottom w:val="0"/>
      <w:divBdr>
        <w:top w:val="none" w:sz="0" w:space="0" w:color="auto"/>
        <w:left w:val="none" w:sz="0" w:space="0" w:color="auto"/>
        <w:bottom w:val="none" w:sz="0" w:space="0" w:color="auto"/>
        <w:right w:val="none" w:sz="0" w:space="0" w:color="auto"/>
      </w:divBdr>
      <w:divsChild>
        <w:div w:id="2081521203">
          <w:marLeft w:val="0"/>
          <w:marRight w:val="0"/>
          <w:marTop w:val="0"/>
          <w:marBottom w:val="0"/>
          <w:divBdr>
            <w:top w:val="none" w:sz="0" w:space="0" w:color="auto"/>
            <w:left w:val="none" w:sz="0" w:space="0" w:color="auto"/>
            <w:bottom w:val="none" w:sz="0" w:space="0" w:color="auto"/>
            <w:right w:val="none" w:sz="0" w:space="0" w:color="auto"/>
          </w:divBdr>
          <w:divsChild>
            <w:div w:id="541593494">
              <w:marLeft w:val="0"/>
              <w:marRight w:val="0"/>
              <w:marTop w:val="0"/>
              <w:marBottom w:val="0"/>
              <w:divBdr>
                <w:top w:val="none" w:sz="0" w:space="0" w:color="auto"/>
                <w:left w:val="none" w:sz="0" w:space="0" w:color="auto"/>
                <w:bottom w:val="none" w:sz="0" w:space="0" w:color="auto"/>
                <w:right w:val="none" w:sz="0" w:space="0" w:color="auto"/>
              </w:divBdr>
              <w:divsChild>
                <w:div w:id="12473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5341">
      <w:bodyDiv w:val="1"/>
      <w:marLeft w:val="0"/>
      <w:marRight w:val="0"/>
      <w:marTop w:val="0"/>
      <w:marBottom w:val="0"/>
      <w:divBdr>
        <w:top w:val="none" w:sz="0" w:space="0" w:color="auto"/>
        <w:left w:val="none" w:sz="0" w:space="0" w:color="auto"/>
        <w:bottom w:val="none" w:sz="0" w:space="0" w:color="auto"/>
        <w:right w:val="none" w:sz="0" w:space="0" w:color="auto"/>
      </w:divBdr>
      <w:divsChild>
        <w:div w:id="2052998022">
          <w:marLeft w:val="0"/>
          <w:marRight w:val="0"/>
          <w:marTop w:val="0"/>
          <w:marBottom w:val="0"/>
          <w:divBdr>
            <w:top w:val="none" w:sz="0" w:space="0" w:color="auto"/>
            <w:left w:val="none" w:sz="0" w:space="0" w:color="auto"/>
            <w:bottom w:val="none" w:sz="0" w:space="0" w:color="auto"/>
            <w:right w:val="none" w:sz="0" w:space="0" w:color="auto"/>
          </w:divBdr>
          <w:divsChild>
            <w:div w:id="1703047095">
              <w:marLeft w:val="0"/>
              <w:marRight w:val="0"/>
              <w:marTop w:val="0"/>
              <w:marBottom w:val="0"/>
              <w:divBdr>
                <w:top w:val="none" w:sz="0" w:space="0" w:color="auto"/>
                <w:left w:val="none" w:sz="0" w:space="0" w:color="auto"/>
                <w:bottom w:val="none" w:sz="0" w:space="0" w:color="auto"/>
                <w:right w:val="none" w:sz="0" w:space="0" w:color="auto"/>
              </w:divBdr>
              <w:divsChild>
                <w:div w:id="1223247743">
                  <w:marLeft w:val="0"/>
                  <w:marRight w:val="0"/>
                  <w:marTop w:val="0"/>
                  <w:marBottom w:val="0"/>
                  <w:divBdr>
                    <w:top w:val="none" w:sz="0" w:space="0" w:color="auto"/>
                    <w:left w:val="none" w:sz="0" w:space="0" w:color="auto"/>
                    <w:bottom w:val="none" w:sz="0" w:space="0" w:color="auto"/>
                    <w:right w:val="none" w:sz="0" w:space="0" w:color="auto"/>
                  </w:divBdr>
                  <w:divsChild>
                    <w:div w:id="170656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24761">
      <w:bodyDiv w:val="1"/>
      <w:marLeft w:val="0"/>
      <w:marRight w:val="0"/>
      <w:marTop w:val="0"/>
      <w:marBottom w:val="0"/>
      <w:divBdr>
        <w:top w:val="none" w:sz="0" w:space="0" w:color="auto"/>
        <w:left w:val="none" w:sz="0" w:space="0" w:color="auto"/>
        <w:bottom w:val="none" w:sz="0" w:space="0" w:color="auto"/>
        <w:right w:val="none" w:sz="0" w:space="0" w:color="auto"/>
      </w:divBdr>
      <w:divsChild>
        <w:div w:id="1723286393">
          <w:marLeft w:val="0"/>
          <w:marRight w:val="0"/>
          <w:marTop w:val="0"/>
          <w:marBottom w:val="0"/>
          <w:divBdr>
            <w:top w:val="none" w:sz="0" w:space="0" w:color="auto"/>
            <w:left w:val="none" w:sz="0" w:space="0" w:color="auto"/>
            <w:bottom w:val="none" w:sz="0" w:space="0" w:color="auto"/>
            <w:right w:val="none" w:sz="0" w:space="0" w:color="auto"/>
          </w:divBdr>
          <w:divsChild>
            <w:div w:id="1338844559">
              <w:marLeft w:val="0"/>
              <w:marRight w:val="0"/>
              <w:marTop w:val="0"/>
              <w:marBottom w:val="0"/>
              <w:divBdr>
                <w:top w:val="none" w:sz="0" w:space="0" w:color="auto"/>
                <w:left w:val="none" w:sz="0" w:space="0" w:color="auto"/>
                <w:bottom w:val="none" w:sz="0" w:space="0" w:color="auto"/>
                <w:right w:val="none" w:sz="0" w:space="0" w:color="auto"/>
              </w:divBdr>
              <w:divsChild>
                <w:div w:id="11929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6974">
      <w:bodyDiv w:val="1"/>
      <w:marLeft w:val="0"/>
      <w:marRight w:val="0"/>
      <w:marTop w:val="0"/>
      <w:marBottom w:val="0"/>
      <w:divBdr>
        <w:top w:val="none" w:sz="0" w:space="0" w:color="auto"/>
        <w:left w:val="none" w:sz="0" w:space="0" w:color="auto"/>
        <w:bottom w:val="none" w:sz="0" w:space="0" w:color="auto"/>
        <w:right w:val="none" w:sz="0" w:space="0" w:color="auto"/>
      </w:divBdr>
      <w:divsChild>
        <w:div w:id="763915242">
          <w:marLeft w:val="0"/>
          <w:marRight w:val="0"/>
          <w:marTop w:val="0"/>
          <w:marBottom w:val="0"/>
          <w:divBdr>
            <w:top w:val="none" w:sz="0" w:space="0" w:color="auto"/>
            <w:left w:val="none" w:sz="0" w:space="0" w:color="auto"/>
            <w:bottom w:val="none" w:sz="0" w:space="0" w:color="auto"/>
            <w:right w:val="none" w:sz="0" w:space="0" w:color="auto"/>
          </w:divBdr>
          <w:divsChild>
            <w:div w:id="803503694">
              <w:marLeft w:val="0"/>
              <w:marRight w:val="0"/>
              <w:marTop w:val="0"/>
              <w:marBottom w:val="0"/>
              <w:divBdr>
                <w:top w:val="none" w:sz="0" w:space="0" w:color="auto"/>
                <w:left w:val="none" w:sz="0" w:space="0" w:color="auto"/>
                <w:bottom w:val="none" w:sz="0" w:space="0" w:color="auto"/>
                <w:right w:val="none" w:sz="0" w:space="0" w:color="auto"/>
              </w:divBdr>
              <w:divsChild>
                <w:div w:id="1294019508">
                  <w:marLeft w:val="0"/>
                  <w:marRight w:val="0"/>
                  <w:marTop w:val="0"/>
                  <w:marBottom w:val="0"/>
                  <w:divBdr>
                    <w:top w:val="none" w:sz="0" w:space="0" w:color="auto"/>
                    <w:left w:val="none" w:sz="0" w:space="0" w:color="auto"/>
                    <w:bottom w:val="none" w:sz="0" w:space="0" w:color="auto"/>
                    <w:right w:val="none" w:sz="0" w:space="0" w:color="auto"/>
                  </w:divBdr>
                  <w:divsChild>
                    <w:div w:id="9436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516628">
      <w:bodyDiv w:val="1"/>
      <w:marLeft w:val="0"/>
      <w:marRight w:val="0"/>
      <w:marTop w:val="0"/>
      <w:marBottom w:val="0"/>
      <w:divBdr>
        <w:top w:val="none" w:sz="0" w:space="0" w:color="auto"/>
        <w:left w:val="none" w:sz="0" w:space="0" w:color="auto"/>
        <w:bottom w:val="none" w:sz="0" w:space="0" w:color="auto"/>
        <w:right w:val="none" w:sz="0" w:space="0" w:color="auto"/>
      </w:divBdr>
      <w:divsChild>
        <w:div w:id="1612544182">
          <w:marLeft w:val="0"/>
          <w:marRight w:val="0"/>
          <w:marTop w:val="0"/>
          <w:marBottom w:val="0"/>
          <w:divBdr>
            <w:top w:val="none" w:sz="0" w:space="0" w:color="auto"/>
            <w:left w:val="none" w:sz="0" w:space="0" w:color="auto"/>
            <w:bottom w:val="none" w:sz="0" w:space="0" w:color="auto"/>
            <w:right w:val="none" w:sz="0" w:space="0" w:color="auto"/>
          </w:divBdr>
          <w:divsChild>
            <w:div w:id="2145729726">
              <w:marLeft w:val="0"/>
              <w:marRight w:val="0"/>
              <w:marTop w:val="0"/>
              <w:marBottom w:val="0"/>
              <w:divBdr>
                <w:top w:val="none" w:sz="0" w:space="0" w:color="auto"/>
                <w:left w:val="none" w:sz="0" w:space="0" w:color="auto"/>
                <w:bottom w:val="none" w:sz="0" w:space="0" w:color="auto"/>
                <w:right w:val="none" w:sz="0" w:space="0" w:color="auto"/>
              </w:divBdr>
              <w:divsChild>
                <w:div w:id="12615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89976">
      <w:bodyDiv w:val="1"/>
      <w:marLeft w:val="0"/>
      <w:marRight w:val="0"/>
      <w:marTop w:val="0"/>
      <w:marBottom w:val="0"/>
      <w:divBdr>
        <w:top w:val="none" w:sz="0" w:space="0" w:color="auto"/>
        <w:left w:val="none" w:sz="0" w:space="0" w:color="auto"/>
        <w:bottom w:val="none" w:sz="0" w:space="0" w:color="auto"/>
        <w:right w:val="none" w:sz="0" w:space="0" w:color="auto"/>
      </w:divBdr>
      <w:divsChild>
        <w:div w:id="503253490">
          <w:marLeft w:val="0"/>
          <w:marRight w:val="0"/>
          <w:marTop w:val="0"/>
          <w:marBottom w:val="0"/>
          <w:divBdr>
            <w:top w:val="none" w:sz="0" w:space="0" w:color="auto"/>
            <w:left w:val="none" w:sz="0" w:space="0" w:color="auto"/>
            <w:bottom w:val="none" w:sz="0" w:space="0" w:color="auto"/>
            <w:right w:val="none" w:sz="0" w:space="0" w:color="auto"/>
          </w:divBdr>
          <w:divsChild>
            <w:div w:id="1512525206">
              <w:marLeft w:val="0"/>
              <w:marRight w:val="0"/>
              <w:marTop w:val="0"/>
              <w:marBottom w:val="0"/>
              <w:divBdr>
                <w:top w:val="none" w:sz="0" w:space="0" w:color="auto"/>
                <w:left w:val="none" w:sz="0" w:space="0" w:color="auto"/>
                <w:bottom w:val="none" w:sz="0" w:space="0" w:color="auto"/>
                <w:right w:val="none" w:sz="0" w:space="0" w:color="auto"/>
              </w:divBdr>
              <w:divsChild>
                <w:div w:id="3348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04793">
      <w:bodyDiv w:val="1"/>
      <w:marLeft w:val="0"/>
      <w:marRight w:val="0"/>
      <w:marTop w:val="0"/>
      <w:marBottom w:val="0"/>
      <w:divBdr>
        <w:top w:val="none" w:sz="0" w:space="0" w:color="auto"/>
        <w:left w:val="none" w:sz="0" w:space="0" w:color="auto"/>
        <w:bottom w:val="none" w:sz="0" w:space="0" w:color="auto"/>
        <w:right w:val="none" w:sz="0" w:space="0" w:color="auto"/>
      </w:divBdr>
      <w:divsChild>
        <w:div w:id="1286303616">
          <w:marLeft w:val="0"/>
          <w:marRight w:val="0"/>
          <w:marTop w:val="0"/>
          <w:marBottom w:val="0"/>
          <w:divBdr>
            <w:top w:val="none" w:sz="0" w:space="0" w:color="auto"/>
            <w:left w:val="none" w:sz="0" w:space="0" w:color="auto"/>
            <w:bottom w:val="none" w:sz="0" w:space="0" w:color="auto"/>
            <w:right w:val="none" w:sz="0" w:space="0" w:color="auto"/>
          </w:divBdr>
          <w:divsChild>
            <w:div w:id="123354151">
              <w:marLeft w:val="0"/>
              <w:marRight w:val="0"/>
              <w:marTop w:val="0"/>
              <w:marBottom w:val="0"/>
              <w:divBdr>
                <w:top w:val="none" w:sz="0" w:space="0" w:color="auto"/>
                <w:left w:val="none" w:sz="0" w:space="0" w:color="auto"/>
                <w:bottom w:val="none" w:sz="0" w:space="0" w:color="auto"/>
                <w:right w:val="none" w:sz="0" w:space="0" w:color="auto"/>
              </w:divBdr>
              <w:divsChild>
                <w:div w:id="8556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72956">
      <w:bodyDiv w:val="1"/>
      <w:marLeft w:val="0"/>
      <w:marRight w:val="0"/>
      <w:marTop w:val="0"/>
      <w:marBottom w:val="0"/>
      <w:divBdr>
        <w:top w:val="none" w:sz="0" w:space="0" w:color="auto"/>
        <w:left w:val="none" w:sz="0" w:space="0" w:color="auto"/>
        <w:bottom w:val="none" w:sz="0" w:space="0" w:color="auto"/>
        <w:right w:val="none" w:sz="0" w:space="0" w:color="auto"/>
      </w:divBdr>
      <w:divsChild>
        <w:div w:id="271977337">
          <w:marLeft w:val="0"/>
          <w:marRight w:val="0"/>
          <w:marTop w:val="0"/>
          <w:marBottom w:val="0"/>
          <w:divBdr>
            <w:top w:val="none" w:sz="0" w:space="0" w:color="auto"/>
            <w:left w:val="none" w:sz="0" w:space="0" w:color="auto"/>
            <w:bottom w:val="none" w:sz="0" w:space="0" w:color="auto"/>
            <w:right w:val="none" w:sz="0" w:space="0" w:color="auto"/>
          </w:divBdr>
          <w:divsChild>
            <w:div w:id="425998804">
              <w:marLeft w:val="0"/>
              <w:marRight w:val="0"/>
              <w:marTop w:val="0"/>
              <w:marBottom w:val="0"/>
              <w:divBdr>
                <w:top w:val="none" w:sz="0" w:space="0" w:color="auto"/>
                <w:left w:val="none" w:sz="0" w:space="0" w:color="auto"/>
                <w:bottom w:val="none" w:sz="0" w:space="0" w:color="auto"/>
                <w:right w:val="none" w:sz="0" w:space="0" w:color="auto"/>
              </w:divBdr>
              <w:divsChild>
                <w:div w:id="1002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754161">
      <w:bodyDiv w:val="1"/>
      <w:marLeft w:val="0"/>
      <w:marRight w:val="0"/>
      <w:marTop w:val="0"/>
      <w:marBottom w:val="0"/>
      <w:divBdr>
        <w:top w:val="none" w:sz="0" w:space="0" w:color="auto"/>
        <w:left w:val="none" w:sz="0" w:space="0" w:color="auto"/>
        <w:bottom w:val="none" w:sz="0" w:space="0" w:color="auto"/>
        <w:right w:val="none" w:sz="0" w:space="0" w:color="auto"/>
      </w:divBdr>
      <w:divsChild>
        <w:div w:id="1126318756">
          <w:marLeft w:val="0"/>
          <w:marRight w:val="0"/>
          <w:marTop w:val="0"/>
          <w:marBottom w:val="0"/>
          <w:divBdr>
            <w:top w:val="none" w:sz="0" w:space="0" w:color="auto"/>
            <w:left w:val="none" w:sz="0" w:space="0" w:color="auto"/>
            <w:bottom w:val="none" w:sz="0" w:space="0" w:color="auto"/>
            <w:right w:val="none" w:sz="0" w:space="0" w:color="auto"/>
          </w:divBdr>
          <w:divsChild>
            <w:div w:id="1923953776">
              <w:marLeft w:val="0"/>
              <w:marRight w:val="0"/>
              <w:marTop w:val="0"/>
              <w:marBottom w:val="0"/>
              <w:divBdr>
                <w:top w:val="none" w:sz="0" w:space="0" w:color="auto"/>
                <w:left w:val="none" w:sz="0" w:space="0" w:color="auto"/>
                <w:bottom w:val="none" w:sz="0" w:space="0" w:color="auto"/>
                <w:right w:val="none" w:sz="0" w:space="0" w:color="auto"/>
              </w:divBdr>
              <w:divsChild>
                <w:div w:id="286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30967">
      <w:bodyDiv w:val="1"/>
      <w:marLeft w:val="0"/>
      <w:marRight w:val="0"/>
      <w:marTop w:val="0"/>
      <w:marBottom w:val="0"/>
      <w:divBdr>
        <w:top w:val="none" w:sz="0" w:space="0" w:color="auto"/>
        <w:left w:val="none" w:sz="0" w:space="0" w:color="auto"/>
        <w:bottom w:val="none" w:sz="0" w:space="0" w:color="auto"/>
        <w:right w:val="none" w:sz="0" w:space="0" w:color="auto"/>
      </w:divBdr>
      <w:divsChild>
        <w:div w:id="2094740611">
          <w:marLeft w:val="0"/>
          <w:marRight w:val="0"/>
          <w:marTop w:val="0"/>
          <w:marBottom w:val="0"/>
          <w:divBdr>
            <w:top w:val="none" w:sz="0" w:space="0" w:color="auto"/>
            <w:left w:val="none" w:sz="0" w:space="0" w:color="auto"/>
            <w:bottom w:val="none" w:sz="0" w:space="0" w:color="auto"/>
            <w:right w:val="none" w:sz="0" w:space="0" w:color="auto"/>
          </w:divBdr>
          <w:divsChild>
            <w:div w:id="1973753924">
              <w:marLeft w:val="0"/>
              <w:marRight w:val="0"/>
              <w:marTop w:val="0"/>
              <w:marBottom w:val="0"/>
              <w:divBdr>
                <w:top w:val="none" w:sz="0" w:space="0" w:color="auto"/>
                <w:left w:val="none" w:sz="0" w:space="0" w:color="auto"/>
                <w:bottom w:val="none" w:sz="0" w:space="0" w:color="auto"/>
                <w:right w:val="none" w:sz="0" w:space="0" w:color="auto"/>
              </w:divBdr>
              <w:divsChild>
                <w:div w:id="17025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665656">
      <w:bodyDiv w:val="1"/>
      <w:marLeft w:val="0"/>
      <w:marRight w:val="0"/>
      <w:marTop w:val="0"/>
      <w:marBottom w:val="0"/>
      <w:divBdr>
        <w:top w:val="none" w:sz="0" w:space="0" w:color="auto"/>
        <w:left w:val="none" w:sz="0" w:space="0" w:color="auto"/>
        <w:bottom w:val="none" w:sz="0" w:space="0" w:color="auto"/>
        <w:right w:val="none" w:sz="0" w:space="0" w:color="auto"/>
      </w:divBdr>
      <w:divsChild>
        <w:div w:id="589043908">
          <w:marLeft w:val="0"/>
          <w:marRight w:val="0"/>
          <w:marTop w:val="0"/>
          <w:marBottom w:val="0"/>
          <w:divBdr>
            <w:top w:val="none" w:sz="0" w:space="0" w:color="auto"/>
            <w:left w:val="none" w:sz="0" w:space="0" w:color="auto"/>
            <w:bottom w:val="none" w:sz="0" w:space="0" w:color="auto"/>
            <w:right w:val="none" w:sz="0" w:space="0" w:color="auto"/>
          </w:divBdr>
          <w:divsChild>
            <w:div w:id="2081708569">
              <w:marLeft w:val="0"/>
              <w:marRight w:val="0"/>
              <w:marTop w:val="0"/>
              <w:marBottom w:val="0"/>
              <w:divBdr>
                <w:top w:val="none" w:sz="0" w:space="0" w:color="auto"/>
                <w:left w:val="none" w:sz="0" w:space="0" w:color="auto"/>
                <w:bottom w:val="none" w:sz="0" w:space="0" w:color="auto"/>
                <w:right w:val="none" w:sz="0" w:space="0" w:color="auto"/>
              </w:divBdr>
              <w:divsChild>
                <w:div w:id="108741486">
                  <w:marLeft w:val="0"/>
                  <w:marRight w:val="0"/>
                  <w:marTop w:val="0"/>
                  <w:marBottom w:val="0"/>
                  <w:divBdr>
                    <w:top w:val="none" w:sz="0" w:space="0" w:color="auto"/>
                    <w:left w:val="none" w:sz="0" w:space="0" w:color="auto"/>
                    <w:bottom w:val="none" w:sz="0" w:space="0" w:color="auto"/>
                    <w:right w:val="none" w:sz="0" w:space="0" w:color="auto"/>
                  </w:divBdr>
                  <w:divsChild>
                    <w:div w:id="1801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913791">
      <w:bodyDiv w:val="1"/>
      <w:marLeft w:val="0"/>
      <w:marRight w:val="0"/>
      <w:marTop w:val="0"/>
      <w:marBottom w:val="0"/>
      <w:divBdr>
        <w:top w:val="none" w:sz="0" w:space="0" w:color="auto"/>
        <w:left w:val="none" w:sz="0" w:space="0" w:color="auto"/>
        <w:bottom w:val="none" w:sz="0" w:space="0" w:color="auto"/>
        <w:right w:val="none" w:sz="0" w:space="0" w:color="auto"/>
      </w:divBdr>
      <w:divsChild>
        <w:div w:id="1550847238">
          <w:marLeft w:val="0"/>
          <w:marRight w:val="0"/>
          <w:marTop w:val="0"/>
          <w:marBottom w:val="0"/>
          <w:divBdr>
            <w:top w:val="none" w:sz="0" w:space="0" w:color="auto"/>
            <w:left w:val="none" w:sz="0" w:space="0" w:color="auto"/>
            <w:bottom w:val="none" w:sz="0" w:space="0" w:color="auto"/>
            <w:right w:val="none" w:sz="0" w:space="0" w:color="auto"/>
          </w:divBdr>
          <w:divsChild>
            <w:div w:id="1306928463">
              <w:marLeft w:val="0"/>
              <w:marRight w:val="0"/>
              <w:marTop w:val="0"/>
              <w:marBottom w:val="0"/>
              <w:divBdr>
                <w:top w:val="none" w:sz="0" w:space="0" w:color="auto"/>
                <w:left w:val="none" w:sz="0" w:space="0" w:color="auto"/>
                <w:bottom w:val="none" w:sz="0" w:space="0" w:color="auto"/>
                <w:right w:val="none" w:sz="0" w:space="0" w:color="auto"/>
              </w:divBdr>
              <w:divsChild>
                <w:div w:id="7952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65767">
      <w:bodyDiv w:val="1"/>
      <w:marLeft w:val="0"/>
      <w:marRight w:val="0"/>
      <w:marTop w:val="0"/>
      <w:marBottom w:val="0"/>
      <w:divBdr>
        <w:top w:val="none" w:sz="0" w:space="0" w:color="auto"/>
        <w:left w:val="none" w:sz="0" w:space="0" w:color="auto"/>
        <w:bottom w:val="none" w:sz="0" w:space="0" w:color="auto"/>
        <w:right w:val="none" w:sz="0" w:space="0" w:color="auto"/>
      </w:divBdr>
      <w:divsChild>
        <w:div w:id="182131491">
          <w:marLeft w:val="0"/>
          <w:marRight w:val="0"/>
          <w:marTop w:val="0"/>
          <w:marBottom w:val="0"/>
          <w:divBdr>
            <w:top w:val="none" w:sz="0" w:space="0" w:color="auto"/>
            <w:left w:val="none" w:sz="0" w:space="0" w:color="auto"/>
            <w:bottom w:val="none" w:sz="0" w:space="0" w:color="auto"/>
            <w:right w:val="none" w:sz="0" w:space="0" w:color="auto"/>
          </w:divBdr>
          <w:divsChild>
            <w:div w:id="2045254431">
              <w:marLeft w:val="0"/>
              <w:marRight w:val="0"/>
              <w:marTop w:val="0"/>
              <w:marBottom w:val="0"/>
              <w:divBdr>
                <w:top w:val="none" w:sz="0" w:space="0" w:color="auto"/>
                <w:left w:val="none" w:sz="0" w:space="0" w:color="auto"/>
                <w:bottom w:val="none" w:sz="0" w:space="0" w:color="auto"/>
                <w:right w:val="none" w:sz="0" w:space="0" w:color="auto"/>
              </w:divBdr>
              <w:divsChild>
                <w:div w:id="190918429">
                  <w:marLeft w:val="0"/>
                  <w:marRight w:val="0"/>
                  <w:marTop w:val="0"/>
                  <w:marBottom w:val="0"/>
                  <w:divBdr>
                    <w:top w:val="none" w:sz="0" w:space="0" w:color="auto"/>
                    <w:left w:val="none" w:sz="0" w:space="0" w:color="auto"/>
                    <w:bottom w:val="none" w:sz="0" w:space="0" w:color="auto"/>
                    <w:right w:val="none" w:sz="0" w:space="0" w:color="auto"/>
                  </w:divBdr>
                  <w:divsChild>
                    <w:div w:id="1514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1783">
      <w:bodyDiv w:val="1"/>
      <w:marLeft w:val="0"/>
      <w:marRight w:val="0"/>
      <w:marTop w:val="0"/>
      <w:marBottom w:val="0"/>
      <w:divBdr>
        <w:top w:val="none" w:sz="0" w:space="0" w:color="auto"/>
        <w:left w:val="none" w:sz="0" w:space="0" w:color="auto"/>
        <w:bottom w:val="none" w:sz="0" w:space="0" w:color="auto"/>
        <w:right w:val="none" w:sz="0" w:space="0" w:color="auto"/>
      </w:divBdr>
      <w:divsChild>
        <w:div w:id="1245214733">
          <w:marLeft w:val="0"/>
          <w:marRight w:val="0"/>
          <w:marTop w:val="0"/>
          <w:marBottom w:val="0"/>
          <w:divBdr>
            <w:top w:val="none" w:sz="0" w:space="0" w:color="auto"/>
            <w:left w:val="none" w:sz="0" w:space="0" w:color="auto"/>
            <w:bottom w:val="none" w:sz="0" w:space="0" w:color="auto"/>
            <w:right w:val="none" w:sz="0" w:space="0" w:color="auto"/>
          </w:divBdr>
          <w:divsChild>
            <w:div w:id="777676459">
              <w:marLeft w:val="0"/>
              <w:marRight w:val="0"/>
              <w:marTop w:val="0"/>
              <w:marBottom w:val="0"/>
              <w:divBdr>
                <w:top w:val="none" w:sz="0" w:space="0" w:color="auto"/>
                <w:left w:val="none" w:sz="0" w:space="0" w:color="auto"/>
                <w:bottom w:val="none" w:sz="0" w:space="0" w:color="auto"/>
                <w:right w:val="none" w:sz="0" w:space="0" w:color="auto"/>
              </w:divBdr>
              <w:divsChild>
                <w:div w:id="156560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2328">
      <w:bodyDiv w:val="1"/>
      <w:marLeft w:val="0"/>
      <w:marRight w:val="0"/>
      <w:marTop w:val="0"/>
      <w:marBottom w:val="0"/>
      <w:divBdr>
        <w:top w:val="none" w:sz="0" w:space="0" w:color="auto"/>
        <w:left w:val="none" w:sz="0" w:space="0" w:color="auto"/>
        <w:bottom w:val="none" w:sz="0" w:space="0" w:color="auto"/>
        <w:right w:val="none" w:sz="0" w:space="0" w:color="auto"/>
      </w:divBdr>
      <w:divsChild>
        <w:div w:id="884294558">
          <w:marLeft w:val="0"/>
          <w:marRight w:val="0"/>
          <w:marTop w:val="0"/>
          <w:marBottom w:val="0"/>
          <w:divBdr>
            <w:top w:val="none" w:sz="0" w:space="0" w:color="auto"/>
            <w:left w:val="none" w:sz="0" w:space="0" w:color="auto"/>
            <w:bottom w:val="none" w:sz="0" w:space="0" w:color="auto"/>
            <w:right w:val="none" w:sz="0" w:space="0" w:color="auto"/>
          </w:divBdr>
          <w:divsChild>
            <w:div w:id="893736787">
              <w:marLeft w:val="0"/>
              <w:marRight w:val="0"/>
              <w:marTop w:val="0"/>
              <w:marBottom w:val="0"/>
              <w:divBdr>
                <w:top w:val="none" w:sz="0" w:space="0" w:color="auto"/>
                <w:left w:val="none" w:sz="0" w:space="0" w:color="auto"/>
                <w:bottom w:val="none" w:sz="0" w:space="0" w:color="auto"/>
                <w:right w:val="none" w:sz="0" w:space="0" w:color="auto"/>
              </w:divBdr>
              <w:divsChild>
                <w:div w:id="8802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4559">
      <w:bodyDiv w:val="1"/>
      <w:marLeft w:val="0"/>
      <w:marRight w:val="0"/>
      <w:marTop w:val="0"/>
      <w:marBottom w:val="0"/>
      <w:divBdr>
        <w:top w:val="none" w:sz="0" w:space="0" w:color="auto"/>
        <w:left w:val="none" w:sz="0" w:space="0" w:color="auto"/>
        <w:bottom w:val="none" w:sz="0" w:space="0" w:color="auto"/>
        <w:right w:val="none" w:sz="0" w:space="0" w:color="auto"/>
      </w:divBdr>
      <w:divsChild>
        <w:div w:id="449325533">
          <w:marLeft w:val="0"/>
          <w:marRight w:val="0"/>
          <w:marTop w:val="0"/>
          <w:marBottom w:val="0"/>
          <w:divBdr>
            <w:top w:val="none" w:sz="0" w:space="0" w:color="auto"/>
            <w:left w:val="none" w:sz="0" w:space="0" w:color="auto"/>
            <w:bottom w:val="none" w:sz="0" w:space="0" w:color="auto"/>
            <w:right w:val="none" w:sz="0" w:space="0" w:color="auto"/>
          </w:divBdr>
          <w:divsChild>
            <w:div w:id="190459301">
              <w:marLeft w:val="0"/>
              <w:marRight w:val="0"/>
              <w:marTop w:val="0"/>
              <w:marBottom w:val="0"/>
              <w:divBdr>
                <w:top w:val="none" w:sz="0" w:space="0" w:color="auto"/>
                <w:left w:val="none" w:sz="0" w:space="0" w:color="auto"/>
                <w:bottom w:val="none" w:sz="0" w:space="0" w:color="auto"/>
                <w:right w:val="none" w:sz="0" w:space="0" w:color="auto"/>
              </w:divBdr>
              <w:divsChild>
                <w:div w:id="123754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3974">
      <w:bodyDiv w:val="1"/>
      <w:marLeft w:val="0"/>
      <w:marRight w:val="0"/>
      <w:marTop w:val="0"/>
      <w:marBottom w:val="0"/>
      <w:divBdr>
        <w:top w:val="none" w:sz="0" w:space="0" w:color="auto"/>
        <w:left w:val="none" w:sz="0" w:space="0" w:color="auto"/>
        <w:bottom w:val="none" w:sz="0" w:space="0" w:color="auto"/>
        <w:right w:val="none" w:sz="0" w:space="0" w:color="auto"/>
      </w:divBdr>
      <w:divsChild>
        <w:div w:id="1346784583">
          <w:marLeft w:val="0"/>
          <w:marRight w:val="0"/>
          <w:marTop w:val="0"/>
          <w:marBottom w:val="0"/>
          <w:divBdr>
            <w:top w:val="none" w:sz="0" w:space="0" w:color="auto"/>
            <w:left w:val="none" w:sz="0" w:space="0" w:color="auto"/>
            <w:bottom w:val="none" w:sz="0" w:space="0" w:color="auto"/>
            <w:right w:val="none" w:sz="0" w:space="0" w:color="auto"/>
          </w:divBdr>
          <w:divsChild>
            <w:div w:id="1018507102">
              <w:marLeft w:val="0"/>
              <w:marRight w:val="0"/>
              <w:marTop w:val="0"/>
              <w:marBottom w:val="0"/>
              <w:divBdr>
                <w:top w:val="none" w:sz="0" w:space="0" w:color="auto"/>
                <w:left w:val="none" w:sz="0" w:space="0" w:color="auto"/>
                <w:bottom w:val="none" w:sz="0" w:space="0" w:color="auto"/>
                <w:right w:val="none" w:sz="0" w:space="0" w:color="auto"/>
              </w:divBdr>
              <w:divsChild>
                <w:div w:id="18388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5567">
      <w:bodyDiv w:val="1"/>
      <w:marLeft w:val="0"/>
      <w:marRight w:val="0"/>
      <w:marTop w:val="0"/>
      <w:marBottom w:val="0"/>
      <w:divBdr>
        <w:top w:val="none" w:sz="0" w:space="0" w:color="auto"/>
        <w:left w:val="none" w:sz="0" w:space="0" w:color="auto"/>
        <w:bottom w:val="none" w:sz="0" w:space="0" w:color="auto"/>
        <w:right w:val="none" w:sz="0" w:space="0" w:color="auto"/>
      </w:divBdr>
      <w:divsChild>
        <w:div w:id="957838118">
          <w:marLeft w:val="0"/>
          <w:marRight w:val="0"/>
          <w:marTop w:val="0"/>
          <w:marBottom w:val="0"/>
          <w:divBdr>
            <w:top w:val="none" w:sz="0" w:space="0" w:color="auto"/>
            <w:left w:val="none" w:sz="0" w:space="0" w:color="auto"/>
            <w:bottom w:val="none" w:sz="0" w:space="0" w:color="auto"/>
            <w:right w:val="none" w:sz="0" w:space="0" w:color="auto"/>
          </w:divBdr>
          <w:divsChild>
            <w:div w:id="1773937054">
              <w:marLeft w:val="0"/>
              <w:marRight w:val="0"/>
              <w:marTop w:val="0"/>
              <w:marBottom w:val="0"/>
              <w:divBdr>
                <w:top w:val="none" w:sz="0" w:space="0" w:color="auto"/>
                <w:left w:val="none" w:sz="0" w:space="0" w:color="auto"/>
                <w:bottom w:val="none" w:sz="0" w:space="0" w:color="auto"/>
                <w:right w:val="none" w:sz="0" w:space="0" w:color="auto"/>
              </w:divBdr>
              <w:divsChild>
                <w:div w:id="1436056140">
                  <w:marLeft w:val="0"/>
                  <w:marRight w:val="0"/>
                  <w:marTop w:val="0"/>
                  <w:marBottom w:val="0"/>
                  <w:divBdr>
                    <w:top w:val="none" w:sz="0" w:space="0" w:color="auto"/>
                    <w:left w:val="none" w:sz="0" w:space="0" w:color="auto"/>
                    <w:bottom w:val="none" w:sz="0" w:space="0" w:color="auto"/>
                    <w:right w:val="none" w:sz="0" w:space="0" w:color="auto"/>
                  </w:divBdr>
                  <w:divsChild>
                    <w:div w:id="10911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663209">
      <w:bodyDiv w:val="1"/>
      <w:marLeft w:val="0"/>
      <w:marRight w:val="0"/>
      <w:marTop w:val="0"/>
      <w:marBottom w:val="0"/>
      <w:divBdr>
        <w:top w:val="none" w:sz="0" w:space="0" w:color="auto"/>
        <w:left w:val="none" w:sz="0" w:space="0" w:color="auto"/>
        <w:bottom w:val="none" w:sz="0" w:space="0" w:color="auto"/>
        <w:right w:val="none" w:sz="0" w:space="0" w:color="auto"/>
      </w:divBdr>
      <w:divsChild>
        <w:div w:id="850024325">
          <w:marLeft w:val="0"/>
          <w:marRight w:val="0"/>
          <w:marTop w:val="0"/>
          <w:marBottom w:val="0"/>
          <w:divBdr>
            <w:top w:val="none" w:sz="0" w:space="0" w:color="auto"/>
            <w:left w:val="none" w:sz="0" w:space="0" w:color="auto"/>
            <w:bottom w:val="none" w:sz="0" w:space="0" w:color="auto"/>
            <w:right w:val="none" w:sz="0" w:space="0" w:color="auto"/>
          </w:divBdr>
          <w:divsChild>
            <w:div w:id="1509640128">
              <w:marLeft w:val="0"/>
              <w:marRight w:val="0"/>
              <w:marTop w:val="0"/>
              <w:marBottom w:val="0"/>
              <w:divBdr>
                <w:top w:val="none" w:sz="0" w:space="0" w:color="auto"/>
                <w:left w:val="none" w:sz="0" w:space="0" w:color="auto"/>
                <w:bottom w:val="none" w:sz="0" w:space="0" w:color="auto"/>
                <w:right w:val="none" w:sz="0" w:space="0" w:color="auto"/>
              </w:divBdr>
              <w:divsChild>
                <w:div w:id="98994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5439">
      <w:bodyDiv w:val="1"/>
      <w:marLeft w:val="0"/>
      <w:marRight w:val="0"/>
      <w:marTop w:val="0"/>
      <w:marBottom w:val="0"/>
      <w:divBdr>
        <w:top w:val="none" w:sz="0" w:space="0" w:color="auto"/>
        <w:left w:val="none" w:sz="0" w:space="0" w:color="auto"/>
        <w:bottom w:val="none" w:sz="0" w:space="0" w:color="auto"/>
        <w:right w:val="none" w:sz="0" w:space="0" w:color="auto"/>
      </w:divBdr>
      <w:divsChild>
        <w:div w:id="1530142123">
          <w:marLeft w:val="0"/>
          <w:marRight w:val="0"/>
          <w:marTop w:val="0"/>
          <w:marBottom w:val="0"/>
          <w:divBdr>
            <w:top w:val="none" w:sz="0" w:space="0" w:color="auto"/>
            <w:left w:val="none" w:sz="0" w:space="0" w:color="auto"/>
            <w:bottom w:val="none" w:sz="0" w:space="0" w:color="auto"/>
            <w:right w:val="none" w:sz="0" w:space="0" w:color="auto"/>
          </w:divBdr>
          <w:divsChild>
            <w:div w:id="1132402268">
              <w:marLeft w:val="0"/>
              <w:marRight w:val="0"/>
              <w:marTop w:val="0"/>
              <w:marBottom w:val="0"/>
              <w:divBdr>
                <w:top w:val="none" w:sz="0" w:space="0" w:color="auto"/>
                <w:left w:val="none" w:sz="0" w:space="0" w:color="auto"/>
                <w:bottom w:val="none" w:sz="0" w:space="0" w:color="auto"/>
                <w:right w:val="none" w:sz="0" w:space="0" w:color="auto"/>
              </w:divBdr>
              <w:divsChild>
                <w:div w:id="6642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764505">
      <w:bodyDiv w:val="1"/>
      <w:marLeft w:val="0"/>
      <w:marRight w:val="0"/>
      <w:marTop w:val="0"/>
      <w:marBottom w:val="0"/>
      <w:divBdr>
        <w:top w:val="none" w:sz="0" w:space="0" w:color="auto"/>
        <w:left w:val="none" w:sz="0" w:space="0" w:color="auto"/>
        <w:bottom w:val="none" w:sz="0" w:space="0" w:color="auto"/>
        <w:right w:val="none" w:sz="0" w:space="0" w:color="auto"/>
      </w:divBdr>
      <w:divsChild>
        <w:div w:id="2118409467">
          <w:marLeft w:val="0"/>
          <w:marRight w:val="0"/>
          <w:marTop w:val="0"/>
          <w:marBottom w:val="0"/>
          <w:divBdr>
            <w:top w:val="none" w:sz="0" w:space="0" w:color="auto"/>
            <w:left w:val="none" w:sz="0" w:space="0" w:color="auto"/>
            <w:bottom w:val="none" w:sz="0" w:space="0" w:color="auto"/>
            <w:right w:val="none" w:sz="0" w:space="0" w:color="auto"/>
          </w:divBdr>
          <w:divsChild>
            <w:div w:id="1311515453">
              <w:marLeft w:val="0"/>
              <w:marRight w:val="0"/>
              <w:marTop w:val="0"/>
              <w:marBottom w:val="0"/>
              <w:divBdr>
                <w:top w:val="none" w:sz="0" w:space="0" w:color="auto"/>
                <w:left w:val="none" w:sz="0" w:space="0" w:color="auto"/>
                <w:bottom w:val="none" w:sz="0" w:space="0" w:color="auto"/>
                <w:right w:val="none" w:sz="0" w:space="0" w:color="auto"/>
              </w:divBdr>
              <w:divsChild>
                <w:div w:id="533546372">
                  <w:marLeft w:val="0"/>
                  <w:marRight w:val="0"/>
                  <w:marTop w:val="0"/>
                  <w:marBottom w:val="0"/>
                  <w:divBdr>
                    <w:top w:val="none" w:sz="0" w:space="0" w:color="auto"/>
                    <w:left w:val="none" w:sz="0" w:space="0" w:color="auto"/>
                    <w:bottom w:val="none" w:sz="0" w:space="0" w:color="auto"/>
                    <w:right w:val="none" w:sz="0" w:space="0" w:color="auto"/>
                  </w:divBdr>
                  <w:divsChild>
                    <w:div w:id="723484154">
                      <w:marLeft w:val="0"/>
                      <w:marRight w:val="0"/>
                      <w:marTop w:val="0"/>
                      <w:marBottom w:val="0"/>
                      <w:divBdr>
                        <w:top w:val="none" w:sz="0" w:space="0" w:color="auto"/>
                        <w:left w:val="none" w:sz="0" w:space="0" w:color="auto"/>
                        <w:bottom w:val="none" w:sz="0" w:space="0" w:color="auto"/>
                        <w:right w:val="none" w:sz="0" w:space="0" w:color="auto"/>
                      </w:divBdr>
                      <w:divsChild>
                        <w:div w:id="200290695">
                          <w:marLeft w:val="0"/>
                          <w:marRight w:val="0"/>
                          <w:marTop w:val="0"/>
                          <w:marBottom w:val="0"/>
                          <w:divBdr>
                            <w:top w:val="none" w:sz="0" w:space="0" w:color="auto"/>
                            <w:left w:val="none" w:sz="0" w:space="0" w:color="auto"/>
                            <w:bottom w:val="none" w:sz="0" w:space="0" w:color="auto"/>
                            <w:right w:val="none" w:sz="0" w:space="0" w:color="auto"/>
                          </w:divBdr>
                        </w:div>
                      </w:divsChild>
                    </w:div>
                    <w:div w:id="1929458976">
                      <w:marLeft w:val="0"/>
                      <w:marRight w:val="0"/>
                      <w:marTop w:val="0"/>
                      <w:marBottom w:val="0"/>
                      <w:divBdr>
                        <w:top w:val="none" w:sz="0" w:space="0" w:color="auto"/>
                        <w:left w:val="none" w:sz="0" w:space="0" w:color="auto"/>
                        <w:bottom w:val="none" w:sz="0" w:space="0" w:color="auto"/>
                        <w:right w:val="none" w:sz="0" w:space="0" w:color="auto"/>
                      </w:divBdr>
                      <w:divsChild>
                        <w:div w:id="210183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1722">
                  <w:marLeft w:val="0"/>
                  <w:marRight w:val="0"/>
                  <w:marTop w:val="0"/>
                  <w:marBottom w:val="0"/>
                  <w:divBdr>
                    <w:top w:val="none" w:sz="0" w:space="0" w:color="auto"/>
                    <w:left w:val="none" w:sz="0" w:space="0" w:color="auto"/>
                    <w:bottom w:val="none" w:sz="0" w:space="0" w:color="auto"/>
                    <w:right w:val="none" w:sz="0" w:space="0" w:color="auto"/>
                  </w:divBdr>
                  <w:divsChild>
                    <w:div w:id="201403018">
                      <w:marLeft w:val="0"/>
                      <w:marRight w:val="0"/>
                      <w:marTop w:val="0"/>
                      <w:marBottom w:val="0"/>
                      <w:divBdr>
                        <w:top w:val="none" w:sz="0" w:space="0" w:color="auto"/>
                        <w:left w:val="none" w:sz="0" w:space="0" w:color="auto"/>
                        <w:bottom w:val="none" w:sz="0" w:space="0" w:color="auto"/>
                        <w:right w:val="none" w:sz="0" w:space="0" w:color="auto"/>
                      </w:divBdr>
                      <w:divsChild>
                        <w:div w:id="169207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452672">
      <w:bodyDiv w:val="1"/>
      <w:marLeft w:val="0"/>
      <w:marRight w:val="0"/>
      <w:marTop w:val="0"/>
      <w:marBottom w:val="0"/>
      <w:divBdr>
        <w:top w:val="none" w:sz="0" w:space="0" w:color="auto"/>
        <w:left w:val="none" w:sz="0" w:space="0" w:color="auto"/>
        <w:bottom w:val="none" w:sz="0" w:space="0" w:color="auto"/>
        <w:right w:val="none" w:sz="0" w:space="0" w:color="auto"/>
      </w:divBdr>
      <w:divsChild>
        <w:div w:id="1311788876">
          <w:marLeft w:val="0"/>
          <w:marRight w:val="0"/>
          <w:marTop w:val="0"/>
          <w:marBottom w:val="0"/>
          <w:divBdr>
            <w:top w:val="none" w:sz="0" w:space="0" w:color="auto"/>
            <w:left w:val="none" w:sz="0" w:space="0" w:color="auto"/>
            <w:bottom w:val="none" w:sz="0" w:space="0" w:color="auto"/>
            <w:right w:val="none" w:sz="0" w:space="0" w:color="auto"/>
          </w:divBdr>
          <w:divsChild>
            <w:div w:id="862978117">
              <w:marLeft w:val="0"/>
              <w:marRight w:val="0"/>
              <w:marTop w:val="0"/>
              <w:marBottom w:val="0"/>
              <w:divBdr>
                <w:top w:val="none" w:sz="0" w:space="0" w:color="auto"/>
                <w:left w:val="none" w:sz="0" w:space="0" w:color="auto"/>
                <w:bottom w:val="none" w:sz="0" w:space="0" w:color="auto"/>
                <w:right w:val="none" w:sz="0" w:space="0" w:color="auto"/>
              </w:divBdr>
              <w:divsChild>
                <w:div w:id="18622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768444">
      <w:bodyDiv w:val="1"/>
      <w:marLeft w:val="0"/>
      <w:marRight w:val="0"/>
      <w:marTop w:val="0"/>
      <w:marBottom w:val="0"/>
      <w:divBdr>
        <w:top w:val="none" w:sz="0" w:space="0" w:color="auto"/>
        <w:left w:val="none" w:sz="0" w:space="0" w:color="auto"/>
        <w:bottom w:val="none" w:sz="0" w:space="0" w:color="auto"/>
        <w:right w:val="none" w:sz="0" w:space="0" w:color="auto"/>
      </w:divBdr>
      <w:divsChild>
        <w:div w:id="1016463501">
          <w:marLeft w:val="0"/>
          <w:marRight w:val="0"/>
          <w:marTop w:val="0"/>
          <w:marBottom w:val="0"/>
          <w:divBdr>
            <w:top w:val="none" w:sz="0" w:space="0" w:color="auto"/>
            <w:left w:val="none" w:sz="0" w:space="0" w:color="auto"/>
            <w:bottom w:val="none" w:sz="0" w:space="0" w:color="auto"/>
            <w:right w:val="none" w:sz="0" w:space="0" w:color="auto"/>
          </w:divBdr>
          <w:divsChild>
            <w:div w:id="1750080339">
              <w:marLeft w:val="0"/>
              <w:marRight w:val="0"/>
              <w:marTop w:val="0"/>
              <w:marBottom w:val="0"/>
              <w:divBdr>
                <w:top w:val="none" w:sz="0" w:space="0" w:color="auto"/>
                <w:left w:val="none" w:sz="0" w:space="0" w:color="auto"/>
                <w:bottom w:val="none" w:sz="0" w:space="0" w:color="auto"/>
                <w:right w:val="none" w:sz="0" w:space="0" w:color="auto"/>
              </w:divBdr>
              <w:divsChild>
                <w:div w:id="795023614">
                  <w:marLeft w:val="0"/>
                  <w:marRight w:val="0"/>
                  <w:marTop w:val="0"/>
                  <w:marBottom w:val="0"/>
                  <w:divBdr>
                    <w:top w:val="none" w:sz="0" w:space="0" w:color="auto"/>
                    <w:left w:val="none" w:sz="0" w:space="0" w:color="auto"/>
                    <w:bottom w:val="none" w:sz="0" w:space="0" w:color="auto"/>
                    <w:right w:val="none" w:sz="0" w:space="0" w:color="auto"/>
                  </w:divBdr>
                  <w:divsChild>
                    <w:div w:id="16533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4235">
      <w:bodyDiv w:val="1"/>
      <w:marLeft w:val="0"/>
      <w:marRight w:val="0"/>
      <w:marTop w:val="0"/>
      <w:marBottom w:val="0"/>
      <w:divBdr>
        <w:top w:val="none" w:sz="0" w:space="0" w:color="auto"/>
        <w:left w:val="none" w:sz="0" w:space="0" w:color="auto"/>
        <w:bottom w:val="none" w:sz="0" w:space="0" w:color="auto"/>
        <w:right w:val="none" w:sz="0" w:space="0" w:color="auto"/>
      </w:divBdr>
      <w:divsChild>
        <w:div w:id="586040536">
          <w:marLeft w:val="0"/>
          <w:marRight w:val="0"/>
          <w:marTop w:val="0"/>
          <w:marBottom w:val="0"/>
          <w:divBdr>
            <w:top w:val="none" w:sz="0" w:space="0" w:color="auto"/>
            <w:left w:val="none" w:sz="0" w:space="0" w:color="auto"/>
            <w:bottom w:val="none" w:sz="0" w:space="0" w:color="auto"/>
            <w:right w:val="none" w:sz="0" w:space="0" w:color="auto"/>
          </w:divBdr>
          <w:divsChild>
            <w:div w:id="1838883393">
              <w:marLeft w:val="0"/>
              <w:marRight w:val="0"/>
              <w:marTop w:val="0"/>
              <w:marBottom w:val="0"/>
              <w:divBdr>
                <w:top w:val="none" w:sz="0" w:space="0" w:color="auto"/>
                <w:left w:val="none" w:sz="0" w:space="0" w:color="auto"/>
                <w:bottom w:val="none" w:sz="0" w:space="0" w:color="auto"/>
                <w:right w:val="none" w:sz="0" w:space="0" w:color="auto"/>
              </w:divBdr>
              <w:divsChild>
                <w:div w:id="4224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88477">
      <w:bodyDiv w:val="1"/>
      <w:marLeft w:val="0"/>
      <w:marRight w:val="0"/>
      <w:marTop w:val="0"/>
      <w:marBottom w:val="0"/>
      <w:divBdr>
        <w:top w:val="none" w:sz="0" w:space="0" w:color="auto"/>
        <w:left w:val="none" w:sz="0" w:space="0" w:color="auto"/>
        <w:bottom w:val="none" w:sz="0" w:space="0" w:color="auto"/>
        <w:right w:val="none" w:sz="0" w:space="0" w:color="auto"/>
      </w:divBdr>
      <w:divsChild>
        <w:div w:id="1768227515">
          <w:marLeft w:val="0"/>
          <w:marRight w:val="0"/>
          <w:marTop w:val="0"/>
          <w:marBottom w:val="0"/>
          <w:divBdr>
            <w:top w:val="none" w:sz="0" w:space="0" w:color="auto"/>
            <w:left w:val="none" w:sz="0" w:space="0" w:color="auto"/>
            <w:bottom w:val="none" w:sz="0" w:space="0" w:color="auto"/>
            <w:right w:val="none" w:sz="0" w:space="0" w:color="auto"/>
          </w:divBdr>
          <w:divsChild>
            <w:div w:id="403840785">
              <w:marLeft w:val="0"/>
              <w:marRight w:val="0"/>
              <w:marTop w:val="0"/>
              <w:marBottom w:val="0"/>
              <w:divBdr>
                <w:top w:val="none" w:sz="0" w:space="0" w:color="auto"/>
                <w:left w:val="none" w:sz="0" w:space="0" w:color="auto"/>
                <w:bottom w:val="none" w:sz="0" w:space="0" w:color="auto"/>
                <w:right w:val="none" w:sz="0" w:space="0" w:color="auto"/>
              </w:divBdr>
              <w:divsChild>
                <w:div w:id="21286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09316">
      <w:bodyDiv w:val="1"/>
      <w:marLeft w:val="0"/>
      <w:marRight w:val="0"/>
      <w:marTop w:val="0"/>
      <w:marBottom w:val="0"/>
      <w:divBdr>
        <w:top w:val="none" w:sz="0" w:space="0" w:color="auto"/>
        <w:left w:val="none" w:sz="0" w:space="0" w:color="auto"/>
        <w:bottom w:val="none" w:sz="0" w:space="0" w:color="auto"/>
        <w:right w:val="none" w:sz="0" w:space="0" w:color="auto"/>
      </w:divBdr>
      <w:divsChild>
        <w:div w:id="1342925242">
          <w:marLeft w:val="0"/>
          <w:marRight w:val="0"/>
          <w:marTop w:val="0"/>
          <w:marBottom w:val="0"/>
          <w:divBdr>
            <w:top w:val="none" w:sz="0" w:space="0" w:color="auto"/>
            <w:left w:val="none" w:sz="0" w:space="0" w:color="auto"/>
            <w:bottom w:val="none" w:sz="0" w:space="0" w:color="auto"/>
            <w:right w:val="none" w:sz="0" w:space="0" w:color="auto"/>
          </w:divBdr>
          <w:divsChild>
            <w:div w:id="281886610">
              <w:marLeft w:val="0"/>
              <w:marRight w:val="0"/>
              <w:marTop w:val="0"/>
              <w:marBottom w:val="0"/>
              <w:divBdr>
                <w:top w:val="none" w:sz="0" w:space="0" w:color="auto"/>
                <w:left w:val="none" w:sz="0" w:space="0" w:color="auto"/>
                <w:bottom w:val="none" w:sz="0" w:space="0" w:color="auto"/>
                <w:right w:val="none" w:sz="0" w:space="0" w:color="auto"/>
              </w:divBdr>
              <w:divsChild>
                <w:div w:id="841316901">
                  <w:marLeft w:val="0"/>
                  <w:marRight w:val="0"/>
                  <w:marTop w:val="0"/>
                  <w:marBottom w:val="0"/>
                  <w:divBdr>
                    <w:top w:val="none" w:sz="0" w:space="0" w:color="auto"/>
                    <w:left w:val="none" w:sz="0" w:space="0" w:color="auto"/>
                    <w:bottom w:val="none" w:sz="0" w:space="0" w:color="auto"/>
                    <w:right w:val="none" w:sz="0" w:space="0" w:color="auto"/>
                  </w:divBdr>
                  <w:divsChild>
                    <w:div w:id="9333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78076">
      <w:bodyDiv w:val="1"/>
      <w:marLeft w:val="0"/>
      <w:marRight w:val="0"/>
      <w:marTop w:val="0"/>
      <w:marBottom w:val="0"/>
      <w:divBdr>
        <w:top w:val="none" w:sz="0" w:space="0" w:color="auto"/>
        <w:left w:val="none" w:sz="0" w:space="0" w:color="auto"/>
        <w:bottom w:val="none" w:sz="0" w:space="0" w:color="auto"/>
        <w:right w:val="none" w:sz="0" w:space="0" w:color="auto"/>
      </w:divBdr>
      <w:divsChild>
        <w:div w:id="848833781">
          <w:marLeft w:val="0"/>
          <w:marRight w:val="0"/>
          <w:marTop w:val="0"/>
          <w:marBottom w:val="0"/>
          <w:divBdr>
            <w:top w:val="none" w:sz="0" w:space="0" w:color="auto"/>
            <w:left w:val="none" w:sz="0" w:space="0" w:color="auto"/>
            <w:bottom w:val="none" w:sz="0" w:space="0" w:color="auto"/>
            <w:right w:val="none" w:sz="0" w:space="0" w:color="auto"/>
          </w:divBdr>
          <w:divsChild>
            <w:div w:id="1193154536">
              <w:marLeft w:val="0"/>
              <w:marRight w:val="0"/>
              <w:marTop w:val="0"/>
              <w:marBottom w:val="0"/>
              <w:divBdr>
                <w:top w:val="none" w:sz="0" w:space="0" w:color="auto"/>
                <w:left w:val="none" w:sz="0" w:space="0" w:color="auto"/>
                <w:bottom w:val="none" w:sz="0" w:space="0" w:color="auto"/>
                <w:right w:val="none" w:sz="0" w:space="0" w:color="auto"/>
              </w:divBdr>
              <w:divsChild>
                <w:div w:id="174183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6217">
      <w:bodyDiv w:val="1"/>
      <w:marLeft w:val="0"/>
      <w:marRight w:val="0"/>
      <w:marTop w:val="0"/>
      <w:marBottom w:val="0"/>
      <w:divBdr>
        <w:top w:val="none" w:sz="0" w:space="0" w:color="auto"/>
        <w:left w:val="none" w:sz="0" w:space="0" w:color="auto"/>
        <w:bottom w:val="none" w:sz="0" w:space="0" w:color="auto"/>
        <w:right w:val="none" w:sz="0" w:space="0" w:color="auto"/>
      </w:divBdr>
      <w:divsChild>
        <w:div w:id="1764261521">
          <w:marLeft w:val="0"/>
          <w:marRight w:val="0"/>
          <w:marTop w:val="0"/>
          <w:marBottom w:val="0"/>
          <w:divBdr>
            <w:top w:val="none" w:sz="0" w:space="0" w:color="auto"/>
            <w:left w:val="none" w:sz="0" w:space="0" w:color="auto"/>
            <w:bottom w:val="none" w:sz="0" w:space="0" w:color="auto"/>
            <w:right w:val="none" w:sz="0" w:space="0" w:color="auto"/>
          </w:divBdr>
          <w:divsChild>
            <w:div w:id="1450851939">
              <w:marLeft w:val="0"/>
              <w:marRight w:val="0"/>
              <w:marTop w:val="0"/>
              <w:marBottom w:val="0"/>
              <w:divBdr>
                <w:top w:val="none" w:sz="0" w:space="0" w:color="auto"/>
                <w:left w:val="none" w:sz="0" w:space="0" w:color="auto"/>
                <w:bottom w:val="none" w:sz="0" w:space="0" w:color="auto"/>
                <w:right w:val="none" w:sz="0" w:space="0" w:color="auto"/>
              </w:divBdr>
              <w:divsChild>
                <w:div w:id="210129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876123">
      <w:bodyDiv w:val="1"/>
      <w:marLeft w:val="0"/>
      <w:marRight w:val="0"/>
      <w:marTop w:val="0"/>
      <w:marBottom w:val="0"/>
      <w:divBdr>
        <w:top w:val="none" w:sz="0" w:space="0" w:color="auto"/>
        <w:left w:val="none" w:sz="0" w:space="0" w:color="auto"/>
        <w:bottom w:val="none" w:sz="0" w:space="0" w:color="auto"/>
        <w:right w:val="none" w:sz="0" w:space="0" w:color="auto"/>
      </w:divBdr>
      <w:divsChild>
        <w:div w:id="455222433">
          <w:marLeft w:val="0"/>
          <w:marRight w:val="0"/>
          <w:marTop w:val="0"/>
          <w:marBottom w:val="0"/>
          <w:divBdr>
            <w:top w:val="none" w:sz="0" w:space="0" w:color="auto"/>
            <w:left w:val="none" w:sz="0" w:space="0" w:color="auto"/>
            <w:bottom w:val="none" w:sz="0" w:space="0" w:color="auto"/>
            <w:right w:val="none" w:sz="0" w:space="0" w:color="auto"/>
          </w:divBdr>
          <w:divsChild>
            <w:div w:id="17857612">
              <w:marLeft w:val="0"/>
              <w:marRight w:val="0"/>
              <w:marTop w:val="0"/>
              <w:marBottom w:val="0"/>
              <w:divBdr>
                <w:top w:val="none" w:sz="0" w:space="0" w:color="auto"/>
                <w:left w:val="none" w:sz="0" w:space="0" w:color="auto"/>
                <w:bottom w:val="none" w:sz="0" w:space="0" w:color="auto"/>
                <w:right w:val="none" w:sz="0" w:space="0" w:color="auto"/>
              </w:divBdr>
              <w:divsChild>
                <w:div w:id="161443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5693">
      <w:bodyDiv w:val="1"/>
      <w:marLeft w:val="0"/>
      <w:marRight w:val="0"/>
      <w:marTop w:val="0"/>
      <w:marBottom w:val="0"/>
      <w:divBdr>
        <w:top w:val="none" w:sz="0" w:space="0" w:color="auto"/>
        <w:left w:val="none" w:sz="0" w:space="0" w:color="auto"/>
        <w:bottom w:val="none" w:sz="0" w:space="0" w:color="auto"/>
        <w:right w:val="none" w:sz="0" w:space="0" w:color="auto"/>
      </w:divBdr>
      <w:divsChild>
        <w:div w:id="1030571238">
          <w:marLeft w:val="0"/>
          <w:marRight w:val="0"/>
          <w:marTop w:val="0"/>
          <w:marBottom w:val="0"/>
          <w:divBdr>
            <w:top w:val="none" w:sz="0" w:space="0" w:color="auto"/>
            <w:left w:val="none" w:sz="0" w:space="0" w:color="auto"/>
            <w:bottom w:val="none" w:sz="0" w:space="0" w:color="auto"/>
            <w:right w:val="none" w:sz="0" w:space="0" w:color="auto"/>
          </w:divBdr>
          <w:divsChild>
            <w:div w:id="1492021477">
              <w:marLeft w:val="0"/>
              <w:marRight w:val="0"/>
              <w:marTop w:val="0"/>
              <w:marBottom w:val="0"/>
              <w:divBdr>
                <w:top w:val="none" w:sz="0" w:space="0" w:color="auto"/>
                <w:left w:val="none" w:sz="0" w:space="0" w:color="auto"/>
                <w:bottom w:val="none" w:sz="0" w:space="0" w:color="auto"/>
                <w:right w:val="none" w:sz="0" w:space="0" w:color="auto"/>
              </w:divBdr>
              <w:divsChild>
                <w:div w:id="1644044409">
                  <w:marLeft w:val="0"/>
                  <w:marRight w:val="0"/>
                  <w:marTop w:val="0"/>
                  <w:marBottom w:val="0"/>
                  <w:divBdr>
                    <w:top w:val="none" w:sz="0" w:space="0" w:color="auto"/>
                    <w:left w:val="none" w:sz="0" w:space="0" w:color="auto"/>
                    <w:bottom w:val="none" w:sz="0" w:space="0" w:color="auto"/>
                    <w:right w:val="none" w:sz="0" w:space="0" w:color="auto"/>
                  </w:divBdr>
                  <w:divsChild>
                    <w:div w:id="9863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96835">
      <w:bodyDiv w:val="1"/>
      <w:marLeft w:val="0"/>
      <w:marRight w:val="0"/>
      <w:marTop w:val="0"/>
      <w:marBottom w:val="0"/>
      <w:divBdr>
        <w:top w:val="none" w:sz="0" w:space="0" w:color="auto"/>
        <w:left w:val="none" w:sz="0" w:space="0" w:color="auto"/>
        <w:bottom w:val="none" w:sz="0" w:space="0" w:color="auto"/>
        <w:right w:val="none" w:sz="0" w:space="0" w:color="auto"/>
      </w:divBdr>
      <w:divsChild>
        <w:div w:id="343634887">
          <w:marLeft w:val="0"/>
          <w:marRight w:val="0"/>
          <w:marTop w:val="0"/>
          <w:marBottom w:val="0"/>
          <w:divBdr>
            <w:top w:val="none" w:sz="0" w:space="0" w:color="auto"/>
            <w:left w:val="none" w:sz="0" w:space="0" w:color="auto"/>
            <w:bottom w:val="none" w:sz="0" w:space="0" w:color="auto"/>
            <w:right w:val="none" w:sz="0" w:space="0" w:color="auto"/>
          </w:divBdr>
          <w:divsChild>
            <w:div w:id="712657469">
              <w:marLeft w:val="0"/>
              <w:marRight w:val="0"/>
              <w:marTop w:val="0"/>
              <w:marBottom w:val="0"/>
              <w:divBdr>
                <w:top w:val="none" w:sz="0" w:space="0" w:color="auto"/>
                <w:left w:val="none" w:sz="0" w:space="0" w:color="auto"/>
                <w:bottom w:val="none" w:sz="0" w:space="0" w:color="auto"/>
                <w:right w:val="none" w:sz="0" w:space="0" w:color="auto"/>
              </w:divBdr>
              <w:divsChild>
                <w:div w:id="112715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20">
      <w:bodyDiv w:val="1"/>
      <w:marLeft w:val="0"/>
      <w:marRight w:val="0"/>
      <w:marTop w:val="0"/>
      <w:marBottom w:val="0"/>
      <w:divBdr>
        <w:top w:val="none" w:sz="0" w:space="0" w:color="auto"/>
        <w:left w:val="none" w:sz="0" w:space="0" w:color="auto"/>
        <w:bottom w:val="none" w:sz="0" w:space="0" w:color="auto"/>
        <w:right w:val="none" w:sz="0" w:space="0" w:color="auto"/>
      </w:divBdr>
      <w:divsChild>
        <w:div w:id="925963574">
          <w:marLeft w:val="0"/>
          <w:marRight w:val="0"/>
          <w:marTop w:val="0"/>
          <w:marBottom w:val="0"/>
          <w:divBdr>
            <w:top w:val="none" w:sz="0" w:space="0" w:color="auto"/>
            <w:left w:val="none" w:sz="0" w:space="0" w:color="auto"/>
            <w:bottom w:val="none" w:sz="0" w:space="0" w:color="auto"/>
            <w:right w:val="none" w:sz="0" w:space="0" w:color="auto"/>
          </w:divBdr>
          <w:divsChild>
            <w:div w:id="1262108965">
              <w:marLeft w:val="0"/>
              <w:marRight w:val="0"/>
              <w:marTop w:val="0"/>
              <w:marBottom w:val="0"/>
              <w:divBdr>
                <w:top w:val="none" w:sz="0" w:space="0" w:color="auto"/>
                <w:left w:val="none" w:sz="0" w:space="0" w:color="auto"/>
                <w:bottom w:val="none" w:sz="0" w:space="0" w:color="auto"/>
                <w:right w:val="none" w:sz="0" w:space="0" w:color="auto"/>
              </w:divBdr>
              <w:divsChild>
                <w:div w:id="13614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0959">
      <w:bodyDiv w:val="1"/>
      <w:marLeft w:val="0"/>
      <w:marRight w:val="0"/>
      <w:marTop w:val="0"/>
      <w:marBottom w:val="0"/>
      <w:divBdr>
        <w:top w:val="none" w:sz="0" w:space="0" w:color="auto"/>
        <w:left w:val="none" w:sz="0" w:space="0" w:color="auto"/>
        <w:bottom w:val="none" w:sz="0" w:space="0" w:color="auto"/>
        <w:right w:val="none" w:sz="0" w:space="0" w:color="auto"/>
      </w:divBdr>
      <w:divsChild>
        <w:div w:id="592711145">
          <w:marLeft w:val="0"/>
          <w:marRight w:val="0"/>
          <w:marTop w:val="0"/>
          <w:marBottom w:val="0"/>
          <w:divBdr>
            <w:top w:val="none" w:sz="0" w:space="0" w:color="auto"/>
            <w:left w:val="none" w:sz="0" w:space="0" w:color="auto"/>
            <w:bottom w:val="none" w:sz="0" w:space="0" w:color="auto"/>
            <w:right w:val="none" w:sz="0" w:space="0" w:color="auto"/>
          </w:divBdr>
          <w:divsChild>
            <w:div w:id="1893617287">
              <w:marLeft w:val="0"/>
              <w:marRight w:val="0"/>
              <w:marTop w:val="0"/>
              <w:marBottom w:val="0"/>
              <w:divBdr>
                <w:top w:val="none" w:sz="0" w:space="0" w:color="auto"/>
                <w:left w:val="none" w:sz="0" w:space="0" w:color="auto"/>
                <w:bottom w:val="none" w:sz="0" w:space="0" w:color="auto"/>
                <w:right w:val="none" w:sz="0" w:space="0" w:color="auto"/>
              </w:divBdr>
              <w:divsChild>
                <w:div w:id="465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4770">
      <w:bodyDiv w:val="1"/>
      <w:marLeft w:val="0"/>
      <w:marRight w:val="0"/>
      <w:marTop w:val="0"/>
      <w:marBottom w:val="0"/>
      <w:divBdr>
        <w:top w:val="none" w:sz="0" w:space="0" w:color="auto"/>
        <w:left w:val="none" w:sz="0" w:space="0" w:color="auto"/>
        <w:bottom w:val="none" w:sz="0" w:space="0" w:color="auto"/>
        <w:right w:val="none" w:sz="0" w:space="0" w:color="auto"/>
      </w:divBdr>
      <w:divsChild>
        <w:div w:id="1376351422">
          <w:marLeft w:val="0"/>
          <w:marRight w:val="0"/>
          <w:marTop w:val="0"/>
          <w:marBottom w:val="0"/>
          <w:divBdr>
            <w:top w:val="none" w:sz="0" w:space="0" w:color="auto"/>
            <w:left w:val="none" w:sz="0" w:space="0" w:color="auto"/>
            <w:bottom w:val="none" w:sz="0" w:space="0" w:color="auto"/>
            <w:right w:val="none" w:sz="0" w:space="0" w:color="auto"/>
          </w:divBdr>
          <w:divsChild>
            <w:div w:id="1772628543">
              <w:marLeft w:val="0"/>
              <w:marRight w:val="0"/>
              <w:marTop w:val="0"/>
              <w:marBottom w:val="0"/>
              <w:divBdr>
                <w:top w:val="none" w:sz="0" w:space="0" w:color="auto"/>
                <w:left w:val="none" w:sz="0" w:space="0" w:color="auto"/>
                <w:bottom w:val="none" w:sz="0" w:space="0" w:color="auto"/>
                <w:right w:val="none" w:sz="0" w:space="0" w:color="auto"/>
              </w:divBdr>
              <w:divsChild>
                <w:div w:id="6853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1823">
      <w:bodyDiv w:val="1"/>
      <w:marLeft w:val="0"/>
      <w:marRight w:val="0"/>
      <w:marTop w:val="0"/>
      <w:marBottom w:val="0"/>
      <w:divBdr>
        <w:top w:val="none" w:sz="0" w:space="0" w:color="auto"/>
        <w:left w:val="none" w:sz="0" w:space="0" w:color="auto"/>
        <w:bottom w:val="none" w:sz="0" w:space="0" w:color="auto"/>
        <w:right w:val="none" w:sz="0" w:space="0" w:color="auto"/>
      </w:divBdr>
      <w:divsChild>
        <w:div w:id="936714211">
          <w:marLeft w:val="0"/>
          <w:marRight w:val="0"/>
          <w:marTop w:val="0"/>
          <w:marBottom w:val="0"/>
          <w:divBdr>
            <w:top w:val="none" w:sz="0" w:space="0" w:color="auto"/>
            <w:left w:val="none" w:sz="0" w:space="0" w:color="auto"/>
            <w:bottom w:val="none" w:sz="0" w:space="0" w:color="auto"/>
            <w:right w:val="none" w:sz="0" w:space="0" w:color="auto"/>
          </w:divBdr>
          <w:divsChild>
            <w:div w:id="1449079643">
              <w:marLeft w:val="0"/>
              <w:marRight w:val="0"/>
              <w:marTop w:val="0"/>
              <w:marBottom w:val="0"/>
              <w:divBdr>
                <w:top w:val="none" w:sz="0" w:space="0" w:color="auto"/>
                <w:left w:val="none" w:sz="0" w:space="0" w:color="auto"/>
                <w:bottom w:val="none" w:sz="0" w:space="0" w:color="auto"/>
                <w:right w:val="none" w:sz="0" w:space="0" w:color="auto"/>
              </w:divBdr>
              <w:divsChild>
                <w:div w:id="5227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08335">
      <w:bodyDiv w:val="1"/>
      <w:marLeft w:val="0"/>
      <w:marRight w:val="0"/>
      <w:marTop w:val="0"/>
      <w:marBottom w:val="0"/>
      <w:divBdr>
        <w:top w:val="none" w:sz="0" w:space="0" w:color="auto"/>
        <w:left w:val="none" w:sz="0" w:space="0" w:color="auto"/>
        <w:bottom w:val="none" w:sz="0" w:space="0" w:color="auto"/>
        <w:right w:val="none" w:sz="0" w:space="0" w:color="auto"/>
      </w:divBdr>
      <w:divsChild>
        <w:div w:id="849444655">
          <w:marLeft w:val="0"/>
          <w:marRight w:val="0"/>
          <w:marTop w:val="0"/>
          <w:marBottom w:val="0"/>
          <w:divBdr>
            <w:top w:val="none" w:sz="0" w:space="0" w:color="auto"/>
            <w:left w:val="none" w:sz="0" w:space="0" w:color="auto"/>
            <w:bottom w:val="none" w:sz="0" w:space="0" w:color="auto"/>
            <w:right w:val="none" w:sz="0" w:space="0" w:color="auto"/>
          </w:divBdr>
          <w:divsChild>
            <w:div w:id="521628367">
              <w:marLeft w:val="0"/>
              <w:marRight w:val="0"/>
              <w:marTop w:val="0"/>
              <w:marBottom w:val="0"/>
              <w:divBdr>
                <w:top w:val="none" w:sz="0" w:space="0" w:color="auto"/>
                <w:left w:val="none" w:sz="0" w:space="0" w:color="auto"/>
                <w:bottom w:val="none" w:sz="0" w:space="0" w:color="auto"/>
                <w:right w:val="none" w:sz="0" w:space="0" w:color="auto"/>
              </w:divBdr>
              <w:divsChild>
                <w:div w:id="2610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4481">
      <w:bodyDiv w:val="1"/>
      <w:marLeft w:val="0"/>
      <w:marRight w:val="0"/>
      <w:marTop w:val="0"/>
      <w:marBottom w:val="0"/>
      <w:divBdr>
        <w:top w:val="none" w:sz="0" w:space="0" w:color="auto"/>
        <w:left w:val="none" w:sz="0" w:space="0" w:color="auto"/>
        <w:bottom w:val="none" w:sz="0" w:space="0" w:color="auto"/>
        <w:right w:val="none" w:sz="0" w:space="0" w:color="auto"/>
      </w:divBdr>
      <w:divsChild>
        <w:div w:id="1483083922">
          <w:marLeft w:val="0"/>
          <w:marRight w:val="0"/>
          <w:marTop w:val="0"/>
          <w:marBottom w:val="0"/>
          <w:divBdr>
            <w:top w:val="none" w:sz="0" w:space="0" w:color="auto"/>
            <w:left w:val="none" w:sz="0" w:space="0" w:color="auto"/>
            <w:bottom w:val="none" w:sz="0" w:space="0" w:color="auto"/>
            <w:right w:val="none" w:sz="0" w:space="0" w:color="auto"/>
          </w:divBdr>
          <w:divsChild>
            <w:div w:id="1165825731">
              <w:marLeft w:val="0"/>
              <w:marRight w:val="0"/>
              <w:marTop w:val="0"/>
              <w:marBottom w:val="0"/>
              <w:divBdr>
                <w:top w:val="none" w:sz="0" w:space="0" w:color="auto"/>
                <w:left w:val="none" w:sz="0" w:space="0" w:color="auto"/>
                <w:bottom w:val="none" w:sz="0" w:space="0" w:color="auto"/>
                <w:right w:val="none" w:sz="0" w:space="0" w:color="auto"/>
              </w:divBdr>
              <w:divsChild>
                <w:div w:id="19393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94788">
      <w:bodyDiv w:val="1"/>
      <w:marLeft w:val="0"/>
      <w:marRight w:val="0"/>
      <w:marTop w:val="0"/>
      <w:marBottom w:val="0"/>
      <w:divBdr>
        <w:top w:val="none" w:sz="0" w:space="0" w:color="auto"/>
        <w:left w:val="none" w:sz="0" w:space="0" w:color="auto"/>
        <w:bottom w:val="none" w:sz="0" w:space="0" w:color="auto"/>
        <w:right w:val="none" w:sz="0" w:space="0" w:color="auto"/>
      </w:divBdr>
      <w:divsChild>
        <w:div w:id="1881359533">
          <w:marLeft w:val="0"/>
          <w:marRight w:val="0"/>
          <w:marTop w:val="0"/>
          <w:marBottom w:val="0"/>
          <w:divBdr>
            <w:top w:val="none" w:sz="0" w:space="0" w:color="auto"/>
            <w:left w:val="none" w:sz="0" w:space="0" w:color="auto"/>
            <w:bottom w:val="none" w:sz="0" w:space="0" w:color="auto"/>
            <w:right w:val="none" w:sz="0" w:space="0" w:color="auto"/>
          </w:divBdr>
          <w:divsChild>
            <w:div w:id="1442992483">
              <w:marLeft w:val="0"/>
              <w:marRight w:val="0"/>
              <w:marTop w:val="0"/>
              <w:marBottom w:val="0"/>
              <w:divBdr>
                <w:top w:val="none" w:sz="0" w:space="0" w:color="auto"/>
                <w:left w:val="none" w:sz="0" w:space="0" w:color="auto"/>
                <w:bottom w:val="none" w:sz="0" w:space="0" w:color="auto"/>
                <w:right w:val="none" w:sz="0" w:space="0" w:color="auto"/>
              </w:divBdr>
              <w:divsChild>
                <w:div w:id="2798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27053">
      <w:bodyDiv w:val="1"/>
      <w:marLeft w:val="0"/>
      <w:marRight w:val="0"/>
      <w:marTop w:val="0"/>
      <w:marBottom w:val="0"/>
      <w:divBdr>
        <w:top w:val="none" w:sz="0" w:space="0" w:color="auto"/>
        <w:left w:val="none" w:sz="0" w:space="0" w:color="auto"/>
        <w:bottom w:val="none" w:sz="0" w:space="0" w:color="auto"/>
        <w:right w:val="none" w:sz="0" w:space="0" w:color="auto"/>
      </w:divBdr>
      <w:divsChild>
        <w:div w:id="279997329">
          <w:marLeft w:val="0"/>
          <w:marRight w:val="0"/>
          <w:marTop w:val="0"/>
          <w:marBottom w:val="0"/>
          <w:divBdr>
            <w:top w:val="none" w:sz="0" w:space="0" w:color="auto"/>
            <w:left w:val="none" w:sz="0" w:space="0" w:color="auto"/>
            <w:bottom w:val="none" w:sz="0" w:space="0" w:color="auto"/>
            <w:right w:val="none" w:sz="0" w:space="0" w:color="auto"/>
          </w:divBdr>
          <w:divsChild>
            <w:div w:id="797340243">
              <w:marLeft w:val="0"/>
              <w:marRight w:val="0"/>
              <w:marTop w:val="0"/>
              <w:marBottom w:val="0"/>
              <w:divBdr>
                <w:top w:val="none" w:sz="0" w:space="0" w:color="auto"/>
                <w:left w:val="none" w:sz="0" w:space="0" w:color="auto"/>
                <w:bottom w:val="none" w:sz="0" w:space="0" w:color="auto"/>
                <w:right w:val="none" w:sz="0" w:space="0" w:color="auto"/>
              </w:divBdr>
              <w:divsChild>
                <w:div w:id="793518273">
                  <w:marLeft w:val="0"/>
                  <w:marRight w:val="0"/>
                  <w:marTop w:val="0"/>
                  <w:marBottom w:val="0"/>
                  <w:divBdr>
                    <w:top w:val="none" w:sz="0" w:space="0" w:color="auto"/>
                    <w:left w:val="none" w:sz="0" w:space="0" w:color="auto"/>
                    <w:bottom w:val="none" w:sz="0" w:space="0" w:color="auto"/>
                    <w:right w:val="none" w:sz="0" w:space="0" w:color="auto"/>
                  </w:divBdr>
                  <w:divsChild>
                    <w:div w:id="9847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69739">
      <w:bodyDiv w:val="1"/>
      <w:marLeft w:val="0"/>
      <w:marRight w:val="0"/>
      <w:marTop w:val="0"/>
      <w:marBottom w:val="0"/>
      <w:divBdr>
        <w:top w:val="none" w:sz="0" w:space="0" w:color="auto"/>
        <w:left w:val="none" w:sz="0" w:space="0" w:color="auto"/>
        <w:bottom w:val="none" w:sz="0" w:space="0" w:color="auto"/>
        <w:right w:val="none" w:sz="0" w:space="0" w:color="auto"/>
      </w:divBdr>
      <w:divsChild>
        <w:div w:id="1039091092">
          <w:marLeft w:val="0"/>
          <w:marRight w:val="0"/>
          <w:marTop w:val="0"/>
          <w:marBottom w:val="0"/>
          <w:divBdr>
            <w:top w:val="none" w:sz="0" w:space="0" w:color="auto"/>
            <w:left w:val="none" w:sz="0" w:space="0" w:color="auto"/>
            <w:bottom w:val="none" w:sz="0" w:space="0" w:color="auto"/>
            <w:right w:val="none" w:sz="0" w:space="0" w:color="auto"/>
          </w:divBdr>
          <w:divsChild>
            <w:div w:id="759372974">
              <w:marLeft w:val="0"/>
              <w:marRight w:val="0"/>
              <w:marTop w:val="0"/>
              <w:marBottom w:val="0"/>
              <w:divBdr>
                <w:top w:val="none" w:sz="0" w:space="0" w:color="auto"/>
                <w:left w:val="none" w:sz="0" w:space="0" w:color="auto"/>
                <w:bottom w:val="none" w:sz="0" w:space="0" w:color="auto"/>
                <w:right w:val="none" w:sz="0" w:space="0" w:color="auto"/>
              </w:divBdr>
              <w:divsChild>
                <w:div w:id="1361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18733">
      <w:bodyDiv w:val="1"/>
      <w:marLeft w:val="0"/>
      <w:marRight w:val="0"/>
      <w:marTop w:val="0"/>
      <w:marBottom w:val="0"/>
      <w:divBdr>
        <w:top w:val="none" w:sz="0" w:space="0" w:color="auto"/>
        <w:left w:val="none" w:sz="0" w:space="0" w:color="auto"/>
        <w:bottom w:val="none" w:sz="0" w:space="0" w:color="auto"/>
        <w:right w:val="none" w:sz="0" w:space="0" w:color="auto"/>
      </w:divBdr>
      <w:divsChild>
        <w:div w:id="1330333376">
          <w:marLeft w:val="0"/>
          <w:marRight w:val="0"/>
          <w:marTop w:val="0"/>
          <w:marBottom w:val="0"/>
          <w:divBdr>
            <w:top w:val="none" w:sz="0" w:space="0" w:color="auto"/>
            <w:left w:val="none" w:sz="0" w:space="0" w:color="auto"/>
            <w:bottom w:val="none" w:sz="0" w:space="0" w:color="auto"/>
            <w:right w:val="none" w:sz="0" w:space="0" w:color="auto"/>
          </w:divBdr>
          <w:divsChild>
            <w:div w:id="1906646550">
              <w:marLeft w:val="0"/>
              <w:marRight w:val="0"/>
              <w:marTop w:val="0"/>
              <w:marBottom w:val="0"/>
              <w:divBdr>
                <w:top w:val="none" w:sz="0" w:space="0" w:color="auto"/>
                <w:left w:val="none" w:sz="0" w:space="0" w:color="auto"/>
                <w:bottom w:val="none" w:sz="0" w:space="0" w:color="auto"/>
                <w:right w:val="none" w:sz="0" w:space="0" w:color="auto"/>
              </w:divBdr>
              <w:divsChild>
                <w:div w:id="7667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3873">
      <w:bodyDiv w:val="1"/>
      <w:marLeft w:val="0"/>
      <w:marRight w:val="0"/>
      <w:marTop w:val="0"/>
      <w:marBottom w:val="0"/>
      <w:divBdr>
        <w:top w:val="none" w:sz="0" w:space="0" w:color="auto"/>
        <w:left w:val="none" w:sz="0" w:space="0" w:color="auto"/>
        <w:bottom w:val="none" w:sz="0" w:space="0" w:color="auto"/>
        <w:right w:val="none" w:sz="0" w:space="0" w:color="auto"/>
      </w:divBdr>
      <w:divsChild>
        <w:div w:id="1789203776">
          <w:marLeft w:val="0"/>
          <w:marRight w:val="0"/>
          <w:marTop w:val="0"/>
          <w:marBottom w:val="0"/>
          <w:divBdr>
            <w:top w:val="none" w:sz="0" w:space="0" w:color="auto"/>
            <w:left w:val="none" w:sz="0" w:space="0" w:color="auto"/>
            <w:bottom w:val="none" w:sz="0" w:space="0" w:color="auto"/>
            <w:right w:val="none" w:sz="0" w:space="0" w:color="auto"/>
          </w:divBdr>
          <w:divsChild>
            <w:div w:id="526715991">
              <w:marLeft w:val="0"/>
              <w:marRight w:val="0"/>
              <w:marTop w:val="0"/>
              <w:marBottom w:val="0"/>
              <w:divBdr>
                <w:top w:val="none" w:sz="0" w:space="0" w:color="auto"/>
                <w:left w:val="none" w:sz="0" w:space="0" w:color="auto"/>
                <w:bottom w:val="none" w:sz="0" w:space="0" w:color="auto"/>
                <w:right w:val="none" w:sz="0" w:space="0" w:color="auto"/>
              </w:divBdr>
              <w:divsChild>
                <w:div w:id="13291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7222">
      <w:bodyDiv w:val="1"/>
      <w:marLeft w:val="0"/>
      <w:marRight w:val="0"/>
      <w:marTop w:val="0"/>
      <w:marBottom w:val="0"/>
      <w:divBdr>
        <w:top w:val="none" w:sz="0" w:space="0" w:color="auto"/>
        <w:left w:val="none" w:sz="0" w:space="0" w:color="auto"/>
        <w:bottom w:val="none" w:sz="0" w:space="0" w:color="auto"/>
        <w:right w:val="none" w:sz="0" w:space="0" w:color="auto"/>
      </w:divBdr>
      <w:divsChild>
        <w:div w:id="230509712">
          <w:marLeft w:val="0"/>
          <w:marRight w:val="0"/>
          <w:marTop w:val="0"/>
          <w:marBottom w:val="0"/>
          <w:divBdr>
            <w:top w:val="none" w:sz="0" w:space="0" w:color="auto"/>
            <w:left w:val="none" w:sz="0" w:space="0" w:color="auto"/>
            <w:bottom w:val="none" w:sz="0" w:space="0" w:color="auto"/>
            <w:right w:val="none" w:sz="0" w:space="0" w:color="auto"/>
          </w:divBdr>
          <w:divsChild>
            <w:div w:id="1461612972">
              <w:marLeft w:val="0"/>
              <w:marRight w:val="0"/>
              <w:marTop w:val="0"/>
              <w:marBottom w:val="0"/>
              <w:divBdr>
                <w:top w:val="none" w:sz="0" w:space="0" w:color="auto"/>
                <w:left w:val="none" w:sz="0" w:space="0" w:color="auto"/>
                <w:bottom w:val="none" w:sz="0" w:space="0" w:color="auto"/>
                <w:right w:val="none" w:sz="0" w:space="0" w:color="auto"/>
              </w:divBdr>
              <w:divsChild>
                <w:div w:id="18289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62049">
      <w:bodyDiv w:val="1"/>
      <w:marLeft w:val="0"/>
      <w:marRight w:val="0"/>
      <w:marTop w:val="0"/>
      <w:marBottom w:val="0"/>
      <w:divBdr>
        <w:top w:val="none" w:sz="0" w:space="0" w:color="auto"/>
        <w:left w:val="none" w:sz="0" w:space="0" w:color="auto"/>
        <w:bottom w:val="none" w:sz="0" w:space="0" w:color="auto"/>
        <w:right w:val="none" w:sz="0" w:space="0" w:color="auto"/>
      </w:divBdr>
      <w:divsChild>
        <w:div w:id="1773545307">
          <w:marLeft w:val="0"/>
          <w:marRight w:val="0"/>
          <w:marTop w:val="0"/>
          <w:marBottom w:val="0"/>
          <w:divBdr>
            <w:top w:val="none" w:sz="0" w:space="0" w:color="auto"/>
            <w:left w:val="none" w:sz="0" w:space="0" w:color="auto"/>
            <w:bottom w:val="none" w:sz="0" w:space="0" w:color="auto"/>
            <w:right w:val="none" w:sz="0" w:space="0" w:color="auto"/>
          </w:divBdr>
          <w:divsChild>
            <w:div w:id="584531878">
              <w:marLeft w:val="0"/>
              <w:marRight w:val="0"/>
              <w:marTop w:val="0"/>
              <w:marBottom w:val="0"/>
              <w:divBdr>
                <w:top w:val="none" w:sz="0" w:space="0" w:color="auto"/>
                <w:left w:val="none" w:sz="0" w:space="0" w:color="auto"/>
                <w:bottom w:val="none" w:sz="0" w:space="0" w:color="auto"/>
                <w:right w:val="none" w:sz="0" w:space="0" w:color="auto"/>
              </w:divBdr>
              <w:divsChild>
                <w:div w:id="1121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00421">
      <w:bodyDiv w:val="1"/>
      <w:marLeft w:val="0"/>
      <w:marRight w:val="0"/>
      <w:marTop w:val="0"/>
      <w:marBottom w:val="0"/>
      <w:divBdr>
        <w:top w:val="none" w:sz="0" w:space="0" w:color="auto"/>
        <w:left w:val="none" w:sz="0" w:space="0" w:color="auto"/>
        <w:bottom w:val="none" w:sz="0" w:space="0" w:color="auto"/>
        <w:right w:val="none" w:sz="0" w:space="0" w:color="auto"/>
      </w:divBdr>
      <w:divsChild>
        <w:div w:id="477309800">
          <w:marLeft w:val="0"/>
          <w:marRight w:val="0"/>
          <w:marTop w:val="0"/>
          <w:marBottom w:val="0"/>
          <w:divBdr>
            <w:top w:val="none" w:sz="0" w:space="0" w:color="auto"/>
            <w:left w:val="none" w:sz="0" w:space="0" w:color="auto"/>
            <w:bottom w:val="none" w:sz="0" w:space="0" w:color="auto"/>
            <w:right w:val="none" w:sz="0" w:space="0" w:color="auto"/>
          </w:divBdr>
          <w:divsChild>
            <w:div w:id="1776166735">
              <w:marLeft w:val="0"/>
              <w:marRight w:val="0"/>
              <w:marTop w:val="0"/>
              <w:marBottom w:val="0"/>
              <w:divBdr>
                <w:top w:val="none" w:sz="0" w:space="0" w:color="auto"/>
                <w:left w:val="none" w:sz="0" w:space="0" w:color="auto"/>
                <w:bottom w:val="none" w:sz="0" w:space="0" w:color="auto"/>
                <w:right w:val="none" w:sz="0" w:space="0" w:color="auto"/>
              </w:divBdr>
              <w:divsChild>
                <w:div w:id="11772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64086">
      <w:bodyDiv w:val="1"/>
      <w:marLeft w:val="0"/>
      <w:marRight w:val="0"/>
      <w:marTop w:val="0"/>
      <w:marBottom w:val="0"/>
      <w:divBdr>
        <w:top w:val="none" w:sz="0" w:space="0" w:color="auto"/>
        <w:left w:val="none" w:sz="0" w:space="0" w:color="auto"/>
        <w:bottom w:val="none" w:sz="0" w:space="0" w:color="auto"/>
        <w:right w:val="none" w:sz="0" w:space="0" w:color="auto"/>
      </w:divBdr>
      <w:divsChild>
        <w:div w:id="415441814">
          <w:marLeft w:val="0"/>
          <w:marRight w:val="0"/>
          <w:marTop w:val="0"/>
          <w:marBottom w:val="0"/>
          <w:divBdr>
            <w:top w:val="none" w:sz="0" w:space="0" w:color="auto"/>
            <w:left w:val="none" w:sz="0" w:space="0" w:color="auto"/>
            <w:bottom w:val="none" w:sz="0" w:space="0" w:color="auto"/>
            <w:right w:val="none" w:sz="0" w:space="0" w:color="auto"/>
          </w:divBdr>
          <w:divsChild>
            <w:div w:id="97912499">
              <w:marLeft w:val="0"/>
              <w:marRight w:val="0"/>
              <w:marTop w:val="0"/>
              <w:marBottom w:val="0"/>
              <w:divBdr>
                <w:top w:val="none" w:sz="0" w:space="0" w:color="auto"/>
                <w:left w:val="none" w:sz="0" w:space="0" w:color="auto"/>
                <w:bottom w:val="none" w:sz="0" w:space="0" w:color="auto"/>
                <w:right w:val="none" w:sz="0" w:space="0" w:color="auto"/>
              </w:divBdr>
              <w:divsChild>
                <w:div w:id="11895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02266">
      <w:bodyDiv w:val="1"/>
      <w:marLeft w:val="0"/>
      <w:marRight w:val="0"/>
      <w:marTop w:val="0"/>
      <w:marBottom w:val="0"/>
      <w:divBdr>
        <w:top w:val="none" w:sz="0" w:space="0" w:color="auto"/>
        <w:left w:val="none" w:sz="0" w:space="0" w:color="auto"/>
        <w:bottom w:val="none" w:sz="0" w:space="0" w:color="auto"/>
        <w:right w:val="none" w:sz="0" w:space="0" w:color="auto"/>
      </w:divBdr>
      <w:divsChild>
        <w:div w:id="1397237715">
          <w:marLeft w:val="0"/>
          <w:marRight w:val="0"/>
          <w:marTop w:val="0"/>
          <w:marBottom w:val="0"/>
          <w:divBdr>
            <w:top w:val="none" w:sz="0" w:space="0" w:color="auto"/>
            <w:left w:val="none" w:sz="0" w:space="0" w:color="auto"/>
            <w:bottom w:val="none" w:sz="0" w:space="0" w:color="auto"/>
            <w:right w:val="none" w:sz="0" w:space="0" w:color="auto"/>
          </w:divBdr>
          <w:divsChild>
            <w:div w:id="865558373">
              <w:marLeft w:val="0"/>
              <w:marRight w:val="0"/>
              <w:marTop w:val="0"/>
              <w:marBottom w:val="0"/>
              <w:divBdr>
                <w:top w:val="none" w:sz="0" w:space="0" w:color="auto"/>
                <w:left w:val="none" w:sz="0" w:space="0" w:color="auto"/>
                <w:bottom w:val="none" w:sz="0" w:space="0" w:color="auto"/>
                <w:right w:val="none" w:sz="0" w:space="0" w:color="auto"/>
              </w:divBdr>
              <w:divsChild>
                <w:div w:id="3979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5476">
      <w:bodyDiv w:val="1"/>
      <w:marLeft w:val="0"/>
      <w:marRight w:val="0"/>
      <w:marTop w:val="0"/>
      <w:marBottom w:val="0"/>
      <w:divBdr>
        <w:top w:val="none" w:sz="0" w:space="0" w:color="auto"/>
        <w:left w:val="none" w:sz="0" w:space="0" w:color="auto"/>
        <w:bottom w:val="none" w:sz="0" w:space="0" w:color="auto"/>
        <w:right w:val="none" w:sz="0" w:space="0" w:color="auto"/>
      </w:divBdr>
      <w:divsChild>
        <w:div w:id="1030956170">
          <w:marLeft w:val="0"/>
          <w:marRight w:val="0"/>
          <w:marTop w:val="0"/>
          <w:marBottom w:val="0"/>
          <w:divBdr>
            <w:top w:val="none" w:sz="0" w:space="0" w:color="auto"/>
            <w:left w:val="none" w:sz="0" w:space="0" w:color="auto"/>
            <w:bottom w:val="none" w:sz="0" w:space="0" w:color="auto"/>
            <w:right w:val="none" w:sz="0" w:space="0" w:color="auto"/>
          </w:divBdr>
          <w:divsChild>
            <w:div w:id="1258517514">
              <w:marLeft w:val="0"/>
              <w:marRight w:val="0"/>
              <w:marTop w:val="0"/>
              <w:marBottom w:val="0"/>
              <w:divBdr>
                <w:top w:val="none" w:sz="0" w:space="0" w:color="auto"/>
                <w:left w:val="none" w:sz="0" w:space="0" w:color="auto"/>
                <w:bottom w:val="none" w:sz="0" w:space="0" w:color="auto"/>
                <w:right w:val="none" w:sz="0" w:space="0" w:color="auto"/>
              </w:divBdr>
              <w:divsChild>
                <w:div w:id="167448239">
                  <w:marLeft w:val="0"/>
                  <w:marRight w:val="0"/>
                  <w:marTop w:val="0"/>
                  <w:marBottom w:val="0"/>
                  <w:divBdr>
                    <w:top w:val="none" w:sz="0" w:space="0" w:color="auto"/>
                    <w:left w:val="none" w:sz="0" w:space="0" w:color="auto"/>
                    <w:bottom w:val="none" w:sz="0" w:space="0" w:color="auto"/>
                    <w:right w:val="none" w:sz="0" w:space="0" w:color="auto"/>
                  </w:divBdr>
                  <w:divsChild>
                    <w:div w:id="5425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162425">
      <w:bodyDiv w:val="1"/>
      <w:marLeft w:val="0"/>
      <w:marRight w:val="0"/>
      <w:marTop w:val="0"/>
      <w:marBottom w:val="0"/>
      <w:divBdr>
        <w:top w:val="none" w:sz="0" w:space="0" w:color="auto"/>
        <w:left w:val="none" w:sz="0" w:space="0" w:color="auto"/>
        <w:bottom w:val="none" w:sz="0" w:space="0" w:color="auto"/>
        <w:right w:val="none" w:sz="0" w:space="0" w:color="auto"/>
      </w:divBdr>
      <w:divsChild>
        <w:div w:id="842011375">
          <w:marLeft w:val="0"/>
          <w:marRight w:val="0"/>
          <w:marTop w:val="0"/>
          <w:marBottom w:val="0"/>
          <w:divBdr>
            <w:top w:val="none" w:sz="0" w:space="0" w:color="auto"/>
            <w:left w:val="none" w:sz="0" w:space="0" w:color="auto"/>
            <w:bottom w:val="none" w:sz="0" w:space="0" w:color="auto"/>
            <w:right w:val="none" w:sz="0" w:space="0" w:color="auto"/>
          </w:divBdr>
          <w:divsChild>
            <w:div w:id="2081705447">
              <w:marLeft w:val="0"/>
              <w:marRight w:val="0"/>
              <w:marTop w:val="0"/>
              <w:marBottom w:val="0"/>
              <w:divBdr>
                <w:top w:val="none" w:sz="0" w:space="0" w:color="auto"/>
                <w:left w:val="none" w:sz="0" w:space="0" w:color="auto"/>
                <w:bottom w:val="none" w:sz="0" w:space="0" w:color="auto"/>
                <w:right w:val="none" w:sz="0" w:space="0" w:color="auto"/>
              </w:divBdr>
              <w:divsChild>
                <w:div w:id="2961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2470">
      <w:bodyDiv w:val="1"/>
      <w:marLeft w:val="0"/>
      <w:marRight w:val="0"/>
      <w:marTop w:val="0"/>
      <w:marBottom w:val="0"/>
      <w:divBdr>
        <w:top w:val="none" w:sz="0" w:space="0" w:color="auto"/>
        <w:left w:val="none" w:sz="0" w:space="0" w:color="auto"/>
        <w:bottom w:val="none" w:sz="0" w:space="0" w:color="auto"/>
        <w:right w:val="none" w:sz="0" w:space="0" w:color="auto"/>
      </w:divBdr>
      <w:divsChild>
        <w:div w:id="444884941">
          <w:marLeft w:val="0"/>
          <w:marRight w:val="0"/>
          <w:marTop w:val="0"/>
          <w:marBottom w:val="0"/>
          <w:divBdr>
            <w:top w:val="none" w:sz="0" w:space="0" w:color="auto"/>
            <w:left w:val="none" w:sz="0" w:space="0" w:color="auto"/>
            <w:bottom w:val="none" w:sz="0" w:space="0" w:color="auto"/>
            <w:right w:val="none" w:sz="0" w:space="0" w:color="auto"/>
          </w:divBdr>
          <w:divsChild>
            <w:div w:id="106701070">
              <w:marLeft w:val="0"/>
              <w:marRight w:val="0"/>
              <w:marTop w:val="0"/>
              <w:marBottom w:val="0"/>
              <w:divBdr>
                <w:top w:val="none" w:sz="0" w:space="0" w:color="auto"/>
                <w:left w:val="none" w:sz="0" w:space="0" w:color="auto"/>
                <w:bottom w:val="none" w:sz="0" w:space="0" w:color="auto"/>
                <w:right w:val="none" w:sz="0" w:space="0" w:color="auto"/>
              </w:divBdr>
              <w:divsChild>
                <w:div w:id="14939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3819">
      <w:bodyDiv w:val="1"/>
      <w:marLeft w:val="0"/>
      <w:marRight w:val="0"/>
      <w:marTop w:val="0"/>
      <w:marBottom w:val="0"/>
      <w:divBdr>
        <w:top w:val="none" w:sz="0" w:space="0" w:color="auto"/>
        <w:left w:val="none" w:sz="0" w:space="0" w:color="auto"/>
        <w:bottom w:val="none" w:sz="0" w:space="0" w:color="auto"/>
        <w:right w:val="none" w:sz="0" w:space="0" w:color="auto"/>
      </w:divBdr>
      <w:divsChild>
        <w:div w:id="133790697">
          <w:marLeft w:val="0"/>
          <w:marRight w:val="0"/>
          <w:marTop w:val="0"/>
          <w:marBottom w:val="0"/>
          <w:divBdr>
            <w:top w:val="none" w:sz="0" w:space="0" w:color="auto"/>
            <w:left w:val="none" w:sz="0" w:space="0" w:color="auto"/>
            <w:bottom w:val="none" w:sz="0" w:space="0" w:color="auto"/>
            <w:right w:val="none" w:sz="0" w:space="0" w:color="auto"/>
          </w:divBdr>
          <w:divsChild>
            <w:div w:id="1864439803">
              <w:marLeft w:val="0"/>
              <w:marRight w:val="0"/>
              <w:marTop w:val="0"/>
              <w:marBottom w:val="0"/>
              <w:divBdr>
                <w:top w:val="none" w:sz="0" w:space="0" w:color="auto"/>
                <w:left w:val="none" w:sz="0" w:space="0" w:color="auto"/>
                <w:bottom w:val="none" w:sz="0" w:space="0" w:color="auto"/>
                <w:right w:val="none" w:sz="0" w:space="0" w:color="auto"/>
              </w:divBdr>
              <w:divsChild>
                <w:div w:id="1361736048">
                  <w:marLeft w:val="0"/>
                  <w:marRight w:val="0"/>
                  <w:marTop w:val="0"/>
                  <w:marBottom w:val="0"/>
                  <w:divBdr>
                    <w:top w:val="none" w:sz="0" w:space="0" w:color="auto"/>
                    <w:left w:val="none" w:sz="0" w:space="0" w:color="auto"/>
                    <w:bottom w:val="none" w:sz="0" w:space="0" w:color="auto"/>
                    <w:right w:val="none" w:sz="0" w:space="0" w:color="auto"/>
                  </w:divBdr>
                  <w:divsChild>
                    <w:div w:id="19697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56826">
      <w:bodyDiv w:val="1"/>
      <w:marLeft w:val="0"/>
      <w:marRight w:val="0"/>
      <w:marTop w:val="0"/>
      <w:marBottom w:val="0"/>
      <w:divBdr>
        <w:top w:val="none" w:sz="0" w:space="0" w:color="auto"/>
        <w:left w:val="none" w:sz="0" w:space="0" w:color="auto"/>
        <w:bottom w:val="none" w:sz="0" w:space="0" w:color="auto"/>
        <w:right w:val="none" w:sz="0" w:space="0" w:color="auto"/>
      </w:divBdr>
      <w:divsChild>
        <w:div w:id="1875073533">
          <w:marLeft w:val="0"/>
          <w:marRight w:val="0"/>
          <w:marTop w:val="0"/>
          <w:marBottom w:val="0"/>
          <w:divBdr>
            <w:top w:val="none" w:sz="0" w:space="0" w:color="auto"/>
            <w:left w:val="none" w:sz="0" w:space="0" w:color="auto"/>
            <w:bottom w:val="none" w:sz="0" w:space="0" w:color="auto"/>
            <w:right w:val="none" w:sz="0" w:space="0" w:color="auto"/>
          </w:divBdr>
          <w:divsChild>
            <w:div w:id="1765109110">
              <w:marLeft w:val="0"/>
              <w:marRight w:val="0"/>
              <w:marTop w:val="0"/>
              <w:marBottom w:val="0"/>
              <w:divBdr>
                <w:top w:val="none" w:sz="0" w:space="0" w:color="auto"/>
                <w:left w:val="none" w:sz="0" w:space="0" w:color="auto"/>
                <w:bottom w:val="none" w:sz="0" w:space="0" w:color="auto"/>
                <w:right w:val="none" w:sz="0" w:space="0" w:color="auto"/>
              </w:divBdr>
              <w:divsChild>
                <w:div w:id="19720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68532">
      <w:bodyDiv w:val="1"/>
      <w:marLeft w:val="0"/>
      <w:marRight w:val="0"/>
      <w:marTop w:val="0"/>
      <w:marBottom w:val="0"/>
      <w:divBdr>
        <w:top w:val="none" w:sz="0" w:space="0" w:color="auto"/>
        <w:left w:val="none" w:sz="0" w:space="0" w:color="auto"/>
        <w:bottom w:val="none" w:sz="0" w:space="0" w:color="auto"/>
        <w:right w:val="none" w:sz="0" w:space="0" w:color="auto"/>
      </w:divBdr>
      <w:divsChild>
        <w:div w:id="1666858708">
          <w:marLeft w:val="0"/>
          <w:marRight w:val="0"/>
          <w:marTop w:val="0"/>
          <w:marBottom w:val="0"/>
          <w:divBdr>
            <w:top w:val="none" w:sz="0" w:space="0" w:color="auto"/>
            <w:left w:val="none" w:sz="0" w:space="0" w:color="auto"/>
            <w:bottom w:val="none" w:sz="0" w:space="0" w:color="auto"/>
            <w:right w:val="none" w:sz="0" w:space="0" w:color="auto"/>
          </w:divBdr>
          <w:divsChild>
            <w:div w:id="1115179132">
              <w:marLeft w:val="0"/>
              <w:marRight w:val="0"/>
              <w:marTop w:val="0"/>
              <w:marBottom w:val="0"/>
              <w:divBdr>
                <w:top w:val="none" w:sz="0" w:space="0" w:color="auto"/>
                <w:left w:val="none" w:sz="0" w:space="0" w:color="auto"/>
                <w:bottom w:val="none" w:sz="0" w:space="0" w:color="auto"/>
                <w:right w:val="none" w:sz="0" w:space="0" w:color="auto"/>
              </w:divBdr>
              <w:divsChild>
                <w:div w:id="755245807">
                  <w:marLeft w:val="0"/>
                  <w:marRight w:val="0"/>
                  <w:marTop w:val="0"/>
                  <w:marBottom w:val="0"/>
                  <w:divBdr>
                    <w:top w:val="none" w:sz="0" w:space="0" w:color="auto"/>
                    <w:left w:val="none" w:sz="0" w:space="0" w:color="auto"/>
                    <w:bottom w:val="none" w:sz="0" w:space="0" w:color="auto"/>
                    <w:right w:val="none" w:sz="0" w:space="0" w:color="auto"/>
                  </w:divBdr>
                  <w:divsChild>
                    <w:div w:id="1166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59721">
      <w:bodyDiv w:val="1"/>
      <w:marLeft w:val="0"/>
      <w:marRight w:val="0"/>
      <w:marTop w:val="0"/>
      <w:marBottom w:val="0"/>
      <w:divBdr>
        <w:top w:val="none" w:sz="0" w:space="0" w:color="auto"/>
        <w:left w:val="none" w:sz="0" w:space="0" w:color="auto"/>
        <w:bottom w:val="none" w:sz="0" w:space="0" w:color="auto"/>
        <w:right w:val="none" w:sz="0" w:space="0" w:color="auto"/>
      </w:divBdr>
      <w:divsChild>
        <w:div w:id="87968168">
          <w:marLeft w:val="0"/>
          <w:marRight w:val="0"/>
          <w:marTop w:val="0"/>
          <w:marBottom w:val="0"/>
          <w:divBdr>
            <w:top w:val="none" w:sz="0" w:space="0" w:color="auto"/>
            <w:left w:val="none" w:sz="0" w:space="0" w:color="auto"/>
            <w:bottom w:val="none" w:sz="0" w:space="0" w:color="auto"/>
            <w:right w:val="none" w:sz="0" w:space="0" w:color="auto"/>
          </w:divBdr>
          <w:divsChild>
            <w:div w:id="1928490679">
              <w:marLeft w:val="0"/>
              <w:marRight w:val="0"/>
              <w:marTop w:val="0"/>
              <w:marBottom w:val="0"/>
              <w:divBdr>
                <w:top w:val="none" w:sz="0" w:space="0" w:color="auto"/>
                <w:left w:val="none" w:sz="0" w:space="0" w:color="auto"/>
                <w:bottom w:val="none" w:sz="0" w:space="0" w:color="auto"/>
                <w:right w:val="none" w:sz="0" w:space="0" w:color="auto"/>
              </w:divBdr>
              <w:divsChild>
                <w:div w:id="940071231">
                  <w:marLeft w:val="0"/>
                  <w:marRight w:val="0"/>
                  <w:marTop w:val="0"/>
                  <w:marBottom w:val="0"/>
                  <w:divBdr>
                    <w:top w:val="none" w:sz="0" w:space="0" w:color="auto"/>
                    <w:left w:val="none" w:sz="0" w:space="0" w:color="auto"/>
                    <w:bottom w:val="none" w:sz="0" w:space="0" w:color="auto"/>
                    <w:right w:val="none" w:sz="0" w:space="0" w:color="auto"/>
                  </w:divBdr>
                  <w:divsChild>
                    <w:div w:id="5429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53889">
      <w:bodyDiv w:val="1"/>
      <w:marLeft w:val="0"/>
      <w:marRight w:val="0"/>
      <w:marTop w:val="0"/>
      <w:marBottom w:val="0"/>
      <w:divBdr>
        <w:top w:val="none" w:sz="0" w:space="0" w:color="auto"/>
        <w:left w:val="none" w:sz="0" w:space="0" w:color="auto"/>
        <w:bottom w:val="none" w:sz="0" w:space="0" w:color="auto"/>
        <w:right w:val="none" w:sz="0" w:space="0" w:color="auto"/>
      </w:divBdr>
      <w:divsChild>
        <w:div w:id="1006130902">
          <w:marLeft w:val="0"/>
          <w:marRight w:val="0"/>
          <w:marTop w:val="0"/>
          <w:marBottom w:val="0"/>
          <w:divBdr>
            <w:top w:val="none" w:sz="0" w:space="0" w:color="auto"/>
            <w:left w:val="none" w:sz="0" w:space="0" w:color="auto"/>
            <w:bottom w:val="none" w:sz="0" w:space="0" w:color="auto"/>
            <w:right w:val="none" w:sz="0" w:space="0" w:color="auto"/>
          </w:divBdr>
          <w:divsChild>
            <w:div w:id="979310351">
              <w:marLeft w:val="0"/>
              <w:marRight w:val="0"/>
              <w:marTop w:val="0"/>
              <w:marBottom w:val="0"/>
              <w:divBdr>
                <w:top w:val="none" w:sz="0" w:space="0" w:color="auto"/>
                <w:left w:val="none" w:sz="0" w:space="0" w:color="auto"/>
                <w:bottom w:val="none" w:sz="0" w:space="0" w:color="auto"/>
                <w:right w:val="none" w:sz="0" w:space="0" w:color="auto"/>
              </w:divBdr>
              <w:divsChild>
                <w:div w:id="2228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357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3">
          <w:marLeft w:val="0"/>
          <w:marRight w:val="0"/>
          <w:marTop w:val="0"/>
          <w:marBottom w:val="0"/>
          <w:divBdr>
            <w:top w:val="none" w:sz="0" w:space="0" w:color="auto"/>
            <w:left w:val="none" w:sz="0" w:space="0" w:color="auto"/>
            <w:bottom w:val="none" w:sz="0" w:space="0" w:color="auto"/>
            <w:right w:val="none" w:sz="0" w:space="0" w:color="auto"/>
          </w:divBdr>
          <w:divsChild>
            <w:div w:id="1704480465">
              <w:marLeft w:val="0"/>
              <w:marRight w:val="0"/>
              <w:marTop w:val="0"/>
              <w:marBottom w:val="0"/>
              <w:divBdr>
                <w:top w:val="none" w:sz="0" w:space="0" w:color="auto"/>
                <w:left w:val="none" w:sz="0" w:space="0" w:color="auto"/>
                <w:bottom w:val="none" w:sz="0" w:space="0" w:color="auto"/>
                <w:right w:val="none" w:sz="0" w:space="0" w:color="auto"/>
              </w:divBdr>
              <w:divsChild>
                <w:div w:id="129429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24528">
      <w:bodyDiv w:val="1"/>
      <w:marLeft w:val="0"/>
      <w:marRight w:val="0"/>
      <w:marTop w:val="0"/>
      <w:marBottom w:val="0"/>
      <w:divBdr>
        <w:top w:val="none" w:sz="0" w:space="0" w:color="auto"/>
        <w:left w:val="none" w:sz="0" w:space="0" w:color="auto"/>
        <w:bottom w:val="none" w:sz="0" w:space="0" w:color="auto"/>
        <w:right w:val="none" w:sz="0" w:space="0" w:color="auto"/>
      </w:divBdr>
      <w:divsChild>
        <w:div w:id="1470710614">
          <w:marLeft w:val="0"/>
          <w:marRight w:val="0"/>
          <w:marTop w:val="0"/>
          <w:marBottom w:val="0"/>
          <w:divBdr>
            <w:top w:val="none" w:sz="0" w:space="0" w:color="auto"/>
            <w:left w:val="none" w:sz="0" w:space="0" w:color="auto"/>
            <w:bottom w:val="none" w:sz="0" w:space="0" w:color="auto"/>
            <w:right w:val="none" w:sz="0" w:space="0" w:color="auto"/>
          </w:divBdr>
          <w:divsChild>
            <w:div w:id="484273966">
              <w:marLeft w:val="0"/>
              <w:marRight w:val="0"/>
              <w:marTop w:val="0"/>
              <w:marBottom w:val="0"/>
              <w:divBdr>
                <w:top w:val="none" w:sz="0" w:space="0" w:color="auto"/>
                <w:left w:val="none" w:sz="0" w:space="0" w:color="auto"/>
                <w:bottom w:val="none" w:sz="0" w:space="0" w:color="auto"/>
                <w:right w:val="none" w:sz="0" w:space="0" w:color="auto"/>
              </w:divBdr>
              <w:divsChild>
                <w:div w:id="19297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6349">
      <w:bodyDiv w:val="1"/>
      <w:marLeft w:val="0"/>
      <w:marRight w:val="0"/>
      <w:marTop w:val="0"/>
      <w:marBottom w:val="0"/>
      <w:divBdr>
        <w:top w:val="none" w:sz="0" w:space="0" w:color="auto"/>
        <w:left w:val="none" w:sz="0" w:space="0" w:color="auto"/>
        <w:bottom w:val="none" w:sz="0" w:space="0" w:color="auto"/>
        <w:right w:val="none" w:sz="0" w:space="0" w:color="auto"/>
      </w:divBdr>
      <w:divsChild>
        <w:div w:id="456686136">
          <w:marLeft w:val="0"/>
          <w:marRight w:val="0"/>
          <w:marTop w:val="0"/>
          <w:marBottom w:val="0"/>
          <w:divBdr>
            <w:top w:val="none" w:sz="0" w:space="0" w:color="auto"/>
            <w:left w:val="none" w:sz="0" w:space="0" w:color="auto"/>
            <w:bottom w:val="none" w:sz="0" w:space="0" w:color="auto"/>
            <w:right w:val="none" w:sz="0" w:space="0" w:color="auto"/>
          </w:divBdr>
          <w:divsChild>
            <w:div w:id="19014389">
              <w:marLeft w:val="0"/>
              <w:marRight w:val="0"/>
              <w:marTop w:val="0"/>
              <w:marBottom w:val="0"/>
              <w:divBdr>
                <w:top w:val="none" w:sz="0" w:space="0" w:color="auto"/>
                <w:left w:val="none" w:sz="0" w:space="0" w:color="auto"/>
                <w:bottom w:val="none" w:sz="0" w:space="0" w:color="auto"/>
                <w:right w:val="none" w:sz="0" w:space="0" w:color="auto"/>
              </w:divBdr>
              <w:divsChild>
                <w:div w:id="56737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73354">
      <w:bodyDiv w:val="1"/>
      <w:marLeft w:val="0"/>
      <w:marRight w:val="0"/>
      <w:marTop w:val="0"/>
      <w:marBottom w:val="0"/>
      <w:divBdr>
        <w:top w:val="none" w:sz="0" w:space="0" w:color="auto"/>
        <w:left w:val="none" w:sz="0" w:space="0" w:color="auto"/>
        <w:bottom w:val="none" w:sz="0" w:space="0" w:color="auto"/>
        <w:right w:val="none" w:sz="0" w:space="0" w:color="auto"/>
      </w:divBdr>
      <w:divsChild>
        <w:div w:id="911425550">
          <w:marLeft w:val="0"/>
          <w:marRight w:val="0"/>
          <w:marTop w:val="0"/>
          <w:marBottom w:val="0"/>
          <w:divBdr>
            <w:top w:val="none" w:sz="0" w:space="0" w:color="auto"/>
            <w:left w:val="none" w:sz="0" w:space="0" w:color="auto"/>
            <w:bottom w:val="none" w:sz="0" w:space="0" w:color="auto"/>
            <w:right w:val="none" w:sz="0" w:space="0" w:color="auto"/>
          </w:divBdr>
          <w:divsChild>
            <w:div w:id="1735080665">
              <w:marLeft w:val="0"/>
              <w:marRight w:val="0"/>
              <w:marTop w:val="0"/>
              <w:marBottom w:val="0"/>
              <w:divBdr>
                <w:top w:val="none" w:sz="0" w:space="0" w:color="auto"/>
                <w:left w:val="none" w:sz="0" w:space="0" w:color="auto"/>
                <w:bottom w:val="none" w:sz="0" w:space="0" w:color="auto"/>
                <w:right w:val="none" w:sz="0" w:space="0" w:color="auto"/>
              </w:divBdr>
              <w:divsChild>
                <w:div w:id="8240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58886">
      <w:bodyDiv w:val="1"/>
      <w:marLeft w:val="0"/>
      <w:marRight w:val="0"/>
      <w:marTop w:val="0"/>
      <w:marBottom w:val="0"/>
      <w:divBdr>
        <w:top w:val="none" w:sz="0" w:space="0" w:color="auto"/>
        <w:left w:val="none" w:sz="0" w:space="0" w:color="auto"/>
        <w:bottom w:val="none" w:sz="0" w:space="0" w:color="auto"/>
        <w:right w:val="none" w:sz="0" w:space="0" w:color="auto"/>
      </w:divBdr>
      <w:divsChild>
        <w:div w:id="2128426784">
          <w:marLeft w:val="0"/>
          <w:marRight w:val="0"/>
          <w:marTop w:val="0"/>
          <w:marBottom w:val="0"/>
          <w:divBdr>
            <w:top w:val="none" w:sz="0" w:space="0" w:color="auto"/>
            <w:left w:val="none" w:sz="0" w:space="0" w:color="auto"/>
            <w:bottom w:val="none" w:sz="0" w:space="0" w:color="auto"/>
            <w:right w:val="none" w:sz="0" w:space="0" w:color="auto"/>
          </w:divBdr>
          <w:divsChild>
            <w:div w:id="1242325202">
              <w:marLeft w:val="0"/>
              <w:marRight w:val="0"/>
              <w:marTop w:val="0"/>
              <w:marBottom w:val="0"/>
              <w:divBdr>
                <w:top w:val="none" w:sz="0" w:space="0" w:color="auto"/>
                <w:left w:val="none" w:sz="0" w:space="0" w:color="auto"/>
                <w:bottom w:val="none" w:sz="0" w:space="0" w:color="auto"/>
                <w:right w:val="none" w:sz="0" w:space="0" w:color="auto"/>
              </w:divBdr>
              <w:divsChild>
                <w:div w:id="17513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92496">
      <w:bodyDiv w:val="1"/>
      <w:marLeft w:val="0"/>
      <w:marRight w:val="0"/>
      <w:marTop w:val="0"/>
      <w:marBottom w:val="0"/>
      <w:divBdr>
        <w:top w:val="none" w:sz="0" w:space="0" w:color="auto"/>
        <w:left w:val="none" w:sz="0" w:space="0" w:color="auto"/>
        <w:bottom w:val="none" w:sz="0" w:space="0" w:color="auto"/>
        <w:right w:val="none" w:sz="0" w:space="0" w:color="auto"/>
      </w:divBdr>
      <w:divsChild>
        <w:div w:id="1177571473">
          <w:marLeft w:val="0"/>
          <w:marRight w:val="0"/>
          <w:marTop w:val="0"/>
          <w:marBottom w:val="0"/>
          <w:divBdr>
            <w:top w:val="none" w:sz="0" w:space="0" w:color="auto"/>
            <w:left w:val="none" w:sz="0" w:space="0" w:color="auto"/>
            <w:bottom w:val="none" w:sz="0" w:space="0" w:color="auto"/>
            <w:right w:val="none" w:sz="0" w:space="0" w:color="auto"/>
          </w:divBdr>
          <w:divsChild>
            <w:div w:id="1057627090">
              <w:marLeft w:val="0"/>
              <w:marRight w:val="0"/>
              <w:marTop w:val="0"/>
              <w:marBottom w:val="0"/>
              <w:divBdr>
                <w:top w:val="none" w:sz="0" w:space="0" w:color="auto"/>
                <w:left w:val="none" w:sz="0" w:space="0" w:color="auto"/>
                <w:bottom w:val="none" w:sz="0" w:space="0" w:color="auto"/>
                <w:right w:val="none" w:sz="0" w:space="0" w:color="auto"/>
              </w:divBdr>
              <w:divsChild>
                <w:div w:id="12304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437781">
      <w:bodyDiv w:val="1"/>
      <w:marLeft w:val="0"/>
      <w:marRight w:val="0"/>
      <w:marTop w:val="0"/>
      <w:marBottom w:val="0"/>
      <w:divBdr>
        <w:top w:val="none" w:sz="0" w:space="0" w:color="auto"/>
        <w:left w:val="none" w:sz="0" w:space="0" w:color="auto"/>
        <w:bottom w:val="none" w:sz="0" w:space="0" w:color="auto"/>
        <w:right w:val="none" w:sz="0" w:space="0" w:color="auto"/>
      </w:divBdr>
      <w:divsChild>
        <w:div w:id="557084789">
          <w:marLeft w:val="0"/>
          <w:marRight w:val="0"/>
          <w:marTop w:val="0"/>
          <w:marBottom w:val="0"/>
          <w:divBdr>
            <w:top w:val="none" w:sz="0" w:space="0" w:color="auto"/>
            <w:left w:val="none" w:sz="0" w:space="0" w:color="auto"/>
            <w:bottom w:val="none" w:sz="0" w:space="0" w:color="auto"/>
            <w:right w:val="none" w:sz="0" w:space="0" w:color="auto"/>
          </w:divBdr>
          <w:divsChild>
            <w:div w:id="407730445">
              <w:marLeft w:val="0"/>
              <w:marRight w:val="0"/>
              <w:marTop w:val="0"/>
              <w:marBottom w:val="0"/>
              <w:divBdr>
                <w:top w:val="none" w:sz="0" w:space="0" w:color="auto"/>
                <w:left w:val="none" w:sz="0" w:space="0" w:color="auto"/>
                <w:bottom w:val="none" w:sz="0" w:space="0" w:color="auto"/>
                <w:right w:val="none" w:sz="0" w:space="0" w:color="auto"/>
              </w:divBdr>
              <w:divsChild>
                <w:div w:id="1244609471">
                  <w:marLeft w:val="0"/>
                  <w:marRight w:val="0"/>
                  <w:marTop w:val="0"/>
                  <w:marBottom w:val="0"/>
                  <w:divBdr>
                    <w:top w:val="none" w:sz="0" w:space="0" w:color="auto"/>
                    <w:left w:val="none" w:sz="0" w:space="0" w:color="auto"/>
                    <w:bottom w:val="none" w:sz="0" w:space="0" w:color="auto"/>
                    <w:right w:val="none" w:sz="0" w:space="0" w:color="auto"/>
                  </w:divBdr>
                  <w:divsChild>
                    <w:div w:id="6350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423388">
      <w:bodyDiv w:val="1"/>
      <w:marLeft w:val="0"/>
      <w:marRight w:val="0"/>
      <w:marTop w:val="0"/>
      <w:marBottom w:val="0"/>
      <w:divBdr>
        <w:top w:val="none" w:sz="0" w:space="0" w:color="auto"/>
        <w:left w:val="none" w:sz="0" w:space="0" w:color="auto"/>
        <w:bottom w:val="none" w:sz="0" w:space="0" w:color="auto"/>
        <w:right w:val="none" w:sz="0" w:space="0" w:color="auto"/>
      </w:divBdr>
      <w:divsChild>
        <w:div w:id="1380712925">
          <w:marLeft w:val="0"/>
          <w:marRight w:val="0"/>
          <w:marTop w:val="0"/>
          <w:marBottom w:val="0"/>
          <w:divBdr>
            <w:top w:val="none" w:sz="0" w:space="0" w:color="auto"/>
            <w:left w:val="none" w:sz="0" w:space="0" w:color="auto"/>
            <w:bottom w:val="none" w:sz="0" w:space="0" w:color="auto"/>
            <w:right w:val="none" w:sz="0" w:space="0" w:color="auto"/>
          </w:divBdr>
          <w:divsChild>
            <w:div w:id="91167308">
              <w:marLeft w:val="0"/>
              <w:marRight w:val="0"/>
              <w:marTop w:val="0"/>
              <w:marBottom w:val="0"/>
              <w:divBdr>
                <w:top w:val="none" w:sz="0" w:space="0" w:color="auto"/>
                <w:left w:val="none" w:sz="0" w:space="0" w:color="auto"/>
                <w:bottom w:val="none" w:sz="0" w:space="0" w:color="auto"/>
                <w:right w:val="none" w:sz="0" w:space="0" w:color="auto"/>
              </w:divBdr>
              <w:divsChild>
                <w:div w:id="9056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7838">
      <w:bodyDiv w:val="1"/>
      <w:marLeft w:val="0"/>
      <w:marRight w:val="0"/>
      <w:marTop w:val="0"/>
      <w:marBottom w:val="0"/>
      <w:divBdr>
        <w:top w:val="none" w:sz="0" w:space="0" w:color="auto"/>
        <w:left w:val="none" w:sz="0" w:space="0" w:color="auto"/>
        <w:bottom w:val="none" w:sz="0" w:space="0" w:color="auto"/>
        <w:right w:val="none" w:sz="0" w:space="0" w:color="auto"/>
      </w:divBdr>
      <w:divsChild>
        <w:div w:id="100876142">
          <w:marLeft w:val="0"/>
          <w:marRight w:val="0"/>
          <w:marTop w:val="0"/>
          <w:marBottom w:val="0"/>
          <w:divBdr>
            <w:top w:val="none" w:sz="0" w:space="0" w:color="auto"/>
            <w:left w:val="none" w:sz="0" w:space="0" w:color="auto"/>
            <w:bottom w:val="none" w:sz="0" w:space="0" w:color="auto"/>
            <w:right w:val="none" w:sz="0" w:space="0" w:color="auto"/>
          </w:divBdr>
          <w:divsChild>
            <w:div w:id="340426641">
              <w:marLeft w:val="0"/>
              <w:marRight w:val="0"/>
              <w:marTop w:val="0"/>
              <w:marBottom w:val="0"/>
              <w:divBdr>
                <w:top w:val="none" w:sz="0" w:space="0" w:color="auto"/>
                <w:left w:val="none" w:sz="0" w:space="0" w:color="auto"/>
                <w:bottom w:val="none" w:sz="0" w:space="0" w:color="auto"/>
                <w:right w:val="none" w:sz="0" w:space="0" w:color="auto"/>
              </w:divBdr>
              <w:divsChild>
                <w:div w:id="827788406">
                  <w:marLeft w:val="0"/>
                  <w:marRight w:val="0"/>
                  <w:marTop w:val="0"/>
                  <w:marBottom w:val="0"/>
                  <w:divBdr>
                    <w:top w:val="none" w:sz="0" w:space="0" w:color="auto"/>
                    <w:left w:val="none" w:sz="0" w:space="0" w:color="auto"/>
                    <w:bottom w:val="none" w:sz="0" w:space="0" w:color="auto"/>
                    <w:right w:val="none" w:sz="0" w:space="0" w:color="auto"/>
                  </w:divBdr>
                  <w:divsChild>
                    <w:div w:id="203627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90095">
      <w:bodyDiv w:val="1"/>
      <w:marLeft w:val="0"/>
      <w:marRight w:val="0"/>
      <w:marTop w:val="0"/>
      <w:marBottom w:val="0"/>
      <w:divBdr>
        <w:top w:val="none" w:sz="0" w:space="0" w:color="auto"/>
        <w:left w:val="none" w:sz="0" w:space="0" w:color="auto"/>
        <w:bottom w:val="none" w:sz="0" w:space="0" w:color="auto"/>
        <w:right w:val="none" w:sz="0" w:space="0" w:color="auto"/>
      </w:divBdr>
      <w:divsChild>
        <w:div w:id="226574770">
          <w:marLeft w:val="0"/>
          <w:marRight w:val="0"/>
          <w:marTop w:val="0"/>
          <w:marBottom w:val="0"/>
          <w:divBdr>
            <w:top w:val="none" w:sz="0" w:space="0" w:color="auto"/>
            <w:left w:val="none" w:sz="0" w:space="0" w:color="auto"/>
            <w:bottom w:val="none" w:sz="0" w:space="0" w:color="auto"/>
            <w:right w:val="none" w:sz="0" w:space="0" w:color="auto"/>
          </w:divBdr>
          <w:divsChild>
            <w:div w:id="1641306112">
              <w:marLeft w:val="0"/>
              <w:marRight w:val="0"/>
              <w:marTop w:val="0"/>
              <w:marBottom w:val="0"/>
              <w:divBdr>
                <w:top w:val="none" w:sz="0" w:space="0" w:color="auto"/>
                <w:left w:val="none" w:sz="0" w:space="0" w:color="auto"/>
                <w:bottom w:val="none" w:sz="0" w:space="0" w:color="auto"/>
                <w:right w:val="none" w:sz="0" w:space="0" w:color="auto"/>
              </w:divBdr>
              <w:divsChild>
                <w:div w:id="67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69104">
      <w:bodyDiv w:val="1"/>
      <w:marLeft w:val="0"/>
      <w:marRight w:val="0"/>
      <w:marTop w:val="0"/>
      <w:marBottom w:val="0"/>
      <w:divBdr>
        <w:top w:val="none" w:sz="0" w:space="0" w:color="auto"/>
        <w:left w:val="none" w:sz="0" w:space="0" w:color="auto"/>
        <w:bottom w:val="none" w:sz="0" w:space="0" w:color="auto"/>
        <w:right w:val="none" w:sz="0" w:space="0" w:color="auto"/>
      </w:divBdr>
      <w:divsChild>
        <w:div w:id="333843773">
          <w:marLeft w:val="0"/>
          <w:marRight w:val="0"/>
          <w:marTop w:val="0"/>
          <w:marBottom w:val="0"/>
          <w:divBdr>
            <w:top w:val="none" w:sz="0" w:space="0" w:color="auto"/>
            <w:left w:val="none" w:sz="0" w:space="0" w:color="auto"/>
            <w:bottom w:val="none" w:sz="0" w:space="0" w:color="auto"/>
            <w:right w:val="none" w:sz="0" w:space="0" w:color="auto"/>
          </w:divBdr>
          <w:divsChild>
            <w:div w:id="1284387497">
              <w:marLeft w:val="0"/>
              <w:marRight w:val="0"/>
              <w:marTop w:val="0"/>
              <w:marBottom w:val="0"/>
              <w:divBdr>
                <w:top w:val="none" w:sz="0" w:space="0" w:color="auto"/>
                <w:left w:val="none" w:sz="0" w:space="0" w:color="auto"/>
                <w:bottom w:val="none" w:sz="0" w:space="0" w:color="auto"/>
                <w:right w:val="none" w:sz="0" w:space="0" w:color="auto"/>
              </w:divBdr>
              <w:divsChild>
                <w:div w:id="11826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3880">
      <w:bodyDiv w:val="1"/>
      <w:marLeft w:val="0"/>
      <w:marRight w:val="0"/>
      <w:marTop w:val="0"/>
      <w:marBottom w:val="0"/>
      <w:divBdr>
        <w:top w:val="none" w:sz="0" w:space="0" w:color="auto"/>
        <w:left w:val="none" w:sz="0" w:space="0" w:color="auto"/>
        <w:bottom w:val="none" w:sz="0" w:space="0" w:color="auto"/>
        <w:right w:val="none" w:sz="0" w:space="0" w:color="auto"/>
      </w:divBdr>
      <w:divsChild>
        <w:div w:id="1608542942">
          <w:marLeft w:val="0"/>
          <w:marRight w:val="0"/>
          <w:marTop w:val="0"/>
          <w:marBottom w:val="0"/>
          <w:divBdr>
            <w:top w:val="none" w:sz="0" w:space="0" w:color="auto"/>
            <w:left w:val="none" w:sz="0" w:space="0" w:color="auto"/>
            <w:bottom w:val="none" w:sz="0" w:space="0" w:color="auto"/>
            <w:right w:val="none" w:sz="0" w:space="0" w:color="auto"/>
          </w:divBdr>
          <w:divsChild>
            <w:div w:id="1489446467">
              <w:marLeft w:val="0"/>
              <w:marRight w:val="0"/>
              <w:marTop w:val="0"/>
              <w:marBottom w:val="0"/>
              <w:divBdr>
                <w:top w:val="none" w:sz="0" w:space="0" w:color="auto"/>
                <w:left w:val="none" w:sz="0" w:space="0" w:color="auto"/>
                <w:bottom w:val="none" w:sz="0" w:space="0" w:color="auto"/>
                <w:right w:val="none" w:sz="0" w:space="0" w:color="auto"/>
              </w:divBdr>
              <w:divsChild>
                <w:div w:id="14444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3150">
      <w:bodyDiv w:val="1"/>
      <w:marLeft w:val="0"/>
      <w:marRight w:val="0"/>
      <w:marTop w:val="0"/>
      <w:marBottom w:val="0"/>
      <w:divBdr>
        <w:top w:val="none" w:sz="0" w:space="0" w:color="auto"/>
        <w:left w:val="none" w:sz="0" w:space="0" w:color="auto"/>
        <w:bottom w:val="none" w:sz="0" w:space="0" w:color="auto"/>
        <w:right w:val="none" w:sz="0" w:space="0" w:color="auto"/>
      </w:divBdr>
      <w:divsChild>
        <w:div w:id="1457680311">
          <w:marLeft w:val="0"/>
          <w:marRight w:val="0"/>
          <w:marTop w:val="0"/>
          <w:marBottom w:val="0"/>
          <w:divBdr>
            <w:top w:val="none" w:sz="0" w:space="0" w:color="auto"/>
            <w:left w:val="none" w:sz="0" w:space="0" w:color="auto"/>
            <w:bottom w:val="none" w:sz="0" w:space="0" w:color="auto"/>
            <w:right w:val="none" w:sz="0" w:space="0" w:color="auto"/>
          </w:divBdr>
          <w:divsChild>
            <w:div w:id="263612579">
              <w:marLeft w:val="0"/>
              <w:marRight w:val="0"/>
              <w:marTop w:val="0"/>
              <w:marBottom w:val="0"/>
              <w:divBdr>
                <w:top w:val="none" w:sz="0" w:space="0" w:color="auto"/>
                <w:left w:val="none" w:sz="0" w:space="0" w:color="auto"/>
                <w:bottom w:val="none" w:sz="0" w:space="0" w:color="auto"/>
                <w:right w:val="none" w:sz="0" w:space="0" w:color="auto"/>
              </w:divBdr>
              <w:divsChild>
                <w:div w:id="9933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8470">
      <w:bodyDiv w:val="1"/>
      <w:marLeft w:val="0"/>
      <w:marRight w:val="0"/>
      <w:marTop w:val="0"/>
      <w:marBottom w:val="0"/>
      <w:divBdr>
        <w:top w:val="none" w:sz="0" w:space="0" w:color="auto"/>
        <w:left w:val="none" w:sz="0" w:space="0" w:color="auto"/>
        <w:bottom w:val="none" w:sz="0" w:space="0" w:color="auto"/>
        <w:right w:val="none" w:sz="0" w:space="0" w:color="auto"/>
      </w:divBdr>
      <w:divsChild>
        <w:div w:id="1389767956">
          <w:marLeft w:val="0"/>
          <w:marRight w:val="0"/>
          <w:marTop w:val="0"/>
          <w:marBottom w:val="0"/>
          <w:divBdr>
            <w:top w:val="none" w:sz="0" w:space="0" w:color="auto"/>
            <w:left w:val="none" w:sz="0" w:space="0" w:color="auto"/>
            <w:bottom w:val="none" w:sz="0" w:space="0" w:color="auto"/>
            <w:right w:val="none" w:sz="0" w:space="0" w:color="auto"/>
          </w:divBdr>
          <w:divsChild>
            <w:div w:id="513691822">
              <w:marLeft w:val="0"/>
              <w:marRight w:val="0"/>
              <w:marTop w:val="0"/>
              <w:marBottom w:val="0"/>
              <w:divBdr>
                <w:top w:val="none" w:sz="0" w:space="0" w:color="auto"/>
                <w:left w:val="none" w:sz="0" w:space="0" w:color="auto"/>
                <w:bottom w:val="none" w:sz="0" w:space="0" w:color="auto"/>
                <w:right w:val="none" w:sz="0" w:space="0" w:color="auto"/>
              </w:divBdr>
              <w:divsChild>
                <w:div w:id="19271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0684">
      <w:bodyDiv w:val="1"/>
      <w:marLeft w:val="0"/>
      <w:marRight w:val="0"/>
      <w:marTop w:val="0"/>
      <w:marBottom w:val="0"/>
      <w:divBdr>
        <w:top w:val="none" w:sz="0" w:space="0" w:color="auto"/>
        <w:left w:val="none" w:sz="0" w:space="0" w:color="auto"/>
        <w:bottom w:val="none" w:sz="0" w:space="0" w:color="auto"/>
        <w:right w:val="none" w:sz="0" w:space="0" w:color="auto"/>
      </w:divBdr>
      <w:divsChild>
        <w:div w:id="1478382230">
          <w:marLeft w:val="0"/>
          <w:marRight w:val="0"/>
          <w:marTop w:val="0"/>
          <w:marBottom w:val="0"/>
          <w:divBdr>
            <w:top w:val="none" w:sz="0" w:space="0" w:color="auto"/>
            <w:left w:val="none" w:sz="0" w:space="0" w:color="auto"/>
            <w:bottom w:val="none" w:sz="0" w:space="0" w:color="auto"/>
            <w:right w:val="none" w:sz="0" w:space="0" w:color="auto"/>
          </w:divBdr>
          <w:divsChild>
            <w:div w:id="386340154">
              <w:marLeft w:val="0"/>
              <w:marRight w:val="0"/>
              <w:marTop w:val="0"/>
              <w:marBottom w:val="0"/>
              <w:divBdr>
                <w:top w:val="none" w:sz="0" w:space="0" w:color="auto"/>
                <w:left w:val="none" w:sz="0" w:space="0" w:color="auto"/>
                <w:bottom w:val="none" w:sz="0" w:space="0" w:color="auto"/>
                <w:right w:val="none" w:sz="0" w:space="0" w:color="auto"/>
              </w:divBdr>
              <w:divsChild>
                <w:div w:id="210726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256016">
      <w:bodyDiv w:val="1"/>
      <w:marLeft w:val="0"/>
      <w:marRight w:val="0"/>
      <w:marTop w:val="0"/>
      <w:marBottom w:val="0"/>
      <w:divBdr>
        <w:top w:val="none" w:sz="0" w:space="0" w:color="auto"/>
        <w:left w:val="none" w:sz="0" w:space="0" w:color="auto"/>
        <w:bottom w:val="none" w:sz="0" w:space="0" w:color="auto"/>
        <w:right w:val="none" w:sz="0" w:space="0" w:color="auto"/>
      </w:divBdr>
      <w:divsChild>
        <w:div w:id="480390717">
          <w:marLeft w:val="0"/>
          <w:marRight w:val="0"/>
          <w:marTop w:val="0"/>
          <w:marBottom w:val="0"/>
          <w:divBdr>
            <w:top w:val="none" w:sz="0" w:space="0" w:color="auto"/>
            <w:left w:val="none" w:sz="0" w:space="0" w:color="auto"/>
            <w:bottom w:val="none" w:sz="0" w:space="0" w:color="auto"/>
            <w:right w:val="none" w:sz="0" w:space="0" w:color="auto"/>
          </w:divBdr>
          <w:divsChild>
            <w:div w:id="389619334">
              <w:marLeft w:val="0"/>
              <w:marRight w:val="0"/>
              <w:marTop w:val="0"/>
              <w:marBottom w:val="0"/>
              <w:divBdr>
                <w:top w:val="none" w:sz="0" w:space="0" w:color="auto"/>
                <w:left w:val="none" w:sz="0" w:space="0" w:color="auto"/>
                <w:bottom w:val="none" w:sz="0" w:space="0" w:color="auto"/>
                <w:right w:val="none" w:sz="0" w:space="0" w:color="auto"/>
              </w:divBdr>
              <w:divsChild>
                <w:div w:id="19099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19741">
      <w:bodyDiv w:val="1"/>
      <w:marLeft w:val="0"/>
      <w:marRight w:val="0"/>
      <w:marTop w:val="0"/>
      <w:marBottom w:val="0"/>
      <w:divBdr>
        <w:top w:val="none" w:sz="0" w:space="0" w:color="auto"/>
        <w:left w:val="none" w:sz="0" w:space="0" w:color="auto"/>
        <w:bottom w:val="none" w:sz="0" w:space="0" w:color="auto"/>
        <w:right w:val="none" w:sz="0" w:space="0" w:color="auto"/>
      </w:divBdr>
      <w:divsChild>
        <w:div w:id="86318892">
          <w:marLeft w:val="0"/>
          <w:marRight w:val="0"/>
          <w:marTop w:val="0"/>
          <w:marBottom w:val="0"/>
          <w:divBdr>
            <w:top w:val="none" w:sz="0" w:space="0" w:color="auto"/>
            <w:left w:val="none" w:sz="0" w:space="0" w:color="auto"/>
            <w:bottom w:val="none" w:sz="0" w:space="0" w:color="auto"/>
            <w:right w:val="none" w:sz="0" w:space="0" w:color="auto"/>
          </w:divBdr>
          <w:divsChild>
            <w:div w:id="506217964">
              <w:marLeft w:val="0"/>
              <w:marRight w:val="0"/>
              <w:marTop w:val="0"/>
              <w:marBottom w:val="0"/>
              <w:divBdr>
                <w:top w:val="none" w:sz="0" w:space="0" w:color="auto"/>
                <w:left w:val="none" w:sz="0" w:space="0" w:color="auto"/>
                <w:bottom w:val="none" w:sz="0" w:space="0" w:color="auto"/>
                <w:right w:val="none" w:sz="0" w:space="0" w:color="auto"/>
              </w:divBdr>
              <w:divsChild>
                <w:div w:id="1488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9076">
      <w:bodyDiv w:val="1"/>
      <w:marLeft w:val="0"/>
      <w:marRight w:val="0"/>
      <w:marTop w:val="0"/>
      <w:marBottom w:val="0"/>
      <w:divBdr>
        <w:top w:val="none" w:sz="0" w:space="0" w:color="auto"/>
        <w:left w:val="none" w:sz="0" w:space="0" w:color="auto"/>
        <w:bottom w:val="none" w:sz="0" w:space="0" w:color="auto"/>
        <w:right w:val="none" w:sz="0" w:space="0" w:color="auto"/>
      </w:divBdr>
      <w:divsChild>
        <w:div w:id="1641572736">
          <w:marLeft w:val="0"/>
          <w:marRight w:val="0"/>
          <w:marTop w:val="0"/>
          <w:marBottom w:val="0"/>
          <w:divBdr>
            <w:top w:val="none" w:sz="0" w:space="0" w:color="auto"/>
            <w:left w:val="none" w:sz="0" w:space="0" w:color="auto"/>
            <w:bottom w:val="none" w:sz="0" w:space="0" w:color="auto"/>
            <w:right w:val="none" w:sz="0" w:space="0" w:color="auto"/>
          </w:divBdr>
          <w:divsChild>
            <w:div w:id="1538473597">
              <w:marLeft w:val="0"/>
              <w:marRight w:val="0"/>
              <w:marTop w:val="0"/>
              <w:marBottom w:val="0"/>
              <w:divBdr>
                <w:top w:val="none" w:sz="0" w:space="0" w:color="auto"/>
                <w:left w:val="none" w:sz="0" w:space="0" w:color="auto"/>
                <w:bottom w:val="none" w:sz="0" w:space="0" w:color="auto"/>
                <w:right w:val="none" w:sz="0" w:space="0" w:color="auto"/>
              </w:divBdr>
              <w:divsChild>
                <w:div w:id="2406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5281">
      <w:bodyDiv w:val="1"/>
      <w:marLeft w:val="0"/>
      <w:marRight w:val="0"/>
      <w:marTop w:val="0"/>
      <w:marBottom w:val="0"/>
      <w:divBdr>
        <w:top w:val="none" w:sz="0" w:space="0" w:color="auto"/>
        <w:left w:val="none" w:sz="0" w:space="0" w:color="auto"/>
        <w:bottom w:val="none" w:sz="0" w:space="0" w:color="auto"/>
        <w:right w:val="none" w:sz="0" w:space="0" w:color="auto"/>
      </w:divBdr>
      <w:divsChild>
        <w:div w:id="458230157">
          <w:marLeft w:val="0"/>
          <w:marRight w:val="0"/>
          <w:marTop w:val="0"/>
          <w:marBottom w:val="0"/>
          <w:divBdr>
            <w:top w:val="none" w:sz="0" w:space="0" w:color="auto"/>
            <w:left w:val="none" w:sz="0" w:space="0" w:color="auto"/>
            <w:bottom w:val="none" w:sz="0" w:space="0" w:color="auto"/>
            <w:right w:val="none" w:sz="0" w:space="0" w:color="auto"/>
          </w:divBdr>
          <w:divsChild>
            <w:div w:id="1818259468">
              <w:marLeft w:val="0"/>
              <w:marRight w:val="0"/>
              <w:marTop w:val="0"/>
              <w:marBottom w:val="0"/>
              <w:divBdr>
                <w:top w:val="none" w:sz="0" w:space="0" w:color="auto"/>
                <w:left w:val="none" w:sz="0" w:space="0" w:color="auto"/>
                <w:bottom w:val="none" w:sz="0" w:space="0" w:color="auto"/>
                <w:right w:val="none" w:sz="0" w:space="0" w:color="auto"/>
              </w:divBdr>
              <w:divsChild>
                <w:div w:id="2030183282">
                  <w:marLeft w:val="0"/>
                  <w:marRight w:val="0"/>
                  <w:marTop w:val="0"/>
                  <w:marBottom w:val="0"/>
                  <w:divBdr>
                    <w:top w:val="none" w:sz="0" w:space="0" w:color="auto"/>
                    <w:left w:val="none" w:sz="0" w:space="0" w:color="auto"/>
                    <w:bottom w:val="none" w:sz="0" w:space="0" w:color="auto"/>
                    <w:right w:val="none" w:sz="0" w:space="0" w:color="auto"/>
                  </w:divBdr>
                  <w:divsChild>
                    <w:div w:id="207850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405740">
      <w:bodyDiv w:val="1"/>
      <w:marLeft w:val="0"/>
      <w:marRight w:val="0"/>
      <w:marTop w:val="0"/>
      <w:marBottom w:val="0"/>
      <w:divBdr>
        <w:top w:val="none" w:sz="0" w:space="0" w:color="auto"/>
        <w:left w:val="none" w:sz="0" w:space="0" w:color="auto"/>
        <w:bottom w:val="none" w:sz="0" w:space="0" w:color="auto"/>
        <w:right w:val="none" w:sz="0" w:space="0" w:color="auto"/>
      </w:divBdr>
      <w:divsChild>
        <w:div w:id="1456292361">
          <w:marLeft w:val="0"/>
          <w:marRight w:val="0"/>
          <w:marTop w:val="0"/>
          <w:marBottom w:val="0"/>
          <w:divBdr>
            <w:top w:val="none" w:sz="0" w:space="0" w:color="auto"/>
            <w:left w:val="none" w:sz="0" w:space="0" w:color="auto"/>
            <w:bottom w:val="none" w:sz="0" w:space="0" w:color="auto"/>
            <w:right w:val="none" w:sz="0" w:space="0" w:color="auto"/>
          </w:divBdr>
          <w:divsChild>
            <w:div w:id="161311340">
              <w:marLeft w:val="0"/>
              <w:marRight w:val="0"/>
              <w:marTop w:val="0"/>
              <w:marBottom w:val="0"/>
              <w:divBdr>
                <w:top w:val="none" w:sz="0" w:space="0" w:color="auto"/>
                <w:left w:val="none" w:sz="0" w:space="0" w:color="auto"/>
                <w:bottom w:val="none" w:sz="0" w:space="0" w:color="auto"/>
                <w:right w:val="none" w:sz="0" w:space="0" w:color="auto"/>
              </w:divBdr>
              <w:divsChild>
                <w:div w:id="1855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8758">
      <w:bodyDiv w:val="1"/>
      <w:marLeft w:val="0"/>
      <w:marRight w:val="0"/>
      <w:marTop w:val="0"/>
      <w:marBottom w:val="0"/>
      <w:divBdr>
        <w:top w:val="none" w:sz="0" w:space="0" w:color="auto"/>
        <w:left w:val="none" w:sz="0" w:space="0" w:color="auto"/>
        <w:bottom w:val="none" w:sz="0" w:space="0" w:color="auto"/>
        <w:right w:val="none" w:sz="0" w:space="0" w:color="auto"/>
      </w:divBdr>
      <w:divsChild>
        <w:div w:id="1797479070">
          <w:marLeft w:val="0"/>
          <w:marRight w:val="0"/>
          <w:marTop w:val="0"/>
          <w:marBottom w:val="0"/>
          <w:divBdr>
            <w:top w:val="none" w:sz="0" w:space="0" w:color="auto"/>
            <w:left w:val="none" w:sz="0" w:space="0" w:color="auto"/>
            <w:bottom w:val="none" w:sz="0" w:space="0" w:color="auto"/>
            <w:right w:val="none" w:sz="0" w:space="0" w:color="auto"/>
          </w:divBdr>
          <w:divsChild>
            <w:div w:id="1904023510">
              <w:marLeft w:val="0"/>
              <w:marRight w:val="0"/>
              <w:marTop w:val="0"/>
              <w:marBottom w:val="0"/>
              <w:divBdr>
                <w:top w:val="none" w:sz="0" w:space="0" w:color="auto"/>
                <w:left w:val="none" w:sz="0" w:space="0" w:color="auto"/>
                <w:bottom w:val="none" w:sz="0" w:space="0" w:color="auto"/>
                <w:right w:val="none" w:sz="0" w:space="0" w:color="auto"/>
              </w:divBdr>
              <w:divsChild>
                <w:div w:id="771243432">
                  <w:marLeft w:val="0"/>
                  <w:marRight w:val="0"/>
                  <w:marTop w:val="0"/>
                  <w:marBottom w:val="0"/>
                  <w:divBdr>
                    <w:top w:val="none" w:sz="0" w:space="0" w:color="auto"/>
                    <w:left w:val="none" w:sz="0" w:space="0" w:color="auto"/>
                    <w:bottom w:val="none" w:sz="0" w:space="0" w:color="auto"/>
                    <w:right w:val="none" w:sz="0" w:space="0" w:color="auto"/>
                  </w:divBdr>
                  <w:divsChild>
                    <w:div w:id="6322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90710">
      <w:bodyDiv w:val="1"/>
      <w:marLeft w:val="0"/>
      <w:marRight w:val="0"/>
      <w:marTop w:val="0"/>
      <w:marBottom w:val="0"/>
      <w:divBdr>
        <w:top w:val="none" w:sz="0" w:space="0" w:color="auto"/>
        <w:left w:val="none" w:sz="0" w:space="0" w:color="auto"/>
        <w:bottom w:val="none" w:sz="0" w:space="0" w:color="auto"/>
        <w:right w:val="none" w:sz="0" w:space="0" w:color="auto"/>
      </w:divBdr>
      <w:divsChild>
        <w:div w:id="1355884400">
          <w:marLeft w:val="0"/>
          <w:marRight w:val="0"/>
          <w:marTop w:val="0"/>
          <w:marBottom w:val="0"/>
          <w:divBdr>
            <w:top w:val="none" w:sz="0" w:space="0" w:color="auto"/>
            <w:left w:val="none" w:sz="0" w:space="0" w:color="auto"/>
            <w:bottom w:val="none" w:sz="0" w:space="0" w:color="auto"/>
            <w:right w:val="none" w:sz="0" w:space="0" w:color="auto"/>
          </w:divBdr>
          <w:divsChild>
            <w:div w:id="1164778136">
              <w:marLeft w:val="0"/>
              <w:marRight w:val="0"/>
              <w:marTop w:val="0"/>
              <w:marBottom w:val="0"/>
              <w:divBdr>
                <w:top w:val="none" w:sz="0" w:space="0" w:color="auto"/>
                <w:left w:val="none" w:sz="0" w:space="0" w:color="auto"/>
                <w:bottom w:val="none" w:sz="0" w:space="0" w:color="auto"/>
                <w:right w:val="none" w:sz="0" w:space="0" w:color="auto"/>
              </w:divBdr>
              <w:divsChild>
                <w:div w:id="4251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7636">
      <w:bodyDiv w:val="1"/>
      <w:marLeft w:val="0"/>
      <w:marRight w:val="0"/>
      <w:marTop w:val="0"/>
      <w:marBottom w:val="0"/>
      <w:divBdr>
        <w:top w:val="none" w:sz="0" w:space="0" w:color="auto"/>
        <w:left w:val="none" w:sz="0" w:space="0" w:color="auto"/>
        <w:bottom w:val="none" w:sz="0" w:space="0" w:color="auto"/>
        <w:right w:val="none" w:sz="0" w:space="0" w:color="auto"/>
      </w:divBdr>
      <w:divsChild>
        <w:div w:id="536699027">
          <w:marLeft w:val="0"/>
          <w:marRight w:val="0"/>
          <w:marTop w:val="0"/>
          <w:marBottom w:val="0"/>
          <w:divBdr>
            <w:top w:val="none" w:sz="0" w:space="0" w:color="auto"/>
            <w:left w:val="none" w:sz="0" w:space="0" w:color="auto"/>
            <w:bottom w:val="none" w:sz="0" w:space="0" w:color="auto"/>
            <w:right w:val="none" w:sz="0" w:space="0" w:color="auto"/>
          </w:divBdr>
          <w:divsChild>
            <w:div w:id="66194874">
              <w:marLeft w:val="0"/>
              <w:marRight w:val="0"/>
              <w:marTop w:val="0"/>
              <w:marBottom w:val="0"/>
              <w:divBdr>
                <w:top w:val="none" w:sz="0" w:space="0" w:color="auto"/>
                <w:left w:val="none" w:sz="0" w:space="0" w:color="auto"/>
                <w:bottom w:val="none" w:sz="0" w:space="0" w:color="auto"/>
                <w:right w:val="none" w:sz="0" w:space="0" w:color="auto"/>
              </w:divBdr>
              <w:divsChild>
                <w:div w:id="1966889380">
                  <w:marLeft w:val="0"/>
                  <w:marRight w:val="0"/>
                  <w:marTop w:val="0"/>
                  <w:marBottom w:val="0"/>
                  <w:divBdr>
                    <w:top w:val="none" w:sz="0" w:space="0" w:color="auto"/>
                    <w:left w:val="none" w:sz="0" w:space="0" w:color="auto"/>
                    <w:bottom w:val="none" w:sz="0" w:space="0" w:color="auto"/>
                    <w:right w:val="none" w:sz="0" w:space="0" w:color="auto"/>
                  </w:divBdr>
                  <w:divsChild>
                    <w:div w:id="15418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534896">
      <w:bodyDiv w:val="1"/>
      <w:marLeft w:val="0"/>
      <w:marRight w:val="0"/>
      <w:marTop w:val="0"/>
      <w:marBottom w:val="0"/>
      <w:divBdr>
        <w:top w:val="none" w:sz="0" w:space="0" w:color="auto"/>
        <w:left w:val="none" w:sz="0" w:space="0" w:color="auto"/>
        <w:bottom w:val="none" w:sz="0" w:space="0" w:color="auto"/>
        <w:right w:val="none" w:sz="0" w:space="0" w:color="auto"/>
      </w:divBdr>
      <w:divsChild>
        <w:div w:id="1655792023">
          <w:marLeft w:val="0"/>
          <w:marRight w:val="0"/>
          <w:marTop w:val="0"/>
          <w:marBottom w:val="0"/>
          <w:divBdr>
            <w:top w:val="none" w:sz="0" w:space="0" w:color="auto"/>
            <w:left w:val="none" w:sz="0" w:space="0" w:color="auto"/>
            <w:bottom w:val="none" w:sz="0" w:space="0" w:color="auto"/>
            <w:right w:val="none" w:sz="0" w:space="0" w:color="auto"/>
          </w:divBdr>
          <w:divsChild>
            <w:div w:id="994921290">
              <w:marLeft w:val="0"/>
              <w:marRight w:val="0"/>
              <w:marTop w:val="0"/>
              <w:marBottom w:val="0"/>
              <w:divBdr>
                <w:top w:val="none" w:sz="0" w:space="0" w:color="auto"/>
                <w:left w:val="none" w:sz="0" w:space="0" w:color="auto"/>
                <w:bottom w:val="none" w:sz="0" w:space="0" w:color="auto"/>
                <w:right w:val="none" w:sz="0" w:space="0" w:color="auto"/>
              </w:divBdr>
              <w:divsChild>
                <w:div w:id="15572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06500">
      <w:bodyDiv w:val="1"/>
      <w:marLeft w:val="0"/>
      <w:marRight w:val="0"/>
      <w:marTop w:val="0"/>
      <w:marBottom w:val="0"/>
      <w:divBdr>
        <w:top w:val="none" w:sz="0" w:space="0" w:color="auto"/>
        <w:left w:val="none" w:sz="0" w:space="0" w:color="auto"/>
        <w:bottom w:val="none" w:sz="0" w:space="0" w:color="auto"/>
        <w:right w:val="none" w:sz="0" w:space="0" w:color="auto"/>
      </w:divBdr>
      <w:divsChild>
        <w:div w:id="438256584">
          <w:marLeft w:val="0"/>
          <w:marRight w:val="0"/>
          <w:marTop w:val="0"/>
          <w:marBottom w:val="0"/>
          <w:divBdr>
            <w:top w:val="none" w:sz="0" w:space="0" w:color="auto"/>
            <w:left w:val="none" w:sz="0" w:space="0" w:color="auto"/>
            <w:bottom w:val="none" w:sz="0" w:space="0" w:color="auto"/>
            <w:right w:val="none" w:sz="0" w:space="0" w:color="auto"/>
          </w:divBdr>
          <w:divsChild>
            <w:div w:id="273907078">
              <w:marLeft w:val="0"/>
              <w:marRight w:val="0"/>
              <w:marTop w:val="0"/>
              <w:marBottom w:val="0"/>
              <w:divBdr>
                <w:top w:val="none" w:sz="0" w:space="0" w:color="auto"/>
                <w:left w:val="none" w:sz="0" w:space="0" w:color="auto"/>
                <w:bottom w:val="none" w:sz="0" w:space="0" w:color="auto"/>
                <w:right w:val="none" w:sz="0" w:space="0" w:color="auto"/>
              </w:divBdr>
              <w:divsChild>
                <w:div w:id="7311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2527">
      <w:bodyDiv w:val="1"/>
      <w:marLeft w:val="0"/>
      <w:marRight w:val="0"/>
      <w:marTop w:val="0"/>
      <w:marBottom w:val="0"/>
      <w:divBdr>
        <w:top w:val="none" w:sz="0" w:space="0" w:color="auto"/>
        <w:left w:val="none" w:sz="0" w:space="0" w:color="auto"/>
        <w:bottom w:val="none" w:sz="0" w:space="0" w:color="auto"/>
        <w:right w:val="none" w:sz="0" w:space="0" w:color="auto"/>
      </w:divBdr>
      <w:divsChild>
        <w:div w:id="721637471">
          <w:marLeft w:val="0"/>
          <w:marRight w:val="0"/>
          <w:marTop w:val="0"/>
          <w:marBottom w:val="0"/>
          <w:divBdr>
            <w:top w:val="none" w:sz="0" w:space="0" w:color="auto"/>
            <w:left w:val="none" w:sz="0" w:space="0" w:color="auto"/>
            <w:bottom w:val="none" w:sz="0" w:space="0" w:color="auto"/>
            <w:right w:val="none" w:sz="0" w:space="0" w:color="auto"/>
          </w:divBdr>
          <w:divsChild>
            <w:div w:id="196890250">
              <w:marLeft w:val="0"/>
              <w:marRight w:val="0"/>
              <w:marTop w:val="0"/>
              <w:marBottom w:val="0"/>
              <w:divBdr>
                <w:top w:val="none" w:sz="0" w:space="0" w:color="auto"/>
                <w:left w:val="none" w:sz="0" w:space="0" w:color="auto"/>
                <w:bottom w:val="none" w:sz="0" w:space="0" w:color="auto"/>
                <w:right w:val="none" w:sz="0" w:space="0" w:color="auto"/>
              </w:divBdr>
              <w:divsChild>
                <w:div w:id="487479399">
                  <w:marLeft w:val="0"/>
                  <w:marRight w:val="0"/>
                  <w:marTop w:val="0"/>
                  <w:marBottom w:val="0"/>
                  <w:divBdr>
                    <w:top w:val="none" w:sz="0" w:space="0" w:color="auto"/>
                    <w:left w:val="none" w:sz="0" w:space="0" w:color="auto"/>
                    <w:bottom w:val="none" w:sz="0" w:space="0" w:color="auto"/>
                    <w:right w:val="none" w:sz="0" w:space="0" w:color="auto"/>
                  </w:divBdr>
                  <w:divsChild>
                    <w:div w:id="202624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637242">
      <w:bodyDiv w:val="1"/>
      <w:marLeft w:val="0"/>
      <w:marRight w:val="0"/>
      <w:marTop w:val="0"/>
      <w:marBottom w:val="0"/>
      <w:divBdr>
        <w:top w:val="none" w:sz="0" w:space="0" w:color="auto"/>
        <w:left w:val="none" w:sz="0" w:space="0" w:color="auto"/>
        <w:bottom w:val="none" w:sz="0" w:space="0" w:color="auto"/>
        <w:right w:val="none" w:sz="0" w:space="0" w:color="auto"/>
      </w:divBdr>
      <w:divsChild>
        <w:div w:id="746731704">
          <w:marLeft w:val="0"/>
          <w:marRight w:val="0"/>
          <w:marTop w:val="0"/>
          <w:marBottom w:val="0"/>
          <w:divBdr>
            <w:top w:val="none" w:sz="0" w:space="0" w:color="auto"/>
            <w:left w:val="none" w:sz="0" w:space="0" w:color="auto"/>
            <w:bottom w:val="none" w:sz="0" w:space="0" w:color="auto"/>
            <w:right w:val="none" w:sz="0" w:space="0" w:color="auto"/>
          </w:divBdr>
          <w:divsChild>
            <w:div w:id="515190164">
              <w:marLeft w:val="0"/>
              <w:marRight w:val="0"/>
              <w:marTop w:val="0"/>
              <w:marBottom w:val="0"/>
              <w:divBdr>
                <w:top w:val="none" w:sz="0" w:space="0" w:color="auto"/>
                <w:left w:val="none" w:sz="0" w:space="0" w:color="auto"/>
                <w:bottom w:val="none" w:sz="0" w:space="0" w:color="auto"/>
                <w:right w:val="none" w:sz="0" w:space="0" w:color="auto"/>
              </w:divBdr>
              <w:divsChild>
                <w:div w:id="12311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5797">
      <w:bodyDiv w:val="1"/>
      <w:marLeft w:val="0"/>
      <w:marRight w:val="0"/>
      <w:marTop w:val="0"/>
      <w:marBottom w:val="0"/>
      <w:divBdr>
        <w:top w:val="none" w:sz="0" w:space="0" w:color="auto"/>
        <w:left w:val="none" w:sz="0" w:space="0" w:color="auto"/>
        <w:bottom w:val="none" w:sz="0" w:space="0" w:color="auto"/>
        <w:right w:val="none" w:sz="0" w:space="0" w:color="auto"/>
      </w:divBdr>
      <w:divsChild>
        <w:div w:id="91518003">
          <w:marLeft w:val="0"/>
          <w:marRight w:val="0"/>
          <w:marTop w:val="0"/>
          <w:marBottom w:val="0"/>
          <w:divBdr>
            <w:top w:val="none" w:sz="0" w:space="0" w:color="auto"/>
            <w:left w:val="none" w:sz="0" w:space="0" w:color="auto"/>
            <w:bottom w:val="none" w:sz="0" w:space="0" w:color="auto"/>
            <w:right w:val="none" w:sz="0" w:space="0" w:color="auto"/>
          </w:divBdr>
          <w:divsChild>
            <w:div w:id="1185679597">
              <w:marLeft w:val="0"/>
              <w:marRight w:val="0"/>
              <w:marTop w:val="0"/>
              <w:marBottom w:val="0"/>
              <w:divBdr>
                <w:top w:val="none" w:sz="0" w:space="0" w:color="auto"/>
                <w:left w:val="none" w:sz="0" w:space="0" w:color="auto"/>
                <w:bottom w:val="none" w:sz="0" w:space="0" w:color="auto"/>
                <w:right w:val="none" w:sz="0" w:space="0" w:color="auto"/>
              </w:divBdr>
              <w:divsChild>
                <w:div w:id="20157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9F05D-ED53-3A43-97EE-6C65CCD5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23</Pages>
  <Words>5752</Words>
  <Characters>31182</Characters>
  <Application>Microsoft Macintosh Word</Application>
  <DocSecurity>0</DocSecurity>
  <Lines>588</Lines>
  <Paragraphs>178</Paragraphs>
  <ScaleCrop>false</ScaleCrop>
  <Company>Cornell University College of Veterinary Medicine</Company>
  <LinksUpToDate>false</LinksUpToDate>
  <CharactersWithSpaces>36756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177</cp:revision>
  <dcterms:created xsi:type="dcterms:W3CDTF">2014-02-24T01:04:00Z</dcterms:created>
  <dcterms:modified xsi:type="dcterms:W3CDTF">2014-02-25T01:29:00Z</dcterms:modified>
</cp:coreProperties>
</file>