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217D6" w14:textId="77777777" w:rsidR="008F05A2" w:rsidRPr="00A65125" w:rsidRDefault="00D37DF9">
      <w:pPr>
        <w:rPr>
          <w:rFonts w:asciiTheme="majorHAnsi" w:hAnsiTheme="majorHAnsi"/>
        </w:rPr>
      </w:pPr>
      <w:r w:rsidRPr="00A65125">
        <w:rPr>
          <w:rFonts w:asciiTheme="majorHAnsi" w:hAnsiTheme="majorHAnsi"/>
        </w:rPr>
        <w:t>Neonatal resuscitation</w:t>
      </w:r>
    </w:p>
    <w:p w14:paraId="487943F5" w14:textId="77777777" w:rsidR="00D37DF9" w:rsidRPr="00A65125" w:rsidRDefault="00D37DF9">
      <w:pPr>
        <w:rPr>
          <w:rFonts w:asciiTheme="majorHAnsi" w:hAnsiTheme="majorHAnsi"/>
        </w:rPr>
      </w:pPr>
      <w:r w:rsidRPr="00A65125">
        <w:rPr>
          <w:rFonts w:asciiTheme="majorHAnsi" w:hAnsiTheme="majorHAnsi"/>
        </w:rPr>
        <w:t>Neonatal and pediatric care</w:t>
      </w:r>
    </w:p>
    <w:p w14:paraId="6F30F853" w14:textId="77777777" w:rsidR="00A65125" w:rsidRPr="00A65125" w:rsidRDefault="00A65125">
      <w:pPr>
        <w:rPr>
          <w:rFonts w:asciiTheme="majorHAnsi" w:hAnsiTheme="majorHAnsi"/>
        </w:rPr>
      </w:pPr>
    </w:p>
    <w:p w14:paraId="44B37EB0" w14:textId="77777777" w:rsidR="00A65125" w:rsidRPr="00A65125" w:rsidRDefault="00A65125">
      <w:pPr>
        <w:rPr>
          <w:rFonts w:asciiTheme="majorHAnsi" w:hAnsiTheme="majorHAnsi"/>
        </w:rPr>
      </w:pPr>
    </w:p>
    <w:p w14:paraId="35100D90" w14:textId="77777777" w:rsidR="00A65125" w:rsidRPr="00A65125" w:rsidRDefault="00A65125">
      <w:pPr>
        <w:rPr>
          <w:rFonts w:asciiTheme="majorHAnsi" w:hAnsiTheme="majorHAnsi"/>
        </w:rPr>
      </w:pPr>
      <w:r w:rsidRPr="00A65125">
        <w:rPr>
          <w:rFonts w:asciiTheme="majorHAnsi" w:hAnsiTheme="majorHAnsi"/>
        </w:rPr>
        <w:t>Neonatal resuscitation – VCNA 2014</w:t>
      </w:r>
    </w:p>
    <w:p w14:paraId="43E52F2B" w14:textId="77777777" w:rsidR="00A65125" w:rsidRDefault="00A65125">
      <w:pPr>
        <w:rPr>
          <w:rFonts w:asciiTheme="majorHAnsi" w:hAnsiTheme="majorHAnsi"/>
        </w:rPr>
      </w:pPr>
    </w:p>
    <w:p w14:paraId="4A4F6700" w14:textId="77777777" w:rsidR="00A65125" w:rsidRDefault="00A65125">
      <w:pPr>
        <w:rPr>
          <w:rFonts w:asciiTheme="majorHAnsi" w:hAnsiTheme="majorHAnsi"/>
        </w:rPr>
      </w:pPr>
      <w:r>
        <w:rPr>
          <w:rFonts w:asciiTheme="majorHAnsi" w:hAnsiTheme="majorHAnsi"/>
        </w:rPr>
        <w:t>Neonate birth to 2 weeks of life</w:t>
      </w:r>
    </w:p>
    <w:p w14:paraId="632F57CB" w14:textId="77777777" w:rsidR="00A65125" w:rsidRDefault="00A65125">
      <w:pPr>
        <w:rPr>
          <w:rFonts w:asciiTheme="majorHAnsi" w:hAnsiTheme="majorHAnsi"/>
        </w:rPr>
      </w:pPr>
      <w:r>
        <w:rPr>
          <w:rFonts w:asciiTheme="majorHAnsi" w:hAnsiTheme="majorHAnsi"/>
        </w:rPr>
        <w:t>Intervention for resuscitation of neonates should occur if the puppy/kitten is not breathing/vocalizing/moving within 1 minute of birth.</w:t>
      </w:r>
    </w:p>
    <w:p w14:paraId="2A47FD0F" w14:textId="77777777" w:rsidR="00A65125" w:rsidRDefault="00A65125">
      <w:pPr>
        <w:rPr>
          <w:rFonts w:asciiTheme="majorHAnsi" w:hAnsiTheme="majorHAnsi"/>
        </w:rPr>
      </w:pPr>
      <w:r>
        <w:rPr>
          <w:rFonts w:asciiTheme="majorHAnsi" w:hAnsiTheme="majorHAnsi"/>
        </w:rPr>
        <w:t>Follow ABCs CPR</w:t>
      </w:r>
    </w:p>
    <w:p w14:paraId="26C3FB06" w14:textId="77777777" w:rsidR="00A65125" w:rsidRDefault="00A65125" w:rsidP="00A65125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Spontaneous breathing associated with 7d survival </w:t>
      </w:r>
    </w:p>
    <w:p w14:paraId="4781CF19" w14:textId="77777777" w:rsidR="0047161A" w:rsidRDefault="0047161A" w:rsidP="004716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Break membrane. Clear airways by suctioning with a bulb suction device. To remove fluid tip head below thorax</w:t>
      </w:r>
    </w:p>
    <w:p w14:paraId="59F2DB94" w14:textId="77777777" w:rsidR="0047161A" w:rsidRDefault="0047161A" w:rsidP="004716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Gentle/brisk rubbing/drying helps to stimulate neonate</w:t>
      </w:r>
      <w:r>
        <w:rPr>
          <w:rFonts w:asciiTheme="majorHAnsi" w:hAnsiTheme="majorHAnsi"/>
        </w:rPr>
        <w:tab/>
      </w:r>
    </w:p>
    <w:p w14:paraId="54DEB360" w14:textId="77777777" w:rsidR="0047161A" w:rsidRDefault="0047161A" w:rsidP="004716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ab/>
        <w:t>Swinging and doxapram not recommended</w:t>
      </w:r>
    </w:p>
    <w:p w14:paraId="7E945851" w14:textId="77777777" w:rsidR="0047161A" w:rsidRDefault="0047161A" w:rsidP="004716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Tight fitting facemask to provide ventilation vs ET tube and PPV (careful with pressures)</w:t>
      </w:r>
    </w:p>
    <w:p w14:paraId="1C0D1197" w14:textId="77777777" w:rsidR="0047161A" w:rsidRDefault="0047161A" w:rsidP="004716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Jen Chung acupuncture site – small guage needle inserted into the nasal philtrum at the base of the nares and rotated when cartilage/bone is contacted.</w:t>
      </w:r>
    </w:p>
    <w:p w14:paraId="3C689291" w14:textId="77777777" w:rsidR="0047161A" w:rsidRDefault="0047161A" w:rsidP="0047161A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Cardiac stimulation should follow ventilator support. Most common cause of bradycardia or asystole is myocardial hypoxemia. Epinephrine</w:t>
      </w:r>
      <w:r w:rsidR="001E0C84">
        <w:rPr>
          <w:rFonts w:asciiTheme="majorHAnsi" w:hAnsiTheme="majorHAnsi"/>
        </w:rPr>
        <w:t xml:space="preserve"> 0.01-.02 mcg/g IV or IO.</w:t>
      </w:r>
    </w:p>
    <w:p w14:paraId="12CB8DCF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Keep warm – warm water bath</w:t>
      </w:r>
    </w:p>
    <w:p w14:paraId="260BFC77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Glucose – supplement during prolong resuscitation efforts</w:t>
      </w:r>
    </w:p>
    <w:p w14:paraId="34E138E6" w14:textId="77777777" w:rsidR="001E0C84" w:rsidRDefault="001E0C84" w:rsidP="001E0C84">
      <w:pPr>
        <w:rPr>
          <w:rFonts w:asciiTheme="majorHAnsi" w:hAnsiTheme="majorHAnsi"/>
        </w:rPr>
      </w:pPr>
      <w:r>
        <w:rPr>
          <w:rFonts w:asciiTheme="majorHAnsi" w:hAnsiTheme="majorHAnsi"/>
        </w:rPr>
        <w:t>When to stop resuscitation</w:t>
      </w:r>
    </w:p>
    <w:p w14:paraId="3F5096F6" w14:textId="77777777" w:rsidR="001E0C84" w:rsidRDefault="001E0C84" w:rsidP="001E0C84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N</w:t>
      </w:r>
      <w:r w:rsidRPr="001E0C84">
        <w:rPr>
          <w:rFonts w:asciiTheme="majorHAnsi" w:hAnsiTheme="majorHAnsi"/>
        </w:rPr>
        <w:t>o respons</w:t>
      </w:r>
      <w:r>
        <w:rPr>
          <w:rFonts w:asciiTheme="majorHAnsi" w:hAnsiTheme="majorHAnsi"/>
        </w:rPr>
        <w:t>e after 15-20 minutes of effort</w:t>
      </w:r>
    </w:p>
    <w:p w14:paraId="11BC392E" w14:textId="77777777" w:rsidR="001E0C84" w:rsidRPr="002914CA" w:rsidRDefault="001E0C84" w:rsidP="002914CA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Serious congenital defects</w:t>
      </w:r>
    </w:p>
    <w:p w14:paraId="7CEA5D11" w14:textId="77777777" w:rsidR="0047161A" w:rsidRDefault="001E0C84" w:rsidP="001E0C84">
      <w:pPr>
        <w:rPr>
          <w:rFonts w:asciiTheme="majorHAnsi" w:hAnsiTheme="majorHAnsi"/>
        </w:rPr>
      </w:pPr>
      <w:r>
        <w:rPr>
          <w:rFonts w:asciiTheme="majorHAnsi" w:hAnsiTheme="majorHAnsi"/>
        </w:rPr>
        <w:t>Umbilical cord management</w:t>
      </w:r>
    </w:p>
    <w:p w14:paraId="460160B1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Treated with tincture of iodine immediately after birth. Cut cord. Ligate. Dunk in 2% iodine.</w:t>
      </w:r>
    </w:p>
    <w:p w14:paraId="3DE74888" w14:textId="77777777" w:rsidR="001E0C84" w:rsidRDefault="001E0C84" w:rsidP="001E0C84">
      <w:pPr>
        <w:ind w:left="720"/>
        <w:rPr>
          <w:rFonts w:asciiTheme="majorHAnsi" w:hAnsiTheme="majorHAnsi"/>
        </w:rPr>
      </w:pPr>
    </w:p>
    <w:p w14:paraId="6CD66843" w14:textId="77777777" w:rsidR="001E0C84" w:rsidRDefault="001E0C84" w:rsidP="001E0C84">
      <w:pPr>
        <w:rPr>
          <w:rFonts w:asciiTheme="majorHAnsi" w:hAnsiTheme="majorHAnsi"/>
        </w:rPr>
      </w:pPr>
      <w:r>
        <w:rPr>
          <w:rFonts w:asciiTheme="majorHAnsi" w:hAnsiTheme="majorHAnsi"/>
        </w:rPr>
        <w:t>Husbandry: the first days</w:t>
      </w:r>
    </w:p>
    <w:p w14:paraId="786AD0E4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Have neonates evaluated by rDVM</w:t>
      </w:r>
    </w:p>
    <w:p w14:paraId="34DCB317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Ambient temperature of 97F – no thermoregulatory mech until 4 weeks</w:t>
      </w:r>
    </w:p>
    <w:p w14:paraId="11CF415D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Delay feeding until euthermic</w:t>
      </w:r>
    </w:p>
    <w:p w14:paraId="570B559D" w14:textId="77777777" w:rsidR="001E0C84" w:rsidRDefault="001E0C8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Immune system incomplete until 10 d old. Adequate colostrum ingestion must occur promptly postpartum for neonates to aquire passive immunity. Intestinal absorption of IgG ceases</w:t>
      </w:r>
      <w:r w:rsidR="00A123F4">
        <w:rPr>
          <w:rFonts w:asciiTheme="majorHAnsi" w:hAnsiTheme="majorHAnsi"/>
        </w:rPr>
        <w:t xml:space="preserve"> by 24h post partum. Adult serum given IP or SQ adequate in kittens, insufficient in dogs.</w:t>
      </w:r>
    </w:p>
    <w:p w14:paraId="68E05727" w14:textId="77777777" w:rsidR="00A123F4" w:rsidRDefault="00A123F4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Factors predisposing to neonatal septicemia</w:t>
      </w:r>
    </w:p>
    <w:p w14:paraId="017C5B53" w14:textId="77777777" w:rsidR="0059192C" w:rsidRDefault="0059192C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>Neonatal septicemia – rapid deterioration. Predisposing factors include endometritis in the bitch, prolonged delivery/dystocia, feeding replacement formula, use of ampicillin, stress ,low birth weight, chilling (body temp &lt;96F).</w:t>
      </w:r>
    </w:p>
    <w:p w14:paraId="1AC81EB3" w14:textId="77777777" w:rsidR="0059192C" w:rsidRDefault="0059192C" w:rsidP="0059192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E. coli, Streptococci, </w:t>
      </w:r>
      <w:r w:rsidR="002914CA">
        <w:rPr>
          <w:rFonts w:asciiTheme="majorHAnsi" w:hAnsiTheme="majorHAnsi"/>
        </w:rPr>
        <w:t>staphylococci, Klebsiella – most common organisms involved in neonatal septicemia</w:t>
      </w:r>
    </w:p>
    <w:p w14:paraId="0A4E7E91" w14:textId="77777777" w:rsidR="002914CA" w:rsidRDefault="002914CA" w:rsidP="0059192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Premortem diagnosis difficult. Clinical signs may include death, decrease weight, failure to suckle, hematuria, persistent diarrhea, unusual vocalization, abdominal distension and pain, sloughing of extremities.</w:t>
      </w:r>
    </w:p>
    <w:p w14:paraId="005A2EE0" w14:textId="77777777" w:rsidR="002914CA" w:rsidRDefault="002914CA" w:rsidP="0059192C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Third-gen cephalosporin such as Naxcel.</w:t>
      </w:r>
    </w:p>
    <w:p w14:paraId="1EC4E6F6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>Hypoglycemia – can occur from minimal fasting due to rapid depletion of glycogen stores, endotoxemia, septicemia, PSS, glycogen storage abnormalities</w:t>
      </w:r>
    </w:p>
    <w:p w14:paraId="02DD2135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>Neonatal caloric requirement – 133 cal/kg/d – first week of life, 155</w:t>
      </w:r>
      <w:r w:rsidRPr="002914C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cal/kg/d for second, 175-198</w:t>
      </w:r>
      <w:r w:rsidRPr="002914C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cal/kg/d for third, and 220</w:t>
      </w:r>
      <w:r w:rsidRPr="002914C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cal/kg/d for fourth week of life.</w:t>
      </w:r>
    </w:p>
    <w:p w14:paraId="784FB073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Osmotic diarrhea can result from overfeeding formula, so may need to dilute it with water to prevent (yellow curdled appearance).</w:t>
      </w:r>
    </w:p>
    <w:p w14:paraId="24312B33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Puppies should gain 1-3 g per day per pound of anticipated weight at adulthood. </w:t>
      </w:r>
    </w:p>
    <w:p w14:paraId="0D52F642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>Kittens should gain 50-100g weekly</w:t>
      </w:r>
    </w:p>
    <w:p w14:paraId="42BDF454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>Minimal weight gain of 10%/d should occur.</w:t>
      </w:r>
    </w:p>
    <w:p w14:paraId="0C5316C1" w14:textId="77777777" w:rsidR="002914CA" w:rsidRDefault="002914CA" w:rsidP="002914CA">
      <w:pPr>
        <w:rPr>
          <w:rFonts w:asciiTheme="majorHAnsi" w:hAnsiTheme="majorHAnsi"/>
        </w:rPr>
      </w:pPr>
    </w:p>
    <w:p w14:paraId="6A9CB497" w14:textId="77777777" w:rsidR="002914CA" w:rsidRDefault="002914CA" w:rsidP="002914CA">
      <w:pPr>
        <w:rPr>
          <w:rFonts w:asciiTheme="majorHAnsi" w:hAnsiTheme="majorHAnsi"/>
        </w:rPr>
      </w:pPr>
    </w:p>
    <w:p w14:paraId="18C8F3D4" w14:textId="77777777" w:rsidR="002914CA" w:rsidRDefault="002914CA" w:rsidP="002914CA">
      <w:pPr>
        <w:rPr>
          <w:rFonts w:asciiTheme="majorHAnsi" w:hAnsiTheme="majorHAnsi"/>
        </w:rPr>
      </w:pPr>
    </w:p>
    <w:p w14:paraId="703EBFDD" w14:textId="77777777" w:rsidR="002914CA" w:rsidRDefault="002914CA" w:rsidP="002914CA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 – neonatal resuscitation</w:t>
      </w:r>
    </w:p>
    <w:p w14:paraId="325375CD" w14:textId="77777777" w:rsidR="002914CA" w:rsidRDefault="002914CA" w:rsidP="002914CA">
      <w:pPr>
        <w:rPr>
          <w:rFonts w:asciiTheme="majorHAnsi" w:hAnsiTheme="majorHAnsi"/>
        </w:rPr>
      </w:pPr>
    </w:p>
    <w:p w14:paraId="46DAFE55" w14:textId="77777777" w:rsidR="002914CA" w:rsidRPr="00A123F4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A123F4">
        <w:rPr>
          <w:rFonts w:asciiTheme="majorHAnsi" w:hAnsiTheme="majorHAnsi"/>
        </w:rPr>
        <w:t>Define neonate.</w:t>
      </w:r>
    </w:p>
    <w:p w14:paraId="5A5BD9F2" w14:textId="77777777" w:rsidR="002914CA" w:rsidRDefault="002914CA" w:rsidP="002914CA">
      <w:pPr>
        <w:pStyle w:val="ListParagraph"/>
        <w:ind w:left="1440"/>
        <w:rPr>
          <w:rFonts w:asciiTheme="majorHAnsi" w:hAnsiTheme="majorHAnsi"/>
        </w:rPr>
      </w:pPr>
    </w:p>
    <w:p w14:paraId="10C4F54E" w14:textId="77777777" w:rsidR="002914CA" w:rsidRDefault="002914CA" w:rsidP="002914CA">
      <w:pPr>
        <w:pStyle w:val="ListParagraph"/>
        <w:ind w:left="1440"/>
        <w:rPr>
          <w:rFonts w:asciiTheme="majorHAnsi" w:hAnsiTheme="majorHAnsi"/>
        </w:rPr>
      </w:pPr>
    </w:p>
    <w:p w14:paraId="6F036363" w14:textId="77777777" w:rsidR="002914CA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Name 5 factors that predispose to neonatal septicemia</w:t>
      </w:r>
    </w:p>
    <w:p w14:paraId="7008B3B0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18E26857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40C99FC2" w14:textId="77777777" w:rsidR="002914CA" w:rsidRPr="0059192C" w:rsidRDefault="002914CA" w:rsidP="002914CA">
      <w:pPr>
        <w:ind w:left="1080"/>
        <w:rPr>
          <w:rFonts w:asciiTheme="majorHAnsi" w:hAnsiTheme="majorHAnsi"/>
        </w:rPr>
      </w:pPr>
    </w:p>
    <w:p w14:paraId="12029A44" w14:textId="77777777" w:rsidR="002914CA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organism is most commonly associated with septicemia?</w:t>
      </w:r>
    </w:p>
    <w:p w14:paraId="08E4CC71" w14:textId="77777777" w:rsidR="002914CA" w:rsidRP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E. coli, streptococci, staphylococci, Klebsiella</w:t>
      </w:r>
    </w:p>
    <w:p w14:paraId="4C83C532" w14:textId="77777777" w:rsid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E. coli, streptococci, salmonella, proteus</w:t>
      </w:r>
    </w:p>
    <w:p w14:paraId="7630E734" w14:textId="77777777" w:rsid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E. coli, pasteurella, enterococci, Klebsiella</w:t>
      </w:r>
    </w:p>
    <w:p w14:paraId="4D22A023" w14:textId="77777777" w:rsid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E. coli, staphylococci, enterococcus, Klebsiella</w:t>
      </w:r>
    </w:p>
    <w:p w14:paraId="44664E6F" w14:textId="77777777" w:rsidR="002914CA" w:rsidRDefault="002914CA" w:rsidP="002914CA">
      <w:pPr>
        <w:pStyle w:val="ListParagraph"/>
        <w:ind w:left="1440"/>
        <w:rPr>
          <w:rFonts w:asciiTheme="majorHAnsi" w:hAnsiTheme="majorHAnsi"/>
        </w:rPr>
      </w:pPr>
    </w:p>
    <w:p w14:paraId="23DBCB7F" w14:textId="77777777" w:rsidR="002914CA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are 4 common clinical signs of neonatal septicemia?</w:t>
      </w:r>
    </w:p>
    <w:p w14:paraId="421A9271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1070C196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50BF4460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54AEE925" w14:textId="77777777" w:rsidR="002914CA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antibiotic is deemed an appropriate antibiotic for neonatal septicemia (as per this article)?</w:t>
      </w:r>
    </w:p>
    <w:p w14:paraId="55331B37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24A7E09A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576042B2" w14:textId="77777777" w:rsidR="002914CA" w:rsidRDefault="002914CA" w:rsidP="002914CA">
      <w:pPr>
        <w:ind w:left="1080"/>
        <w:rPr>
          <w:rFonts w:asciiTheme="majorHAnsi" w:hAnsiTheme="majorHAnsi"/>
        </w:rPr>
      </w:pPr>
    </w:p>
    <w:p w14:paraId="22EB7CD5" w14:textId="77777777" w:rsidR="002914CA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is NOT given as a potential explanation for neonatal hypoglycemia?</w:t>
      </w:r>
    </w:p>
    <w:p w14:paraId="3F20CCDF" w14:textId="77777777" w:rsid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Endotoxemia</w:t>
      </w:r>
    </w:p>
    <w:p w14:paraId="68606A84" w14:textId="77777777" w:rsid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Septicemia</w:t>
      </w:r>
    </w:p>
    <w:p w14:paraId="55E32C2F" w14:textId="77777777" w:rsidR="002914CA" w:rsidRP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Feeding a replacement formula</w:t>
      </w:r>
    </w:p>
    <w:p w14:paraId="0722E5F0" w14:textId="77777777" w:rsidR="002914CA" w:rsidRPr="002914CA" w:rsidRDefault="002914CA" w:rsidP="002914CA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Fast</w:t>
      </w:r>
      <w:r w:rsidRPr="002914CA">
        <w:rPr>
          <w:rFonts w:asciiTheme="majorHAnsi" w:hAnsiTheme="majorHAnsi"/>
        </w:rPr>
        <w:t>ing</w:t>
      </w:r>
    </w:p>
    <w:p w14:paraId="60DBDA03" w14:textId="77777777" w:rsidR="002914CA" w:rsidRDefault="002914CA" w:rsidP="002914CA">
      <w:pPr>
        <w:pStyle w:val="ListParagraph"/>
        <w:ind w:left="1440"/>
        <w:rPr>
          <w:rFonts w:asciiTheme="majorHAnsi" w:hAnsiTheme="majorHAnsi"/>
        </w:rPr>
      </w:pPr>
    </w:p>
    <w:p w14:paraId="6D479D46" w14:textId="77777777" w:rsidR="002914CA" w:rsidRDefault="002914CA" w:rsidP="002914CA">
      <w:pPr>
        <w:pStyle w:val="ListParagraph"/>
        <w:ind w:left="1440"/>
        <w:rPr>
          <w:rFonts w:asciiTheme="majorHAnsi" w:hAnsiTheme="majorHAnsi"/>
        </w:rPr>
      </w:pPr>
    </w:p>
    <w:p w14:paraId="6F696DC1" w14:textId="2492714A" w:rsidR="002914CA" w:rsidRPr="002914CA" w:rsidRDefault="002914CA" w:rsidP="002914CA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Puppies should gain ________ grams per day per poun</w:t>
      </w:r>
      <w:r w:rsidR="006658A2">
        <w:rPr>
          <w:rFonts w:asciiTheme="majorHAnsi" w:hAnsiTheme="majorHAnsi"/>
        </w:rPr>
        <w:t>d</w:t>
      </w:r>
      <w:r>
        <w:rPr>
          <w:rFonts w:asciiTheme="majorHAnsi" w:hAnsiTheme="majorHAnsi"/>
        </w:rPr>
        <w:t xml:space="preserve"> of anticipated adult weight, kittens should gain ______ grams weekly.</w:t>
      </w:r>
    </w:p>
    <w:p w14:paraId="3AA47189" w14:textId="77777777" w:rsidR="00A123F4" w:rsidRDefault="00A123F4" w:rsidP="001E0C84">
      <w:pPr>
        <w:ind w:left="720"/>
        <w:rPr>
          <w:rFonts w:asciiTheme="majorHAnsi" w:hAnsiTheme="majorHAnsi"/>
        </w:rPr>
      </w:pPr>
    </w:p>
    <w:p w14:paraId="51A46850" w14:textId="77777777" w:rsidR="00A123F4" w:rsidRDefault="00A123F4" w:rsidP="001E0C84">
      <w:pPr>
        <w:ind w:left="720"/>
        <w:rPr>
          <w:rFonts w:asciiTheme="majorHAnsi" w:hAnsiTheme="majorHAnsi"/>
        </w:rPr>
      </w:pPr>
    </w:p>
    <w:p w14:paraId="2B42B335" w14:textId="77777777" w:rsidR="00A123F4" w:rsidRDefault="00A123F4" w:rsidP="001E0C84">
      <w:pPr>
        <w:ind w:left="720"/>
        <w:rPr>
          <w:rFonts w:asciiTheme="majorHAnsi" w:hAnsiTheme="majorHAnsi"/>
        </w:rPr>
      </w:pPr>
    </w:p>
    <w:p w14:paraId="38E1D28B" w14:textId="77777777" w:rsidR="00A123F4" w:rsidRDefault="002914CA" w:rsidP="00A123F4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column"/>
        <w:t>Answers</w:t>
      </w:r>
      <w:r w:rsidR="00A123F4">
        <w:rPr>
          <w:rFonts w:asciiTheme="majorHAnsi" w:hAnsiTheme="majorHAnsi"/>
        </w:rPr>
        <w:t xml:space="preserve"> – neonatal resuscitation</w:t>
      </w:r>
    </w:p>
    <w:p w14:paraId="4A56F39D" w14:textId="77777777" w:rsidR="00A123F4" w:rsidRDefault="00A123F4" w:rsidP="00A123F4">
      <w:pPr>
        <w:rPr>
          <w:rFonts w:asciiTheme="majorHAnsi" w:hAnsiTheme="majorHAnsi"/>
        </w:rPr>
      </w:pPr>
    </w:p>
    <w:p w14:paraId="04CCB511" w14:textId="77777777" w:rsidR="00A123F4" w:rsidRPr="00A123F4" w:rsidRDefault="00A123F4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A123F4">
        <w:rPr>
          <w:rFonts w:asciiTheme="majorHAnsi" w:hAnsiTheme="majorHAnsi"/>
        </w:rPr>
        <w:t>Define neonate.</w:t>
      </w:r>
    </w:p>
    <w:p w14:paraId="3C4AF749" w14:textId="77777777" w:rsidR="00A123F4" w:rsidRDefault="00A123F4" w:rsidP="002914CA">
      <w:pPr>
        <w:pStyle w:val="ListParagraph"/>
        <w:numPr>
          <w:ilvl w:val="2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Birth to two weeks</w:t>
      </w:r>
    </w:p>
    <w:p w14:paraId="22FD8882" w14:textId="77777777" w:rsidR="0059192C" w:rsidRDefault="0059192C" w:rsidP="00A123F4">
      <w:pPr>
        <w:pStyle w:val="ListParagraph"/>
        <w:ind w:left="1440"/>
        <w:rPr>
          <w:rFonts w:asciiTheme="majorHAnsi" w:hAnsiTheme="majorHAnsi"/>
        </w:rPr>
      </w:pPr>
    </w:p>
    <w:p w14:paraId="736AA6A9" w14:textId="77777777" w:rsidR="00A123F4" w:rsidRDefault="00A123F4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Name </w:t>
      </w:r>
      <w:r w:rsidR="0059192C">
        <w:rPr>
          <w:rFonts w:asciiTheme="majorHAnsi" w:hAnsiTheme="majorHAnsi"/>
        </w:rPr>
        <w:t xml:space="preserve">5 </w:t>
      </w:r>
      <w:r>
        <w:rPr>
          <w:rFonts w:asciiTheme="majorHAnsi" w:hAnsiTheme="majorHAnsi"/>
        </w:rPr>
        <w:t>factors that predispose to neonatal septicemia</w:t>
      </w:r>
    </w:p>
    <w:p w14:paraId="5D888D84" w14:textId="77777777" w:rsidR="00A123F4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Endometritis in the bitch</w:t>
      </w:r>
    </w:p>
    <w:p w14:paraId="5AA9DEFD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Prolonged delivery/dystocia</w:t>
      </w:r>
    </w:p>
    <w:p w14:paraId="41DC682D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Feeding of replacement formula</w:t>
      </w:r>
    </w:p>
    <w:p w14:paraId="3F955F23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Use of ampicillin</w:t>
      </w:r>
    </w:p>
    <w:p w14:paraId="606FA4EB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Stress</w:t>
      </w:r>
    </w:p>
    <w:p w14:paraId="3616B818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Low birth weight</w:t>
      </w:r>
    </w:p>
    <w:p w14:paraId="20A139B3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Chilling body temperature &lt;96F</w:t>
      </w:r>
    </w:p>
    <w:p w14:paraId="642F5EB8" w14:textId="77777777" w:rsidR="0059192C" w:rsidRPr="0059192C" w:rsidRDefault="0059192C" w:rsidP="0059192C">
      <w:pPr>
        <w:ind w:left="1080"/>
        <w:rPr>
          <w:rFonts w:asciiTheme="majorHAnsi" w:hAnsiTheme="majorHAnsi"/>
        </w:rPr>
      </w:pPr>
    </w:p>
    <w:p w14:paraId="085198C1" w14:textId="77777777" w:rsidR="0059192C" w:rsidRDefault="0059192C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organism is most commonly associated with septicemia?</w:t>
      </w:r>
    </w:p>
    <w:p w14:paraId="3D5DEAC5" w14:textId="77777777" w:rsidR="0059192C" w:rsidRPr="0059192C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59192C">
        <w:rPr>
          <w:rFonts w:asciiTheme="majorHAnsi" w:hAnsiTheme="majorHAnsi"/>
          <w:b/>
        </w:rPr>
        <w:t>E. coli, streptococci, staphylococci, Klebsiella</w:t>
      </w:r>
    </w:p>
    <w:p w14:paraId="57046C6B" w14:textId="77777777" w:rsidR="0059192C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E. coli, streptococci, salmonella, proteus</w:t>
      </w:r>
    </w:p>
    <w:p w14:paraId="5FC03171" w14:textId="77777777" w:rsidR="0059192C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E. coli, pasteurella, enterococci, Klebsiella</w:t>
      </w:r>
    </w:p>
    <w:p w14:paraId="6B359D75" w14:textId="77777777" w:rsidR="0059192C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E. coli, staphylococci, enterococcus, Klebsiella</w:t>
      </w:r>
    </w:p>
    <w:p w14:paraId="02E67071" w14:textId="77777777" w:rsidR="0059192C" w:rsidRDefault="0059192C" w:rsidP="0059192C">
      <w:pPr>
        <w:pStyle w:val="ListParagraph"/>
        <w:ind w:left="1440"/>
        <w:rPr>
          <w:rFonts w:asciiTheme="majorHAnsi" w:hAnsiTheme="majorHAnsi"/>
        </w:rPr>
      </w:pPr>
    </w:p>
    <w:p w14:paraId="5D7457EB" w14:textId="77777777" w:rsidR="0059192C" w:rsidRDefault="0059192C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are 4 common clinical signs of neonatal septicemia?</w:t>
      </w:r>
    </w:p>
    <w:p w14:paraId="535DCD68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Decrease in weight gain, failure to suckle, hematuria, persistent diarrhea, unusual vocalization, abdominal distension and pain, sloughing of extremities</w:t>
      </w:r>
    </w:p>
    <w:p w14:paraId="509DE300" w14:textId="77777777" w:rsidR="002914CA" w:rsidRDefault="002914CA" w:rsidP="0059192C">
      <w:pPr>
        <w:ind w:left="1080"/>
        <w:rPr>
          <w:rFonts w:asciiTheme="majorHAnsi" w:hAnsiTheme="majorHAnsi"/>
        </w:rPr>
      </w:pPr>
    </w:p>
    <w:p w14:paraId="541A5722" w14:textId="77777777" w:rsidR="0059192C" w:rsidRDefault="0059192C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antibiotic is deemed an appropriate antibiotic for neonatal septicemia (as per this article)?</w:t>
      </w:r>
    </w:p>
    <w:p w14:paraId="118D8EEB" w14:textId="77777777" w:rsidR="0059192C" w:rsidRPr="002914CA" w:rsidRDefault="0059192C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 w:rsidRPr="002914CA">
        <w:rPr>
          <w:rFonts w:asciiTheme="majorHAnsi" w:hAnsiTheme="majorHAnsi"/>
        </w:rPr>
        <w:t>Third generation cephalosporins such as ceftiofur</w:t>
      </w:r>
    </w:p>
    <w:p w14:paraId="7EB07F7F" w14:textId="77777777" w:rsidR="002914CA" w:rsidRDefault="002914CA" w:rsidP="0059192C">
      <w:pPr>
        <w:ind w:left="1080"/>
        <w:rPr>
          <w:rFonts w:asciiTheme="majorHAnsi" w:hAnsiTheme="majorHAnsi"/>
        </w:rPr>
      </w:pPr>
    </w:p>
    <w:p w14:paraId="541818D5" w14:textId="77777777" w:rsidR="002914CA" w:rsidRDefault="002914CA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is NOT given as a potential explanation for neonatal hypoglycemia?</w:t>
      </w:r>
    </w:p>
    <w:p w14:paraId="3B7D7A39" w14:textId="77777777" w:rsidR="002914CA" w:rsidRDefault="002914CA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Endotoxemia</w:t>
      </w:r>
    </w:p>
    <w:p w14:paraId="57C6A430" w14:textId="77777777" w:rsidR="002914CA" w:rsidRDefault="002914CA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Septicemia</w:t>
      </w:r>
    </w:p>
    <w:p w14:paraId="7A95AA36" w14:textId="77777777" w:rsidR="002914CA" w:rsidRPr="002914CA" w:rsidRDefault="002914CA" w:rsidP="002914CA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2914CA">
        <w:rPr>
          <w:rFonts w:asciiTheme="majorHAnsi" w:hAnsiTheme="majorHAnsi"/>
          <w:b/>
        </w:rPr>
        <w:t>Feeding a replacement formula</w:t>
      </w:r>
    </w:p>
    <w:p w14:paraId="5AAFE595" w14:textId="77777777" w:rsidR="002914CA" w:rsidRDefault="002914CA" w:rsidP="002914CA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Fasting</w:t>
      </w:r>
    </w:p>
    <w:p w14:paraId="29076AA9" w14:textId="38620CD1" w:rsidR="002914CA" w:rsidRPr="002914CA" w:rsidRDefault="002914CA" w:rsidP="002914CA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Puppies should gain ___1-3_____ grams per day per poun</w:t>
      </w:r>
      <w:r w:rsidR="006658A2">
        <w:rPr>
          <w:rFonts w:asciiTheme="majorHAnsi" w:hAnsiTheme="majorHAnsi"/>
        </w:rPr>
        <w:t>d</w:t>
      </w:r>
      <w:r>
        <w:rPr>
          <w:rFonts w:asciiTheme="majorHAnsi" w:hAnsiTheme="majorHAnsi"/>
        </w:rPr>
        <w:t xml:space="preserve"> of anticipated adult weight, kittens should gain ___50-100___ grams weekly.</w:t>
      </w:r>
    </w:p>
    <w:p w14:paraId="1C938D98" w14:textId="77777777" w:rsidR="002914CA" w:rsidRPr="002914CA" w:rsidRDefault="002914CA" w:rsidP="002914CA">
      <w:pPr>
        <w:pStyle w:val="ListParagraph"/>
        <w:ind w:left="1440"/>
        <w:rPr>
          <w:rFonts w:asciiTheme="majorHAnsi" w:hAnsiTheme="majorHAnsi"/>
        </w:rPr>
      </w:pPr>
    </w:p>
    <w:p w14:paraId="3E5BC362" w14:textId="77777777" w:rsidR="006658A2" w:rsidRDefault="006658A2" w:rsidP="001E0C84">
      <w:pPr>
        <w:ind w:left="720"/>
        <w:rPr>
          <w:rFonts w:asciiTheme="majorHAnsi" w:hAnsiTheme="majorHAnsi"/>
        </w:rPr>
        <w:sectPr w:rsidR="006658A2" w:rsidSect="0047161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3ABBC89" w14:textId="3E4F0B83" w:rsidR="00A123F4" w:rsidRDefault="006658A2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Neonatal and pediatric care of the puppy and kitten Theriogeniology 2008</w:t>
      </w:r>
    </w:p>
    <w:p w14:paraId="61636CBA" w14:textId="77777777" w:rsidR="006658A2" w:rsidRDefault="006658A2" w:rsidP="001E0C84">
      <w:pPr>
        <w:ind w:left="720"/>
        <w:rPr>
          <w:rFonts w:asciiTheme="majorHAnsi" w:hAnsiTheme="majorHAnsi"/>
        </w:rPr>
      </w:pPr>
    </w:p>
    <w:p w14:paraId="797988A9" w14:textId="77777777" w:rsidR="006658A2" w:rsidRDefault="006658A2" w:rsidP="001E0C84">
      <w:pPr>
        <w:ind w:left="720"/>
        <w:rPr>
          <w:rFonts w:asciiTheme="majorHAnsi" w:hAnsiTheme="majorHAnsi"/>
        </w:rPr>
      </w:pPr>
    </w:p>
    <w:p w14:paraId="2110E2AD" w14:textId="40390599" w:rsidR="006658A2" w:rsidRDefault="006658A2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Expected mortality should not exceed 12-15% of full-term births by the time of weaning</w:t>
      </w:r>
    </w:p>
    <w:p w14:paraId="1FD4C291" w14:textId="48F45C0D" w:rsidR="006658A2" w:rsidRDefault="006658A2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Stillbirths should be &lt;30% of full-term puppies that do not survive to weaning.</w:t>
      </w:r>
    </w:p>
    <w:p w14:paraId="617C278D" w14:textId="3BCFB889" w:rsidR="006658A2" w:rsidRDefault="006658A2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High percentage of neonatal mortalities have combos of pulmonary congestion, edema, hemorrhage, atelectasis.</w:t>
      </w:r>
    </w:p>
    <w:p w14:paraId="2AE7333E" w14:textId="21411BAE" w:rsidR="006658A2" w:rsidRDefault="006658A2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Factors that influence transition to final common death trajectory: weight, colostrum, hypoxia and acidosis, temperature, hypoglycemia, hydration, feeding support.</w:t>
      </w:r>
    </w:p>
    <w:p w14:paraId="1D60AFB3" w14:textId="77777777" w:rsidR="006658A2" w:rsidRDefault="006658A2" w:rsidP="001E0C84">
      <w:pPr>
        <w:ind w:left="720"/>
        <w:rPr>
          <w:rFonts w:asciiTheme="majorHAnsi" w:hAnsiTheme="majorHAnsi"/>
        </w:rPr>
      </w:pPr>
    </w:p>
    <w:p w14:paraId="59CF97C9" w14:textId="40956DB7" w:rsidR="006658A2" w:rsidRDefault="006658A2" w:rsidP="001E0C84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Weight </w:t>
      </w:r>
    </w:p>
    <w:p w14:paraId="3F9EE1B8" w14:textId="17F548ED" w:rsidR="006658A2" w:rsidRDefault="006658A2" w:rsidP="006658A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Birth weight is important survival determinant</w:t>
      </w:r>
    </w:p>
    <w:p w14:paraId="143D8A74" w14:textId="59F16A17" w:rsidR="006658A2" w:rsidRDefault="006658A2" w:rsidP="006658A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Low birth weight is accompanied by immature physiological processes that can lead to extrauterine adaptive failure (assoc with inadequate lung surfactant)</w:t>
      </w:r>
    </w:p>
    <w:p w14:paraId="555C889A" w14:textId="136B930D" w:rsidR="006658A2" w:rsidRDefault="006658A2" w:rsidP="006658A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Factors affecting weight – parental health and age, placental sufficiency, litter size, placental sufficiency, gestational nutrition, infections, environment.</w:t>
      </w:r>
    </w:p>
    <w:p w14:paraId="3F4D4C0E" w14:textId="72C07DF1" w:rsidR="006658A2" w:rsidRDefault="006658A2" w:rsidP="006658A2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Colostrum</w:t>
      </w:r>
    </w:p>
    <w:p w14:paraId="20F504A9" w14:textId="1E2727FB" w:rsidR="006658A2" w:rsidRDefault="00AB3A53" w:rsidP="006658A2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Serum alkaline phosphatase and GGT is increased in puppies who ingested colostrum</w:t>
      </w:r>
    </w:p>
    <w:p w14:paraId="5F358459" w14:textId="1B1D64E2" w:rsidR="00AB3A53" w:rsidRDefault="00AB3A53" w:rsidP="00AB3A53">
      <w:pPr>
        <w:ind w:left="720"/>
        <w:rPr>
          <w:rFonts w:asciiTheme="majorHAnsi" w:hAnsiTheme="majorHAnsi"/>
        </w:rPr>
      </w:pPr>
      <w:r>
        <w:rPr>
          <w:rFonts w:asciiTheme="majorHAnsi" w:hAnsiTheme="majorHAnsi"/>
        </w:rPr>
        <w:t>Hypoxia and acidosis</w:t>
      </w:r>
    </w:p>
    <w:p w14:paraId="23234511" w14:textId="0240D97A" w:rsidR="00AB3A53" w:rsidRDefault="00AB3A53" w:rsidP="00AB3A5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Hypoxic puppies may not show hyperventilation stage.</w:t>
      </w:r>
    </w:p>
    <w:p w14:paraId="51B4056C" w14:textId="2B09ABE7" w:rsidR="00AB3A53" w:rsidRPr="00A65125" w:rsidRDefault="00AB3A53" w:rsidP="00AB3A53">
      <w:pPr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Combined respiratory and metabolic acidosis is a normal event following canine and feline birth. Spontaneous recovery occurs over 2-3 hours.</w:t>
      </w:r>
      <w:bookmarkStart w:id="0" w:name="_GoBack"/>
      <w:bookmarkEnd w:id="0"/>
    </w:p>
    <w:sectPr w:rsidR="00AB3A53" w:rsidRPr="00A65125" w:rsidSect="004716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01ED"/>
    <w:multiLevelType w:val="hybridMultilevel"/>
    <w:tmpl w:val="E552F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56069"/>
    <w:multiLevelType w:val="hybridMultilevel"/>
    <w:tmpl w:val="D186793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1E504D"/>
    <w:multiLevelType w:val="hybridMultilevel"/>
    <w:tmpl w:val="9C4A5C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BE0B57"/>
    <w:multiLevelType w:val="hybridMultilevel"/>
    <w:tmpl w:val="4D8EC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7D46C5"/>
    <w:multiLevelType w:val="hybridMultilevel"/>
    <w:tmpl w:val="7E18E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DF9"/>
    <w:rsid w:val="001E0C84"/>
    <w:rsid w:val="002914CA"/>
    <w:rsid w:val="0047161A"/>
    <w:rsid w:val="0059192C"/>
    <w:rsid w:val="006658A2"/>
    <w:rsid w:val="008F05A2"/>
    <w:rsid w:val="00A123F4"/>
    <w:rsid w:val="00A65125"/>
    <w:rsid w:val="00AB3A53"/>
    <w:rsid w:val="00D3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B91DC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C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905</Words>
  <Characters>5162</Characters>
  <Application>Microsoft Macintosh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2014-05-28T01:57:00Z</dcterms:created>
  <dcterms:modified xsi:type="dcterms:W3CDTF">2014-06-03T19:54:00Z</dcterms:modified>
</cp:coreProperties>
</file>