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7E" w:rsidRDefault="00F51058" w:rsidP="00F51058">
      <w:pPr>
        <w:jc w:val="center"/>
      </w:pPr>
      <w:r>
        <w:rPr>
          <w:noProof/>
          <w:lang w:eastAsia="en-CA"/>
        </w:rPr>
        <w:drawing>
          <wp:inline distT="0" distB="0" distL="0" distR="0">
            <wp:extent cx="4667250" cy="1002730"/>
            <wp:effectExtent l="19050" t="0" r="0" b="0"/>
            <wp:docPr id="2" name="Picture 1" descr="ne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j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431" cy="100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058" w:rsidRPr="00F51058" w:rsidRDefault="00F51058" w:rsidP="00F51058">
      <w:pPr>
        <w:spacing w:after="0"/>
        <w:jc w:val="center"/>
        <w:rPr>
          <w:b/>
          <w:sz w:val="28"/>
          <w:szCs w:val="28"/>
        </w:rPr>
      </w:pPr>
      <w:r w:rsidRPr="00F51058">
        <w:rPr>
          <w:b/>
          <w:sz w:val="28"/>
          <w:szCs w:val="28"/>
        </w:rPr>
        <w:t xml:space="preserve">A Trial of </w:t>
      </w:r>
      <w:proofErr w:type="spellStart"/>
      <w:r w:rsidRPr="00F51058">
        <w:rPr>
          <w:b/>
          <w:sz w:val="28"/>
          <w:szCs w:val="28"/>
        </w:rPr>
        <w:t>Intraoperative</w:t>
      </w:r>
      <w:proofErr w:type="spellEnd"/>
      <w:r w:rsidRPr="00F51058">
        <w:rPr>
          <w:b/>
          <w:sz w:val="28"/>
          <w:szCs w:val="28"/>
        </w:rPr>
        <w:t xml:space="preserve"> Low-Tidal-Volume</w:t>
      </w:r>
      <w:r w:rsidRPr="00F51058">
        <w:rPr>
          <w:b/>
          <w:sz w:val="28"/>
          <w:szCs w:val="28"/>
        </w:rPr>
        <w:t xml:space="preserve"> </w:t>
      </w:r>
      <w:r w:rsidRPr="00F51058">
        <w:rPr>
          <w:b/>
          <w:sz w:val="28"/>
          <w:szCs w:val="28"/>
        </w:rPr>
        <w:t>Ventilation in Abdominal Surgery</w:t>
      </w:r>
    </w:p>
    <w:p w:rsidR="00F51058" w:rsidRPr="00C91013" w:rsidRDefault="00F51058" w:rsidP="00F51058">
      <w:pPr>
        <w:spacing w:after="0"/>
        <w:jc w:val="center"/>
        <w:rPr>
          <w:sz w:val="20"/>
          <w:szCs w:val="20"/>
        </w:rPr>
      </w:pPr>
      <w:r w:rsidRPr="00C91013">
        <w:rPr>
          <w:sz w:val="20"/>
          <w:szCs w:val="20"/>
        </w:rPr>
        <w:t xml:space="preserve">Emmanuel </w:t>
      </w:r>
      <w:proofErr w:type="spellStart"/>
      <w:r w:rsidRPr="00C91013">
        <w:rPr>
          <w:sz w:val="20"/>
          <w:szCs w:val="20"/>
        </w:rPr>
        <w:t>Futier</w:t>
      </w:r>
      <w:proofErr w:type="spellEnd"/>
      <w:r w:rsidRPr="00C91013">
        <w:rPr>
          <w:sz w:val="20"/>
          <w:szCs w:val="20"/>
        </w:rPr>
        <w:t>, M.D.,</w:t>
      </w:r>
      <w:r w:rsidRPr="00C91013">
        <w:rPr>
          <w:sz w:val="20"/>
          <w:szCs w:val="20"/>
        </w:rPr>
        <w:t xml:space="preserve"> et al</w:t>
      </w:r>
    </w:p>
    <w:p w:rsidR="00F51058" w:rsidRPr="00C91013" w:rsidRDefault="00F51058" w:rsidP="00F51058">
      <w:pPr>
        <w:spacing w:after="0"/>
        <w:rPr>
          <w:sz w:val="20"/>
          <w:szCs w:val="20"/>
          <w:u w:val="single"/>
        </w:rPr>
      </w:pPr>
      <w:r w:rsidRPr="00C91013">
        <w:rPr>
          <w:sz w:val="20"/>
          <w:szCs w:val="20"/>
          <w:u w:val="single"/>
        </w:rPr>
        <w:t>BACKGROUND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  <w:r w:rsidRPr="00C91013">
        <w:rPr>
          <w:sz w:val="20"/>
          <w:szCs w:val="20"/>
        </w:rPr>
        <w:t>Lung-protective ventilation with the use of low tidal volumes and positive end</w:t>
      </w:r>
      <w:r w:rsidRPr="00C91013">
        <w:rPr>
          <w:sz w:val="20"/>
          <w:szCs w:val="20"/>
        </w:rPr>
        <w:t>-</w:t>
      </w:r>
      <w:r w:rsidRPr="00C91013">
        <w:rPr>
          <w:sz w:val="20"/>
          <w:szCs w:val="20"/>
        </w:rPr>
        <w:t>expiratory pressure is considered best practice in the care of many critically ill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patients. However, its role in anesthetized patients undergoing major surgery is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not known.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</w:p>
    <w:p w:rsidR="00F51058" w:rsidRPr="00C91013" w:rsidRDefault="00F51058" w:rsidP="00F51058">
      <w:pPr>
        <w:spacing w:after="0"/>
        <w:rPr>
          <w:sz w:val="20"/>
          <w:szCs w:val="20"/>
          <w:u w:val="single"/>
        </w:rPr>
      </w:pPr>
      <w:r w:rsidRPr="00C91013">
        <w:rPr>
          <w:sz w:val="20"/>
          <w:szCs w:val="20"/>
          <w:u w:val="single"/>
        </w:rPr>
        <w:t>METHODS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  <w:r w:rsidRPr="00C91013">
        <w:rPr>
          <w:sz w:val="20"/>
          <w:szCs w:val="20"/>
        </w:rPr>
        <w:t>In this multicenter, double-blind, parallel-group trial, we randomly assigned 400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adults at intermediate to high risk of pulmonary complications after major abdominal surgery to either </w:t>
      </w:r>
      <w:proofErr w:type="spellStart"/>
      <w:r w:rsidRPr="00C91013">
        <w:rPr>
          <w:sz w:val="20"/>
          <w:szCs w:val="20"/>
        </w:rPr>
        <w:t>nonprotective</w:t>
      </w:r>
      <w:proofErr w:type="spellEnd"/>
      <w:r w:rsidRPr="00C91013">
        <w:rPr>
          <w:sz w:val="20"/>
          <w:szCs w:val="20"/>
        </w:rPr>
        <w:t xml:space="preserve"> mechanical ventilation or a strategy of</w:t>
      </w:r>
      <w:r w:rsid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lung-protective ventilation. The primary outcome was a composite of major pulmonary and </w:t>
      </w:r>
      <w:proofErr w:type="spellStart"/>
      <w:r w:rsidRPr="00C91013">
        <w:rPr>
          <w:sz w:val="20"/>
          <w:szCs w:val="20"/>
        </w:rPr>
        <w:t>extrapulmonary</w:t>
      </w:r>
      <w:proofErr w:type="spellEnd"/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c</w:t>
      </w:r>
      <w:r w:rsidRPr="00C91013">
        <w:rPr>
          <w:sz w:val="20"/>
          <w:szCs w:val="20"/>
        </w:rPr>
        <w:t>omplications occurring within the first 7 days after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surgery.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</w:p>
    <w:p w:rsidR="00F51058" w:rsidRPr="00C91013" w:rsidRDefault="00F51058" w:rsidP="00F51058">
      <w:pPr>
        <w:spacing w:after="0"/>
        <w:rPr>
          <w:sz w:val="20"/>
          <w:szCs w:val="20"/>
          <w:u w:val="single"/>
        </w:rPr>
      </w:pPr>
      <w:r w:rsidRPr="00C91013">
        <w:rPr>
          <w:sz w:val="20"/>
          <w:szCs w:val="20"/>
          <w:u w:val="single"/>
        </w:rPr>
        <w:t>RESULTS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  <w:r w:rsidRPr="00C91013">
        <w:rPr>
          <w:sz w:val="20"/>
          <w:szCs w:val="20"/>
        </w:rPr>
        <w:t>The two intervention groups had similar characteristics at baseline. In the intention-to-treat analysis, the primary outcome occurred in 21 of 200 patients (10.5%)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assigned to lung-protective ventilation, as compared with 55 of 200 (27.5%) assigned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to </w:t>
      </w:r>
      <w:proofErr w:type="spellStart"/>
      <w:r w:rsidRPr="00C91013">
        <w:rPr>
          <w:sz w:val="20"/>
          <w:szCs w:val="20"/>
        </w:rPr>
        <w:t>nonprotective</w:t>
      </w:r>
      <w:proofErr w:type="spellEnd"/>
      <w:r w:rsidRPr="00C91013">
        <w:rPr>
          <w:sz w:val="20"/>
          <w:szCs w:val="20"/>
        </w:rPr>
        <w:t xml:space="preserve"> ventilation (relative risk, 0.40; 95% confidence interval [CI], 0.24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to 0.68; P=0.001). Over the 7-day postoperative period, 10 patients (5.0%) assigned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to lung-protective ventilation required </w:t>
      </w:r>
      <w:proofErr w:type="spellStart"/>
      <w:r w:rsidRPr="00C91013">
        <w:rPr>
          <w:sz w:val="20"/>
          <w:szCs w:val="20"/>
        </w:rPr>
        <w:t>noninvasive</w:t>
      </w:r>
      <w:proofErr w:type="spellEnd"/>
      <w:r w:rsidRPr="00C91013">
        <w:rPr>
          <w:sz w:val="20"/>
          <w:szCs w:val="20"/>
        </w:rPr>
        <w:t xml:space="preserve"> ventilation or intubation for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acute respiratory failure, as compared with 34 (17.0%) assigned to </w:t>
      </w:r>
      <w:proofErr w:type="spellStart"/>
      <w:r w:rsidRPr="00C91013">
        <w:rPr>
          <w:sz w:val="20"/>
          <w:szCs w:val="20"/>
        </w:rPr>
        <w:t>nonprotective</w:t>
      </w:r>
      <w:proofErr w:type="spellEnd"/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ventilation (relative risk, 0.29; 95% CI, 0.14 to 0.61; P=0.001). The length of the hospital stay was shorter among patients receiving lung-protective ventilation than among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 xml:space="preserve">those receiving </w:t>
      </w:r>
      <w:proofErr w:type="spellStart"/>
      <w:r w:rsidRPr="00C91013">
        <w:rPr>
          <w:sz w:val="20"/>
          <w:szCs w:val="20"/>
        </w:rPr>
        <w:t>nonprotective</w:t>
      </w:r>
      <w:proofErr w:type="spellEnd"/>
      <w:r w:rsidRPr="00C91013">
        <w:rPr>
          <w:sz w:val="20"/>
          <w:szCs w:val="20"/>
        </w:rPr>
        <w:t xml:space="preserve"> ventilation (mean difference, −2.45 days; 95% CI,</w:t>
      </w:r>
      <w:r w:rsid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−4.17 to −0.72; P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=0.006).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</w:p>
    <w:p w:rsidR="00F51058" w:rsidRPr="00C91013" w:rsidRDefault="00F51058" w:rsidP="00F51058">
      <w:pPr>
        <w:spacing w:after="0"/>
        <w:rPr>
          <w:sz w:val="20"/>
          <w:szCs w:val="20"/>
          <w:u w:val="single"/>
        </w:rPr>
      </w:pPr>
      <w:r w:rsidRPr="00C91013">
        <w:rPr>
          <w:sz w:val="20"/>
          <w:szCs w:val="20"/>
          <w:u w:val="single"/>
        </w:rPr>
        <w:t>CONCLUSIONS</w:t>
      </w:r>
    </w:p>
    <w:p w:rsidR="00F51058" w:rsidRPr="00C91013" w:rsidRDefault="00F51058" w:rsidP="00F51058">
      <w:pPr>
        <w:spacing w:after="0"/>
        <w:rPr>
          <w:sz w:val="20"/>
          <w:szCs w:val="20"/>
        </w:rPr>
      </w:pPr>
      <w:r w:rsidRPr="00C91013">
        <w:rPr>
          <w:sz w:val="20"/>
          <w:szCs w:val="20"/>
        </w:rPr>
        <w:t xml:space="preserve">As compared with a practice of </w:t>
      </w:r>
      <w:proofErr w:type="spellStart"/>
      <w:r w:rsidRPr="00C91013">
        <w:rPr>
          <w:sz w:val="20"/>
          <w:szCs w:val="20"/>
        </w:rPr>
        <w:t>nonprotective</w:t>
      </w:r>
      <w:proofErr w:type="spellEnd"/>
      <w:r w:rsidRPr="00C91013">
        <w:rPr>
          <w:sz w:val="20"/>
          <w:szCs w:val="20"/>
        </w:rPr>
        <w:t xml:space="preserve"> mechanical ventilation, the use of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a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lung-protective ventilation strategy in intermediate-risk and high-risk patients</w:t>
      </w:r>
      <w:r w:rsidRPr="00C91013">
        <w:rPr>
          <w:sz w:val="20"/>
          <w:szCs w:val="20"/>
        </w:rPr>
        <w:t xml:space="preserve"> </w:t>
      </w:r>
      <w:r w:rsidRPr="00C91013">
        <w:rPr>
          <w:sz w:val="20"/>
          <w:szCs w:val="20"/>
        </w:rPr>
        <w:t>undergoing major abdominal surgery was associated with improved clinical outcomes and reduced health care utilization.</w:t>
      </w:r>
    </w:p>
    <w:p w:rsidR="00F51058" w:rsidRDefault="00F51058" w:rsidP="00F51058">
      <w:pPr>
        <w:spacing w:after="0"/>
      </w:pPr>
    </w:p>
    <w:p w:rsidR="00F51058" w:rsidRPr="00C91013" w:rsidRDefault="00F51058" w:rsidP="00F51058">
      <w:pPr>
        <w:spacing w:after="0"/>
        <w:rPr>
          <w:u w:val="single"/>
        </w:rPr>
      </w:pPr>
      <w:r w:rsidRPr="00C91013">
        <w:rPr>
          <w:u w:val="single"/>
        </w:rPr>
        <w:t>IMPORTANT POINTS</w:t>
      </w:r>
    </w:p>
    <w:p w:rsidR="00F51058" w:rsidRDefault="00887ACA" w:rsidP="00887ACA">
      <w:pPr>
        <w:pStyle w:val="ListParagraph"/>
        <w:numPr>
          <w:ilvl w:val="0"/>
          <w:numId w:val="1"/>
        </w:numPr>
        <w:spacing w:after="0"/>
      </w:pPr>
      <w:r>
        <w:t xml:space="preserve">Compared 6-8mL/kg TV (ideal BW) with 6-8mmHg PEEP and 30 second recruitment maneuver every 30 minutes to 10-12 </w:t>
      </w:r>
      <w:proofErr w:type="spellStart"/>
      <w:r>
        <w:t>mL</w:t>
      </w:r>
      <w:proofErr w:type="spellEnd"/>
      <w:r>
        <w:t xml:space="preserve">/kg TV with no PEEP and no recruitment </w:t>
      </w:r>
      <w:r w:rsidR="00AC2072">
        <w:t>manoeuvres</w:t>
      </w:r>
    </w:p>
    <w:p w:rsidR="00887ACA" w:rsidRDefault="00887ACA" w:rsidP="00887ACA">
      <w:pPr>
        <w:pStyle w:val="ListParagraph"/>
        <w:numPr>
          <w:ilvl w:val="0"/>
          <w:numId w:val="1"/>
        </w:numPr>
        <w:spacing w:after="0"/>
      </w:pPr>
      <w:r>
        <w:t>Patients were intermediate risk for pulmonary complications post-op</w:t>
      </w:r>
    </w:p>
    <w:p w:rsidR="00887ACA" w:rsidRDefault="00887ACA" w:rsidP="00887ACA">
      <w:pPr>
        <w:pStyle w:val="ListParagraph"/>
        <w:numPr>
          <w:ilvl w:val="0"/>
          <w:numId w:val="1"/>
        </w:numPr>
        <w:spacing w:after="0"/>
      </w:pPr>
      <w:r>
        <w:t xml:space="preserve">Protective shows major improvement of primary outcome, major pulmonary and </w:t>
      </w:r>
      <w:proofErr w:type="spellStart"/>
      <w:r>
        <w:t>extrapulmonary</w:t>
      </w:r>
      <w:proofErr w:type="spellEnd"/>
      <w:r>
        <w:t xml:space="preserve"> complications 7d post op</w:t>
      </w:r>
    </w:p>
    <w:p w:rsidR="00C91013" w:rsidRDefault="00C91013" w:rsidP="00C91013">
      <w:pPr>
        <w:pStyle w:val="ListParagraph"/>
        <w:spacing w:after="0"/>
      </w:pPr>
    </w:p>
    <w:p w:rsidR="00887ACA" w:rsidRPr="00AC2072" w:rsidRDefault="00AC2072" w:rsidP="00887ACA">
      <w:pPr>
        <w:spacing w:after="0"/>
        <w:rPr>
          <w:u w:val="single"/>
        </w:rPr>
      </w:pPr>
      <w:r w:rsidRPr="00AC2072">
        <w:rPr>
          <w:u w:val="single"/>
        </w:rPr>
        <w:t>QUESTION</w:t>
      </w:r>
    </w:p>
    <w:p w:rsidR="00AC2072" w:rsidRDefault="00C91013" w:rsidP="00887ACA">
      <w:pPr>
        <w:spacing w:after="0"/>
      </w:pPr>
      <w:r>
        <w:t>1)</w:t>
      </w:r>
      <w:r w:rsidR="00AC2072">
        <w:t xml:space="preserve"> Lung recruitment manoeuvres:</w:t>
      </w:r>
    </w:p>
    <w:p w:rsidR="00C91013" w:rsidRDefault="00AC2072" w:rsidP="00887ACA">
      <w:pPr>
        <w:spacing w:after="0"/>
      </w:pPr>
      <w:r>
        <w:tab/>
      </w:r>
      <w:proofErr w:type="gramStart"/>
      <w:r>
        <w:t>a.  Are</w:t>
      </w:r>
      <w:proofErr w:type="gramEnd"/>
      <w:r>
        <w:t xml:space="preserve"> transient increases in </w:t>
      </w:r>
      <w:proofErr w:type="spellStart"/>
      <w:r>
        <w:t>transpulmonary</w:t>
      </w:r>
      <w:proofErr w:type="spellEnd"/>
      <w:r>
        <w:t xml:space="preserve"> pressure designed to open up collapsed, airless alveoli</w:t>
      </w:r>
    </w:p>
    <w:p w:rsidR="00AC2072" w:rsidRDefault="00AC2072" w:rsidP="00887ACA">
      <w:pPr>
        <w:spacing w:after="0"/>
      </w:pPr>
      <w:r>
        <w:tab/>
        <w:t>b. Increase preload and therefore cardiac output</w:t>
      </w:r>
    </w:p>
    <w:p w:rsidR="00AC2072" w:rsidRDefault="00AC2072" w:rsidP="00887ACA">
      <w:pPr>
        <w:spacing w:after="0"/>
      </w:pPr>
      <w:r>
        <w:tab/>
        <w:t xml:space="preserve">c. Counteract </w:t>
      </w:r>
      <w:proofErr w:type="spellStart"/>
      <w:r>
        <w:t>volutrauma</w:t>
      </w:r>
      <w:proofErr w:type="spellEnd"/>
    </w:p>
    <w:p w:rsidR="00AC2072" w:rsidRDefault="00AC2072" w:rsidP="00887ACA">
      <w:pPr>
        <w:spacing w:after="0"/>
      </w:pPr>
      <w:r>
        <w:tab/>
        <w:t>d. Can be done with patients awake</w:t>
      </w:r>
    </w:p>
    <w:p w:rsidR="00AC2072" w:rsidRDefault="00AC2072" w:rsidP="00887ACA">
      <w:pPr>
        <w:spacing w:after="0"/>
      </w:pPr>
    </w:p>
    <w:p w:rsidR="00AC2072" w:rsidRDefault="00AC2072" w:rsidP="00887ACA">
      <w:pPr>
        <w:spacing w:after="0"/>
      </w:pPr>
    </w:p>
    <w:p w:rsidR="00F51058" w:rsidRDefault="00F51058" w:rsidP="00F51058">
      <w:pPr>
        <w:jc w:val="center"/>
      </w:pPr>
    </w:p>
    <w:p w:rsidR="00AC2072" w:rsidRDefault="00AC2072" w:rsidP="00AC2072">
      <w:pPr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4667250" cy="1002730"/>
            <wp:effectExtent l="19050" t="0" r="0" b="0"/>
            <wp:docPr id="3" name="Picture 1" descr="ne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j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431" cy="100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72" w:rsidRPr="00EA6020" w:rsidRDefault="00AC2072" w:rsidP="00AC2072">
      <w:pPr>
        <w:autoSpaceDE w:val="0"/>
        <w:autoSpaceDN w:val="0"/>
        <w:adjustRightInd w:val="0"/>
        <w:spacing w:after="0" w:line="240" w:lineRule="auto"/>
        <w:jc w:val="center"/>
        <w:rPr>
          <w:rFonts w:cs="OTNEJMQuadraat"/>
          <w:b/>
          <w:sz w:val="28"/>
          <w:szCs w:val="28"/>
        </w:rPr>
      </w:pPr>
      <w:r w:rsidRPr="00EA6020">
        <w:rPr>
          <w:rFonts w:cs="OTNEJMQuadraat"/>
          <w:b/>
          <w:sz w:val="28"/>
          <w:szCs w:val="28"/>
        </w:rPr>
        <w:t>Long-Term Cognitive Impairment after Critical Illness</w:t>
      </w:r>
    </w:p>
    <w:p w:rsidR="00AC2072" w:rsidRPr="00EA6020" w:rsidRDefault="00AC2072" w:rsidP="00AC2072">
      <w:pPr>
        <w:jc w:val="center"/>
        <w:rPr>
          <w:rFonts w:cs="OTNEJMScalaSansLF"/>
          <w:sz w:val="20"/>
          <w:szCs w:val="20"/>
        </w:rPr>
      </w:pPr>
      <w:r w:rsidRPr="00EA6020">
        <w:rPr>
          <w:rFonts w:cs="OTNEJMScalaSansLF"/>
          <w:sz w:val="20"/>
          <w:szCs w:val="20"/>
        </w:rPr>
        <w:t xml:space="preserve">P.P. </w:t>
      </w:r>
      <w:proofErr w:type="spellStart"/>
      <w:r w:rsidRPr="00EA6020">
        <w:rPr>
          <w:rFonts w:cs="OTNEJMScalaSansLF"/>
          <w:sz w:val="20"/>
          <w:szCs w:val="20"/>
        </w:rPr>
        <w:t>Pandharipande</w:t>
      </w:r>
      <w:proofErr w:type="spellEnd"/>
      <w:r w:rsidR="00EA6020" w:rsidRPr="00EA6020">
        <w:rPr>
          <w:rFonts w:cs="OTNEJMScalaSansLF"/>
          <w:sz w:val="20"/>
          <w:szCs w:val="20"/>
        </w:rPr>
        <w:t>, et al</w:t>
      </w:r>
    </w:p>
    <w:p w:rsidR="00EA6020" w:rsidRPr="00EA6020" w:rsidRDefault="00EA6020" w:rsidP="00EA6020">
      <w:pPr>
        <w:spacing w:after="0"/>
        <w:rPr>
          <w:sz w:val="20"/>
          <w:szCs w:val="20"/>
          <w:u w:val="single"/>
        </w:rPr>
      </w:pPr>
      <w:r w:rsidRPr="00EA6020">
        <w:rPr>
          <w:sz w:val="20"/>
          <w:szCs w:val="20"/>
          <w:u w:val="single"/>
        </w:rPr>
        <w:t>BACKGROUND</w:t>
      </w:r>
    </w:p>
    <w:p w:rsidR="00EA6020" w:rsidRPr="00EA6020" w:rsidRDefault="00EA6020" w:rsidP="00EA6020">
      <w:pPr>
        <w:spacing w:after="0"/>
        <w:rPr>
          <w:sz w:val="18"/>
          <w:szCs w:val="18"/>
        </w:rPr>
      </w:pPr>
      <w:r w:rsidRPr="00EA6020">
        <w:rPr>
          <w:sz w:val="18"/>
          <w:szCs w:val="18"/>
        </w:rPr>
        <w:t>Survivors of critical illness often have a prolonged and disabling form of cognitive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impairment that remains inadequately characterized.</w:t>
      </w:r>
    </w:p>
    <w:p w:rsidR="00EA6020" w:rsidRPr="00EA6020" w:rsidRDefault="00EA6020" w:rsidP="00EA6020">
      <w:pPr>
        <w:spacing w:after="0"/>
        <w:rPr>
          <w:sz w:val="20"/>
          <w:szCs w:val="20"/>
        </w:rPr>
      </w:pPr>
    </w:p>
    <w:p w:rsidR="00EA6020" w:rsidRPr="00EA6020" w:rsidRDefault="00EA6020" w:rsidP="00EA6020">
      <w:pPr>
        <w:spacing w:after="0"/>
        <w:rPr>
          <w:sz w:val="20"/>
          <w:szCs w:val="20"/>
          <w:u w:val="single"/>
        </w:rPr>
      </w:pPr>
      <w:r w:rsidRPr="00EA6020">
        <w:rPr>
          <w:sz w:val="20"/>
          <w:szCs w:val="20"/>
          <w:u w:val="single"/>
        </w:rPr>
        <w:t>METHODS</w:t>
      </w:r>
    </w:p>
    <w:p w:rsidR="00EA6020" w:rsidRPr="00EA6020" w:rsidRDefault="00EA6020" w:rsidP="00EA6020">
      <w:pPr>
        <w:spacing w:after="0"/>
        <w:rPr>
          <w:sz w:val="18"/>
          <w:szCs w:val="18"/>
        </w:rPr>
      </w:pPr>
      <w:r w:rsidRPr="00EA6020">
        <w:rPr>
          <w:sz w:val="18"/>
          <w:szCs w:val="18"/>
        </w:rPr>
        <w:t>We enrolled adults with respiratory failure or shock in the medical or surgical intensive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care unit (ICU), evaluated them for in-hospital delirium, and assessed global cognition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and executive function 3 and 12 months after discharge with the use of the Repeatable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Battery for the Assessment of Neuropsychological Status (population age-adjusted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mean [±SD] score, 100±15, with lower values indicating worse global cognition) and the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Trail Making Test, Part B (population age-, sex-, and education-adjusted mean score,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50±10, with lower scores indicating worse executive function). Associations of the duration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of delirium and the use of sedative or analgesic agents with the outcomes were</w:t>
      </w:r>
      <w:r w:rsidRPr="00EA6020">
        <w:rPr>
          <w:sz w:val="18"/>
          <w:szCs w:val="18"/>
        </w:rPr>
        <w:t xml:space="preserve"> </w:t>
      </w:r>
      <w:r w:rsidRPr="00EA6020">
        <w:rPr>
          <w:sz w:val="18"/>
          <w:szCs w:val="18"/>
        </w:rPr>
        <w:t>assessed with the use of linear regression, with adjustment for potential confounders.</w:t>
      </w:r>
    </w:p>
    <w:p w:rsidR="00EA6020" w:rsidRDefault="00EA6020" w:rsidP="00EA6020">
      <w:pPr>
        <w:spacing w:after="0"/>
        <w:rPr>
          <w:sz w:val="20"/>
          <w:szCs w:val="20"/>
        </w:rPr>
      </w:pPr>
    </w:p>
    <w:p w:rsidR="00EA6020" w:rsidRPr="00EA6020" w:rsidRDefault="00EA6020" w:rsidP="00EA6020">
      <w:pPr>
        <w:spacing w:after="0"/>
        <w:rPr>
          <w:sz w:val="20"/>
          <w:szCs w:val="20"/>
          <w:u w:val="single"/>
        </w:rPr>
      </w:pPr>
      <w:r w:rsidRPr="00EA6020">
        <w:rPr>
          <w:sz w:val="20"/>
          <w:szCs w:val="20"/>
          <w:u w:val="single"/>
        </w:rPr>
        <w:t>RESULTS</w:t>
      </w:r>
    </w:p>
    <w:p w:rsidR="00EA6020" w:rsidRDefault="00EA6020" w:rsidP="00EA6020">
      <w:p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Of the 821 patients enrolled, 6% had cognitive impairment at baseline, and delirium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developed in 74% during the hospital stay. At 3 months, 40% of the patients had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global cognition scores that were 1.5 SD below the population means (similar to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scores for patients with moderate traumatic brain injury), and 26% had scores 2 SD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below the population means (similar to scores for patients with mild Alzheimer’s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disease). Deficits occurred in both older and younger patients and persisted, with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34% and 24% of all patients with assessments at 12 months that were similar to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 xml:space="preserve">scores for patients with moderate </w:t>
      </w:r>
      <w:r>
        <w:rPr>
          <w:sz w:val="20"/>
          <w:szCs w:val="20"/>
        </w:rPr>
        <w:t>TBI</w:t>
      </w:r>
      <w:r w:rsidRPr="00EA6020">
        <w:rPr>
          <w:sz w:val="20"/>
          <w:szCs w:val="20"/>
        </w:rPr>
        <w:t xml:space="preserve"> and scores for patients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with mild Alzheimer’s disease, respectively. A longer duration of delirium was independently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associated with worse global cognition at 3 and 12 months (P = 0.001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and P = 0.04, respectively) and worse executive function at 3 and 12 months (P = 0.004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and P = 0.007, respectively). Use of sedative or analgesic medications was not consistently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associated with cognitive impairment at 3 and 12 months.</w:t>
      </w:r>
    </w:p>
    <w:p w:rsidR="00EA6020" w:rsidRPr="00EA6020" w:rsidRDefault="00EA6020" w:rsidP="00EA6020">
      <w:pPr>
        <w:spacing w:after="0"/>
        <w:rPr>
          <w:sz w:val="20"/>
          <w:szCs w:val="20"/>
        </w:rPr>
      </w:pPr>
    </w:p>
    <w:p w:rsidR="00EA6020" w:rsidRPr="00EA6020" w:rsidRDefault="00EA6020" w:rsidP="00EA6020">
      <w:pPr>
        <w:spacing w:after="0"/>
        <w:rPr>
          <w:sz w:val="20"/>
          <w:szCs w:val="20"/>
          <w:u w:val="single"/>
        </w:rPr>
      </w:pPr>
      <w:r w:rsidRPr="00EA6020">
        <w:rPr>
          <w:sz w:val="20"/>
          <w:szCs w:val="20"/>
          <w:u w:val="single"/>
        </w:rPr>
        <w:t>CONCLUSIONS</w:t>
      </w:r>
    </w:p>
    <w:p w:rsidR="00EA6020" w:rsidRDefault="00EA6020" w:rsidP="00EA6020">
      <w:p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Patients in medical and surgical ICUs are at high risk for long-term cognitive impairment.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A longer duration of delirium in the hospital was associated with worse global</w:t>
      </w:r>
      <w:r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cognition and executive function scores at 3 and 12 months.</w:t>
      </w:r>
    </w:p>
    <w:p w:rsidR="00EA6020" w:rsidRDefault="00EA6020" w:rsidP="00EA6020">
      <w:pPr>
        <w:spacing w:after="0"/>
        <w:rPr>
          <w:sz w:val="20"/>
          <w:szCs w:val="20"/>
        </w:rPr>
      </w:pPr>
    </w:p>
    <w:p w:rsidR="00EA6020" w:rsidRPr="00EA6020" w:rsidRDefault="00EA6020" w:rsidP="00EA6020">
      <w:pPr>
        <w:spacing w:after="0"/>
        <w:rPr>
          <w:sz w:val="20"/>
          <w:szCs w:val="20"/>
          <w:u w:val="single"/>
        </w:rPr>
      </w:pPr>
      <w:r w:rsidRPr="00EA6020">
        <w:rPr>
          <w:sz w:val="20"/>
          <w:szCs w:val="20"/>
          <w:u w:val="single"/>
        </w:rPr>
        <w:t>IMPORTANT POINTS</w:t>
      </w:r>
    </w:p>
    <w:p w:rsidR="00EA6020" w:rsidRP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C</w:t>
      </w:r>
      <w:r w:rsidRPr="00EA6020">
        <w:rPr>
          <w:sz w:val="20"/>
          <w:szCs w:val="20"/>
        </w:rPr>
        <w:t>ognitive impairment was present in 6% at baseline</w:t>
      </w:r>
    </w:p>
    <w:p w:rsidR="00EA6020" w:rsidRP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D</w:t>
      </w:r>
      <w:r w:rsidRPr="00EA6020">
        <w:rPr>
          <w:sz w:val="20"/>
          <w:szCs w:val="20"/>
        </w:rPr>
        <w:t>elirium developed in 74% during the hospital stay</w:t>
      </w:r>
    </w:p>
    <w:p w:rsidR="00EA6020" w:rsidRP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A</w:t>
      </w:r>
      <w:r w:rsidRPr="00EA6020">
        <w:rPr>
          <w:sz w:val="20"/>
          <w:szCs w:val="20"/>
        </w:rPr>
        <w:t>t 3 months</w:t>
      </w:r>
      <w:r w:rsidRPr="00EA6020"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 xml:space="preserve">40% had global cognition scores 1.5 SD below population means (similar </w:t>
      </w:r>
      <w:r w:rsidRPr="00EA6020">
        <w:rPr>
          <w:sz w:val="20"/>
          <w:szCs w:val="20"/>
        </w:rPr>
        <w:t>to</w:t>
      </w:r>
      <w:r w:rsidRPr="00EA6020">
        <w:rPr>
          <w:sz w:val="20"/>
          <w:szCs w:val="20"/>
        </w:rPr>
        <w:t xml:space="preserve"> mod</w:t>
      </w:r>
      <w:r w:rsidRPr="00EA6020">
        <w:rPr>
          <w:sz w:val="20"/>
          <w:szCs w:val="20"/>
        </w:rPr>
        <w:t xml:space="preserve"> TBI</w:t>
      </w:r>
      <w:r w:rsidRPr="00EA6020">
        <w:rPr>
          <w:sz w:val="20"/>
          <w:szCs w:val="20"/>
        </w:rPr>
        <w:t>)</w:t>
      </w:r>
      <w:r w:rsidRPr="00EA6020"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26% had scores 2 SD below population means (similar to patien</w:t>
      </w:r>
      <w:r w:rsidRPr="00EA6020">
        <w:rPr>
          <w:sz w:val="20"/>
          <w:szCs w:val="20"/>
        </w:rPr>
        <w:t>ts with mild Alzheimer's</w:t>
      </w:r>
      <w:r w:rsidRPr="00EA6020">
        <w:rPr>
          <w:sz w:val="20"/>
          <w:szCs w:val="20"/>
        </w:rPr>
        <w:t xml:space="preserve">) </w:t>
      </w:r>
    </w:p>
    <w:p w:rsidR="00EA6020" w:rsidRP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A</w:t>
      </w:r>
      <w:r w:rsidRPr="00EA6020">
        <w:rPr>
          <w:sz w:val="20"/>
          <w:szCs w:val="20"/>
        </w:rPr>
        <w:t>t 12 months</w:t>
      </w:r>
      <w:r w:rsidRPr="00EA6020">
        <w:rPr>
          <w:sz w:val="20"/>
          <w:szCs w:val="20"/>
        </w:rPr>
        <w:t xml:space="preserve">  </w:t>
      </w:r>
      <w:r w:rsidRPr="00EA6020">
        <w:rPr>
          <w:sz w:val="20"/>
          <w:szCs w:val="20"/>
        </w:rPr>
        <w:t xml:space="preserve">deficits persisted in both older and younger patients </w:t>
      </w:r>
      <w:r w:rsidRPr="00EA6020">
        <w:rPr>
          <w:sz w:val="20"/>
          <w:szCs w:val="20"/>
        </w:rPr>
        <w:t xml:space="preserve">, 34% </w:t>
      </w:r>
      <w:r w:rsidRPr="00EA6020">
        <w:rPr>
          <w:sz w:val="20"/>
          <w:szCs w:val="20"/>
        </w:rPr>
        <w:t xml:space="preserve">had scores similar </w:t>
      </w:r>
      <w:r w:rsidRPr="00EA6020">
        <w:rPr>
          <w:sz w:val="20"/>
          <w:szCs w:val="20"/>
        </w:rPr>
        <w:t>to</w:t>
      </w:r>
      <w:r w:rsidRPr="00EA6020">
        <w:rPr>
          <w:sz w:val="20"/>
          <w:szCs w:val="20"/>
        </w:rPr>
        <w:t xml:space="preserve"> mod</w:t>
      </w:r>
      <w:r w:rsidRPr="00EA6020">
        <w:rPr>
          <w:sz w:val="20"/>
          <w:szCs w:val="20"/>
        </w:rPr>
        <w:t xml:space="preserve"> TBI, </w:t>
      </w:r>
      <w:r w:rsidRPr="00EA6020">
        <w:rPr>
          <w:sz w:val="20"/>
          <w:szCs w:val="20"/>
        </w:rPr>
        <w:t xml:space="preserve">24% had scores similar to patients with mild Alzheimer's disease </w:t>
      </w:r>
    </w:p>
    <w:p w:rsidR="00EA6020" w:rsidRP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A</w:t>
      </w:r>
      <w:r w:rsidRPr="00EA6020">
        <w:rPr>
          <w:sz w:val="20"/>
          <w:szCs w:val="20"/>
        </w:rPr>
        <w:t xml:space="preserve"> longer duration of delirium was independently associated with worse</w:t>
      </w:r>
      <w:r w:rsidRPr="00EA6020">
        <w:rPr>
          <w:sz w:val="20"/>
          <w:szCs w:val="20"/>
        </w:rPr>
        <w:t xml:space="preserve"> </w:t>
      </w:r>
      <w:r w:rsidRPr="00EA6020">
        <w:rPr>
          <w:sz w:val="20"/>
          <w:szCs w:val="20"/>
        </w:rPr>
        <w:t>global cognition at 3 (p=0.001) and 12 months (P=0.04)</w:t>
      </w:r>
      <w:r w:rsidRPr="00EA6020">
        <w:rPr>
          <w:sz w:val="20"/>
          <w:szCs w:val="20"/>
        </w:rPr>
        <w:t xml:space="preserve">, </w:t>
      </w:r>
      <w:r w:rsidRPr="00EA6020">
        <w:rPr>
          <w:sz w:val="20"/>
          <w:szCs w:val="20"/>
        </w:rPr>
        <w:t xml:space="preserve">executive function at 3 (P=0.004) and 12 months (P=0.007)  </w:t>
      </w:r>
      <w:r w:rsidRPr="00EA6020">
        <w:rPr>
          <w:sz w:val="20"/>
          <w:szCs w:val="20"/>
        </w:rPr>
        <w:tab/>
      </w:r>
    </w:p>
    <w:p w:rsidR="00EA6020" w:rsidRDefault="00EA6020" w:rsidP="00EA602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EA6020">
        <w:rPr>
          <w:sz w:val="20"/>
          <w:szCs w:val="20"/>
        </w:rPr>
        <w:t>S</w:t>
      </w:r>
      <w:r w:rsidRPr="00EA6020">
        <w:rPr>
          <w:sz w:val="20"/>
          <w:szCs w:val="20"/>
        </w:rPr>
        <w:t>edative or analgesic medications w</w:t>
      </w:r>
      <w:r>
        <w:rPr>
          <w:sz w:val="20"/>
          <w:szCs w:val="20"/>
        </w:rPr>
        <w:t>ere</w:t>
      </w:r>
      <w:r w:rsidRPr="00EA6020">
        <w:rPr>
          <w:sz w:val="20"/>
          <w:szCs w:val="20"/>
        </w:rPr>
        <w:t xml:space="preserve"> not consistently associated with cognitive impairment at 3 and 12 months</w:t>
      </w:r>
    </w:p>
    <w:p w:rsidR="00EA6020" w:rsidRDefault="00EA6020" w:rsidP="00EA6020">
      <w:pPr>
        <w:pStyle w:val="ListParagraph"/>
        <w:spacing w:after="0"/>
        <w:rPr>
          <w:sz w:val="20"/>
          <w:szCs w:val="20"/>
        </w:rPr>
      </w:pPr>
    </w:p>
    <w:p w:rsidR="00EA6020" w:rsidRDefault="00EA6020" w:rsidP="00EA6020">
      <w:pPr>
        <w:spacing w:after="0"/>
      </w:pPr>
      <w:r>
        <w:rPr>
          <w:u w:val="single"/>
        </w:rPr>
        <w:t>NO QUESTIONS</w:t>
      </w:r>
      <w:r w:rsidRPr="00EA6020">
        <w:t xml:space="preserve"> </w:t>
      </w:r>
    </w:p>
    <w:p w:rsidR="00EA6020" w:rsidRDefault="00EA6020" w:rsidP="00EA6020">
      <w:pPr>
        <w:spacing w:after="0"/>
      </w:pPr>
    </w:p>
    <w:p w:rsidR="00EA6020" w:rsidRDefault="00EA6020" w:rsidP="00EA6020">
      <w:pPr>
        <w:spacing w:after="0"/>
      </w:pPr>
    </w:p>
    <w:p w:rsidR="00EA6020" w:rsidRDefault="00EA6020" w:rsidP="00EA6020">
      <w:pPr>
        <w:spacing w:after="0"/>
      </w:pPr>
    </w:p>
    <w:p w:rsidR="00EA6020" w:rsidRDefault="00EA6020" w:rsidP="00EA6020">
      <w:pPr>
        <w:spacing w:after="0"/>
      </w:pPr>
    </w:p>
    <w:p w:rsidR="00EA6020" w:rsidRDefault="00EA6020" w:rsidP="00EA6020">
      <w:pPr>
        <w:spacing w:after="0"/>
      </w:pPr>
    </w:p>
    <w:p w:rsidR="00EA6020" w:rsidRDefault="00A209F4" w:rsidP="00A209F4">
      <w:pPr>
        <w:spacing w:after="0"/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4762500" cy="609600"/>
            <wp:effectExtent l="19050" t="0" r="0" b="0"/>
            <wp:docPr id="4" name="Picture 3" descr="vet sur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 surg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9F4" w:rsidRPr="00A209F4" w:rsidRDefault="00A209F4" w:rsidP="00A209F4">
      <w:pPr>
        <w:spacing w:after="0"/>
        <w:jc w:val="center"/>
        <w:rPr>
          <w:b/>
          <w:sz w:val="28"/>
          <w:szCs w:val="28"/>
        </w:rPr>
      </w:pPr>
      <w:proofErr w:type="spellStart"/>
      <w:r w:rsidRPr="00A209F4">
        <w:rPr>
          <w:b/>
          <w:sz w:val="28"/>
          <w:szCs w:val="28"/>
        </w:rPr>
        <w:t>Methicillin</w:t>
      </w:r>
      <w:proofErr w:type="spellEnd"/>
      <w:r w:rsidRPr="00A209F4">
        <w:rPr>
          <w:b/>
          <w:sz w:val="28"/>
          <w:szCs w:val="28"/>
        </w:rPr>
        <w:t>‐Resistant Staphylococcal Contamination of</w:t>
      </w:r>
      <w:r w:rsidRPr="00A209F4">
        <w:rPr>
          <w:b/>
          <w:sz w:val="28"/>
          <w:szCs w:val="28"/>
        </w:rPr>
        <w:t xml:space="preserve"> </w:t>
      </w:r>
      <w:r w:rsidRPr="00A209F4">
        <w:rPr>
          <w:b/>
          <w:sz w:val="28"/>
          <w:szCs w:val="28"/>
        </w:rPr>
        <w:t>Clothing Worn by Personnel in a Veterinary Teaching</w:t>
      </w:r>
      <w:r w:rsidRPr="00A209F4">
        <w:rPr>
          <w:b/>
          <w:sz w:val="28"/>
          <w:szCs w:val="28"/>
        </w:rPr>
        <w:t xml:space="preserve"> </w:t>
      </w:r>
      <w:r w:rsidRPr="00A209F4">
        <w:rPr>
          <w:b/>
          <w:sz w:val="28"/>
          <w:szCs w:val="28"/>
        </w:rPr>
        <w:t>Hospital</w:t>
      </w:r>
    </w:p>
    <w:p w:rsidR="00A209F4" w:rsidRDefault="00A209F4" w:rsidP="00A209F4">
      <w:pPr>
        <w:spacing w:after="0"/>
        <w:jc w:val="center"/>
        <w:rPr>
          <w:sz w:val="20"/>
          <w:szCs w:val="20"/>
        </w:rPr>
      </w:pPr>
      <w:proofErr w:type="spellStart"/>
      <w:r w:rsidRPr="00A209F4">
        <w:rPr>
          <w:sz w:val="20"/>
          <w:szCs w:val="20"/>
        </w:rPr>
        <w:t>A</w:t>
      </w:r>
      <w:r w:rsidRPr="00A209F4">
        <w:rPr>
          <w:sz w:val="20"/>
          <w:szCs w:val="20"/>
        </w:rPr>
        <w:t>meet</w:t>
      </w:r>
      <w:proofErr w:type="spellEnd"/>
      <w:r w:rsidRPr="00A209F4">
        <w:rPr>
          <w:sz w:val="20"/>
          <w:szCs w:val="20"/>
        </w:rPr>
        <w:t xml:space="preserve"> Singh et al</w:t>
      </w:r>
    </w:p>
    <w:p w:rsidR="00A209F4" w:rsidRPr="00A209F4" w:rsidRDefault="00A209F4" w:rsidP="00A209F4">
      <w:pPr>
        <w:spacing w:after="0"/>
        <w:rPr>
          <w:sz w:val="20"/>
          <w:szCs w:val="20"/>
          <w:u w:val="single"/>
        </w:rPr>
      </w:pPr>
      <w:r w:rsidRPr="00A209F4">
        <w:rPr>
          <w:sz w:val="20"/>
          <w:szCs w:val="20"/>
          <w:u w:val="single"/>
        </w:rPr>
        <w:t>OBJECTIVE</w:t>
      </w:r>
    </w:p>
    <w:p w:rsidR="00A209F4" w:rsidRDefault="00A209F4" w:rsidP="00A209F4">
      <w:pPr>
        <w:spacing w:after="0"/>
        <w:rPr>
          <w:sz w:val="20"/>
          <w:szCs w:val="20"/>
        </w:rPr>
      </w:pPr>
      <w:r w:rsidRPr="00A209F4">
        <w:rPr>
          <w:sz w:val="20"/>
          <w:szCs w:val="20"/>
        </w:rPr>
        <w:t xml:space="preserve">To determine the </w:t>
      </w:r>
      <w:proofErr w:type="spellStart"/>
      <w:r w:rsidRPr="00A209F4">
        <w:rPr>
          <w:sz w:val="20"/>
          <w:szCs w:val="20"/>
        </w:rPr>
        <w:t>methicillin</w:t>
      </w:r>
      <w:proofErr w:type="spellEnd"/>
      <w:r w:rsidRPr="00A209F4">
        <w:rPr>
          <w:sz w:val="20"/>
          <w:szCs w:val="20"/>
        </w:rPr>
        <w:t xml:space="preserve">‐resistant Staphylococcus </w:t>
      </w:r>
      <w:proofErr w:type="spellStart"/>
      <w:r w:rsidRPr="00A209F4">
        <w:rPr>
          <w:sz w:val="20"/>
          <w:szCs w:val="20"/>
        </w:rPr>
        <w:t>aureus</w:t>
      </w:r>
      <w:proofErr w:type="spellEnd"/>
      <w:r w:rsidRPr="00A209F4">
        <w:rPr>
          <w:sz w:val="20"/>
          <w:szCs w:val="20"/>
        </w:rPr>
        <w:t xml:space="preserve"> (MRSA) and</w:t>
      </w:r>
      <w:r>
        <w:rPr>
          <w:sz w:val="20"/>
          <w:szCs w:val="20"/>
        </w:rPr>
        <w:t xml:space="preserve"> </w:t>
      </w:r>
      <w:proofErr w:type="spellStart"/>
      <w:r w:rsidRPr="00A209F4">
        <w:rPr>
          <w:sz w:val="20"/>
          <w:szCs w:val="20"/>
        </w:rPr>
        <w:t>methicillin</w:t>
      </w:r>
      <w:proofErr w:type="spellEnd"/>
      <w:r w:rsidRPr="00A209F4">
        <w:rPr>
          <w:sz w:val="20"/>
          <w:szCs w:val="20"/>
        </w:rPr>
        <w:t xml:space="preserve">‐resistant Staphylococcus </w:t>
      </w:r>
      <w:proofErr w:type="spellStart"/>
      <w:r w:rsidRPr="00A209F4">
        <w:rPr>
          <w:sz w:val="20"/>
          <w:szCs w:val="20"/>
        </w:rPr>
        <w:t>pseudintermedius</w:t>
      </w:r>
      <w:proofErr w:type="spellEnd"/>
      <w:r w:rsidRPr="00A209F4">
        <w:rPr>
          <w:sz w:val="20"/>
          <w:szCs w:val="20"/>
        </w:rPr>
        <w:t xml:space="preserve"> (MRSP) contamination rate of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white coats (WC) and surgical scrubs (SS) worn by personnel at the Ontario Veterinary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College Health Sciences Centre (OVCHSC) and to identify risk factors associated with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clothing contamination.</w:t>
      </w:r>
    </w:p>
    <w:p w:rsidR="00A209F4" w:rsidRPr="00A209F4" w:rsidRDefault="00A209F4" w:rsidP="00A209F4">
      <w:pPr>
        <w:spacing w:after="0"/>
        <w:rPr>
          <w:sz w:val="20"/>
          <w:szCs w:val="20"/>
        </w:rPr>
      </w:pPr>
    </w:p>
    <w:p w:rsidR="00A209F4" w:rsidRPr="00A209F4" w:rsidRDefault="00A209F4" w:rsidP="00A209F4">
      <w:pPr>
        <w:spacing w:after="0"/>
        <w:rPr>
          <w:sz w:val="20"/>
          <w:szCs w:val="20"/>
          <w:u w:val="single"/>
        </w:rPr>
      </w:pPr>
      <w:r w:rsidRPr="00A209F4">
        <w:rPr>
          <w:sz w:val="20"/>
          <w:szCs w:val="20"/>
          <w:u w:val="single"/>
        </w:rPr>
        <w:t>STUDY DESIGN</w:t>
      </w:r>
    </w:p>
    <w:p w:rsidR="00A209F4" w:rsidRDefault="00A209F4" w:rsidP="00A209F4">
      <w:pPr>
        <w:spacing w:after="0"/>
        <w:rPr>
          <w:sz w:val="20"/>
          <w:szCs w:val="20"/>
        </w:rPr>
      </w:pPr>
      <w:proofErr w:type="gramStart"/>
      <w:r w:rsidRPr="00A209F4">
        <w:rPr>
          <w:sz w:val="20"/>
          <w:szCs w:val="20"/>
        </w:rPr>
        <w:t>Cross‐sectional study.</w:t>
      </w:r>
      <w:proofErr w:type="gramEnd"/>
    </w:p>
    <w:p w:rsidR="00A209F4" w:rsidRPr="00A209F4" w:rsidRDefault="00A209F4" w:rsidP="00A209F4">
      <w:pPr>
        <w:spacing w:after="0"/>
        <w:rPr>
          <w:sz w:val="20"/>
          <w:szCs w:val="20"/>
        </w:rPr>
      </w:pPr>
    </w:p>
    <w:p w:rsidR="00A209F4" w:rsidRPr="00A209F4" w:rsidRDefault="00A209F4" w:rsidP="00A209F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SAMPLE POPULATION</w:t>
      </w:r>
    </w:p>
    <w:p w:rsidR="00A209F4" w:rsidRDefault="00A209F4" w:rsidP="00A209F4">
      <w:pPr>
        <w:spacing w:after="0"/>
        <w:rPr>
          <w:sz w:val="20"/>
          <w:szCs w:val="20"/>
        </w:rPr>
      </w:pPr>
      <w:proofErr w:type="gramStart"/>
      <w:r w:rsidRPr="00A209F4">
        <w:rPr>
          <w:sz w:val="20"/>
          <w:szCs w:val="20"/>
        </w:rPr>
        <w:t>Personnel including clinical faculty, house officers, technicians,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and veterinary students working at the OVCHSC.</w:t>
      </w:r>
      <w:proofErr w:type="gramEnd"/>
    </w:p>
    <w:p w:rsidR="00A209F4" w:rsidRPr="00A209F4" w:rsidRDefault="00A209F4" w:rsidP="00A209F4">
      <w:pPr>
        <w:spacing w:after="0"/>
        <w:rPr>
          <w:sz w:val="20"/>
          <w:szCs w:val="20"/>
        </w:rPr>
      </w:pPr>
    </w:p>
    <w:p w:rsidR="00A209F4" w:rsidRPr="00A209F4" w:rsidRDefault="00A209F4" w:rsidP="00A209F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METHODS</w:t>
      </w:r>
    </w:p>
    <w:p w:rsidR="00A209F4" w:rsidRDefault="00A209F4" w:rsidP="00A209F4">
      <w:pPr>
        <w:spacing w:after="0"/>
        <w:rPr>
          <w:sz w:val="20"/>
          <w:szCs w:val="20"/>
        </w:rPr>
      </w:pPr>
      <w:r w:rsidRPr="00A209F4">
        <w:rPr>
          <w:sz w:val="20"/>
          <w:szCs w:val="20"/>
        </w:rPr>
        <w:t>Electrostatic cloths were used to sample WC and SS of hospital personnel.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Samples were tested for MRSA and MRSP and isolates were typed. Participants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completed a self‐administered questionnaire and data was evaluated for risk factors.</w:t>
      </w:r>
    </w:p>
    <w:p w:rsidR="00A209F4" w:rsidRPr="00A209F4" w:rsidRDefault="00A209F4" w:rsidP="00A209F4">
      <w:pPr>
        <w:spacing w:after="0"/>
        <w:rPr>
          <w:sz w:val="20"/>
          <w:szCs w:val="20"/>
        </w:rPr>
      </w:pPr>
    </w:p>
    <w:p w:rsidR="00A209F4" w:rsidRPr="00A209F4" w:rsidRDefault="00A209F4" w:rsidP="00A209F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RESULTS</w:t>
      </w:r>
    </w:p>
    <w:p w:rsidR="00A209F4" w:rsidRDefault="00A209F4" w:rsidP="00A209F4">
      <w:pPr>
        <w:spacing w:after="0"/>
        <w:rPr>
          <w:sz w:val="20"/>
          <w:szCs w:val="20"/>
        </w:rPr>
      </w:pPr>
      <w:r w:rsidRPr="00A209F4">
        <w:rPr>
          <w:sz w:val="20"/>
          <w:szCs w:val="20"/>
        </w:rPr>
        <w:t>Of 114 specimens, MRS were isolated from 20 (17.5%), MRSA from 4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(3.5%), and MRSP from 16 (14.0%). Technicians were 9.5</w:t>
      </w:r>
      <w:r w:rsidRPr="00A209F4">
        <w:rPr>
          <w:sz w:val="20"/>
          <w:szCs w:val="20"/>
        </w:rPr>
        <w:t xml:space="preserve"> (OR ¼ 0.95, 95% CI:</w:t>
      </w:r>
      <w:r w:rsidRPr="00A209F4"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1.2–1, P ¼ .03) more likely than students to have clothing contaminated with MRSA.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No risk factors were identified for MRSP or for overall MRS contamination.</w:t>
      </w:r>
    </w:p>
    <w:p w:rsidR="00A209F4" w:rsidRPr="00A209F4" w:rsidRDefault="00A209F4" w:rsidP="00A209F4">
      <w:pPr>
        <w:spacing w:after="0"/>
        <w:rPr>
          <w:sz w:val="20"/>
          <w:szCs w:val="20"/>
        </w:rPr>
      </w:pPr>
    </w:p>
    <w:p w:rsidR="00A209F4" w:rsidRPr="00A209F4" w:rsidRDefault="005D22B1" w:rsidP="00A209F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CONCLUSIONS</w:t>
      </w:r>
    </w:p>
    <w:p w:rsidR="00A209F4" w:rsidRDefault="00A209F4" w:rsidP="00A209F4">
      <w:pPr>
        <w:spacing w:after="0"/>
        <w:rPr>
          <w:sz w:val="20"/>
          <w:szCs w:val="20"/>
        </w:rPr>
      </w:pPr>
      <w:r w:rsidRPr="00A209F4">
        <w:rPr>
          <w:sz w:val="20"/>
          <w:szCs w:val="20"/>
        </w:rPr>
        <w:t>Standard hospital clothing was found to have a high prevalence of MRS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contamination in a veterinary teaching hospital and could be a source of hospital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acquired</w:t>
      </w:r>
      <w:r>
        <w:rPr>
          <w:sz w:val="20"/>
          <w:szCs w:val="20"/>
        </w:rPr>
        <w:t xml:space="preserve"> </w:t>
      </w:r>
      <w:r w:rsidRPr="00A209F4">
        <w:rPr>
          <w:sz w:val="20"/>
          <w:szCs w:val="20"/>
        </w:rPr>
        <w:t>infections.</w:t>
      </w:r>
    </w:p>
    <w:p w:rsidR="005D22B1" w:rsidRDefault="005D22B1" w:rsidP="00A209F4">
      <w:pPr>
        <w:spacing w:after="0"/>
        <w:rPr>
          <w:sz w:val="20"/>
          <w:szCs w:val="20"/>
        </w:rPr>
      </w:pPr>
    </w:p>
    <w:p w:rsidR="005D22B1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>QUESTIONS:</w:t>
      </w:r>
    </w:p>
    <w:p w:rsidR="00F50743" w:rsidRDefault="00F50743" w:rsidP="00A209F4">
      <w:pPr>
        <w:spacing w:after="0"/>
        <w:rPr>
          <w:sz w:val="20"/>
          <w:szCs w:val="20"/>
        </w:rPr>
      </w:pPr>
    </w:p>
    <w:p w:rsidR="00F50743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>1) True or False: Washing your clothing at home has a higher risk of having MRS on your clothing</w:t>
      </w:r>
    </w:p>
    <w:p w:rsidR="00F50743" w:rsidRDefault="00F50743" w:rsidP="00A209F4">
      <w:pPr>
        <w:spacing w:after="0"/>
        <w:rPr>
          <w:sz w:val="20"/>
          <w:szCs w:val="20"/>
        </w:rPr>
      </w:pPr>
    </w:p>
    <w:p w:rsidR="00F50743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2) Where do we find the greatest amount of MRS on clothing in </w:t>
      </w:r>
      <w:proofErr w:type="gramStart"/>
      <w:r>
        <w:rPr>
          <w:sz w:val="20"/>
          <w:szCs w:val="20"/>
        </w:rPr>
        <w:t>hospitals</w:t>
      </w:r>
      <w:proofErr w:type="gramEnd"/>
    </w:p>
    <w:p w:rsidR="00F50743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a. Necktie/ruffled blouse</w:t>
      </w:r>
    </w:p>
    <w:p w:rsidR="00F50743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b. Portion of white coat that is closest to the ground</w:t>
      </w:r>
    </w:p>
    <w:p w:rsidR="00F50743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c. Ends of long sleeved shirts</w:t>
      </w:r>
    </w:p>
    <w:p w:rsidR="00F50743" w:rsidRPr="00A209F4" w:rsidRDefault="00F50743" w:rsidP="00A209F4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d. Breast pocket with pens </w:t>
      </w:r>
    </w:p>
    <w:sectPr w:rsidR="00F50743" w:rsidRPr="00A209F4" w:rsidSect="00F51058"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NEJMQuadraat">
    <w:altName w:val="Times New Roman"/>
    <w:panose1 w:val="00000000000000000000"/>
    <w:charset w:val="A3"/>
    <w:family w:val="roman"/>
    <w:notTrueType/>
    <w:pitch w:val="default"/>
    <w:sig w:usb0="20000001" w:usb1="00000000" w:usb2="00000000" w:usb3="00000000" w:csb0="00000100" w:csb1="00000000"/>
  </w:font>
  <w:font w:name="OTNEJMScalaSansLF">
    <w:altName w:val="Arial"/>
    <w:panose1 w:val="00000000000000000000"/>
    <w:charset w:val="A3"/>
    <w:family w:val="swiss"/>
    <w:notTrueType/>
    <w:pitch w:val="default"/>
    <w:sig w:usb0="20000001" w:usb1="00000000" w:usb2="00000000" w:usb3="00000000" w:csb0="000001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A82"/>
    <w:multiLevelType w:val="hybridMultilevel"/>
    <w:tmpl w:val="77BAAD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002C71"/>
    <w:multiLevelType w:val="hybridMultilevel"/>
    <w:tmpl w:val="45F42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7EBD"/>
    <w:rsid w:val="005D22B1"/>
    <w:rsid w:val="005D7EBD"/>
    <w:rsid w:val="00887ACA"/>
    <w:rsid w:val="00A209F4"/>
    <w:rsid w:val="00AC2072"/>
    <w:rsid w:val="00AE1D7E"/>
    <w:rsid w:val="00C91013"/>
    <w:rsid w:val="00EA6020"/>
    <w:rsid w:val="00F50743"/>
    <w:rsid w:val="00F5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7A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2013-10-10T11:51:00Z</dcterms:created>
  <dcterms:modified xsi:type="dcterms:W3CDTF">2013-10-10T15:30:00Z</dcterms:modified>
</cp:coreProperties>
</file>