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9EB" w:rsidRDefault="000578B7" w:rsidP="009251A2">
      <w:pPr>
        <w:jc w:val="center"/>
      </w:pPr>
      <w:r>
        <w:rPr>
          <w:noProof/>
        </w:rPr>
        <w:drawing>
          <wp:inline distT="0" distB="0" distL="0" distR="0">
            <wp:extent cx="5314950" cy="238027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14950" cy="2380270"/>
                    </a:xfrm>
                    <a:prstGeom prst="rect">
                      <a:avLst/>
                    </a:prstGeom>
                    <a:noFill/>
                    <a:ln>
                      <a:noFill/>
                    </a:ln>
                  </pic:spPr>
                </pic:pic>
              </a:graphicData>
            </a:graphic>
          </wp:inline>
        </w:drawing>
      </w:r>
    </w:p>
    <w:p w:rsidR="000578B7" w:rsidRPr="009251A2" w:rsidRDefault="000578B7" w:rsidP="000578B7">
      <w:pPr>
        <w:rPr>
          <w:sz w:val="20"/>
          <w:szCs w:val="20"/>
        </w:rPr>
      </w:pPr>
      <w:r w:rsidRPr="009251A2">
        <w:rPr>
          <w:b/>
          <w:bCs/>
          <w:sz w:val="20"/>
          <w:szCs w:val="20"/>
        </w:rPr>
        <w:t xml:space="preserve">Objective: </w:t>
      </w:r>
      <w:r w:rsidRPr="009251A2">
        <w:rPr>
          <w:sz w:val="20"/>
          <w:szCs w:val="20"/>
        </w:rPr>
        <w:t>Whether an insulin infusion should be used for tight control of hyperglycemia in critically ill children.</w:t>
      </w:r>
    </w:p>
    <w:p w:rsidR="000578B7" w:rsidRPr="009251A2" w:rsidRDefault="000578B7" w:rsidP="000578B7">
      <w:pPr>
        <w:rPr>
          <w:sz w:val="20"/>
          <w:szCs w:val="20"/>
        </w:rPr>
      </w:pPr>
      <w:r w:rsidRPr="009251A2">
        <w:rPr>
          <w:b/>
          <w:bCs/>
          <w:sz w:val="20"/>
          <w:szCs w:val="20"/>
        </w:rPr>
        <w:t>Methods: R</w:t>
      </w:r>
      <w:r w:rsidRPr="009251A2">
        <w:rPr>
          <w:sz w:val="20"/>
          <w:szCs w:val="20"/>
        </w:rPr>
        <w:t>andomly assigned children (</w:t>
      </w:r>
      <w:r w:rsidRPr="009251A2">
        <w:rPr>
          <w:rFonts w:hint="eastAsia"/>
          <w:sz w:val="20"/>
          <w:szCs w:val="20"/>
        </w:rPr>
        <w:t>≤</w:t>
      </w:r>
      <w:r w:rsidRPr="009251A2">
        <w:rPr>
          <w:sz w:val="20"/>
          <w:szCs w:val="20"/>
        </w:rPr>
        <w:t xml:space="preserve">16 years of age) who were admitted to the pediatric intensive care unit (ICU) and were expected to require mechanical ventilation and vasoactive drugs for at least 12 hours to either tight glycemic control, with a target blood glucose range of 72 to 126 mg per deciliter (4.0 to 7.0 </w:t>
      </w:r>
      <w:proofErr w:type="spellStart"/>
      <w:r w:rsidRPr="009251A2">
        <w:rPr>
          <w:sz w:val="20"/>
          <w:szCs w:val="20"/>
        </w:rPr>
        <w:t>mmol</w:t>
      </w:r>
      <w:proofErr w:type="spellEnd"/>
      <w:r w:rsidRPr="009251A2">
        <w:rPr>
          <w:sz w:val="20"/>
          <w:szCs w:val="20"/>
        </w:rPr>
        <w:t xml:space="preserve"> per liter), or conventional glycemic control, with a target level below 216 mg per deciliter (12.0 </w:t>
      </w:r>
      <w:proofErr w:type="spellStart"/>
      <w:r w:rsidRPr="009251A2">
        <w:rPr>
          <w:sz w:val="20"/>
          <w:szCs w:val="20"/>
        </w:rPr>
        <w:t>mmol</w:t>
      </w:r>
      <w:proofErr w:type="spellEnd"/>
      <w:r w:rsidRPr="009251A2">
        <w:rPr>
          <w:sz w:val="20"/>
          <w:szCs w:val="20"/>
        </w:rPr>
        <w:t xml:space="preserve"> per liter). The primary outcome was the number of days alive and free from mechanical ventilation at 30 days after randomization. The main </w:t>
      </w:r>
      <w:proofErr w:type="spellStart"/>
      <w:r w:rsidRPr="009251A2">
        <w:rPr>
          <w:sz w:val="20"/>
          <w:szCs w:val="20"/>
        </w:rPr>
        <w:t>prespecified</w:t>
      </w:r>
      <w:proofErr w:type="spellEnd"/>
      <w:r w:rsidRPr="009251A2">
        <w:rPr>
          <w:sz w:val="20"/>
          <w:szCs w:val="20"/>
        </w:rPr>
        <w:t xml:space="preserve"> subgroup analysis compared children who had undergone cardiac surgery with those who had not. We also assessed costs of hospital and community health services.</w:t>
      </w:r>
    </w:p>
    <w:p w:rsidR="000578B7" w:rsidRPr="009251A2" w:rsidRDefault="000578B7" w:rsidP="000578B7">
      <w:pPr>
        <w:rPr>
          <w:sz w:val="20"/>
          <w:szCs w:val="20"/>
        </w:rPr>
      </w:pPr>
      <w:r w:rsidRPr="009251A2">
        <w:rPr>
          <w:b/>
          <w:bCs/>
          <w:sz w:val="20"/>
          <w:szCs w:val="20"/>
        </w:rPr>
        <w:t xml:space="preserve">Results: </w:t>
      </w:r>
      <w:r w:rsidRPr="009251A2">
        <w:rPr>
          <w:sz w:val="20"/>
          <w:szCs w:val="20"/>
        </w:rPr>
        <w:t xml:space="preserve">A total of 1369 patients at 13 centers in England underwent randomization: 694 to tight glycemic control and 675 to conventional glycemic control; 60% had undergone cardiac surgery. The mean between-group difference in the number of days alive and free from mechanical ventilation at 30 days was 0.36 days (95% confidence interval [CI], </w:t>
      </w:r>
      <w:r w:rsidRPr="009251A2">
        <w:rPr>
          <w:rFonts w:hint="eastAsia"/>
          <w:sz w:val="20"/>
          <w:szCs w:val="20"/>
        </w:rPr>
        <w:t>−</w:t>
      </w:r>
      <w:r w:rsidRPr="009251A2">
        <w:rPr>
          <w:sz w:val="20"/>
          <w:szCs w:val="20"/>
        </w:rPr>
        <w:t xml:space="preserve">0.42 to 1.14); the effects did not differ according to subgroup. Severe hypoglycemia (blood glucose, &lt;36 mg per deciliter [2.0 </w:t>
      </w:r>
      <w:proofErr w:type="spellStart"/>
      <w:r w:rsidRPr="009251A2">
        <w:rPr>
          <w:sz w:val="20"/>
          <w:szCs w:val="20"/>
        </w:rPr>
        <w:t>mmol</w:t>
      </w:r>
      <w:proofErr w:type="spellEnd"/>
      <w:r w:rsidRPr="009251A2">
        <w:rPr>
          <w:sz w:val="20"/>
          <w:szCs w:val="20"/>
        </w:rPr>
        <w:t xml:space="preserve"> per liter]) occurred in a higher proportion of children in the tight-glycemic-control group than in the conventional glycemic-control group (7.3% vs. 1.5%, P&lt;0.001). Overall, the mean 12-month costs were lower in the tight-glycemic-control group than in the conventional-glycemic control group. The mean 12-month costs were similar in the two groups in the cardiac-surgery subgroup, but in the subgroup that had not undergone cardiac surgery, the mean cost was significantly lower in the tight-glycemic-control group than in the conventional-glycemic-control group: </w:t>
      </w:r>
      <w:r w:rsidRPr="009251A2">
        <w:rPr>
          <w:rFonts w:hint="eastAsia"/>
          <w:sz w:val="20"/>
          <w:szCs w:val="20"/>
        </w:rPr>
        <w:t>−</w:t>
      </w:r>
      <w:r w:rsidRPr="009251A2">
        <w:rPr>
          <w:sz w:val="20"/>
          <w:szCs w:val="20"/>
        </w:rPr>
        <w:t xml:space="preserve">$13,120 (95% CI, </w:t>
      </w:r>
      <w:r w:rsidRPr="009251A2">
        <w:rPr>
          <w:rFonts w:hint="eastAsia"/>
          <w:sz w:val="20"/>
          <w:szCs w:val="20"/>
        </w:rPr>
        <w:t>−</w:t>
      </w:r>
      <w:r w:rsidRPr="009251A2">
        <w:rPr>
          <w:sz w:val="20"/>
          <w:szCs w:val="20"/>
        </w:rPr>
        <w:t xml:space="preserve">$24,682 to </w:t>
      </w:r>
      <w:r w:rsidRPr="009251A2">
        <w:rPr>
          <w:rFonts w:hint="eastAsia"/>
          <w:sz w:val="20"/>
          <w:szCs w:val="20"/>
        </w:rPr>
        <w:t>−</w:t>
      </w:r>
      <w:r w:rsidRPr="009251A2">
        <w:rPr>
          <w:sz w:val="20"/>
          <w:szCs w:val="20"/>
        </w:rPr>
        <w:t>$1,559).</w:t>
      </w:r>
    </w:p>
    <w:p w:rsidR="000578B7" w:rsidRPr="009251A2" w:rsidRDefault="000578B7" w:rsidP="000578B7">
      <w:pPr>
        <w:rPr>
          <w:sz w:val="20"/>
          <w:szCs w:val="20"/>
        </w:rPr>
      </w:pPr>
      <w:r w:rsidRPr="009251A2">
        <w:rPr>
          <w:b/>
          <w:bCs/>
          <w:sz w:val="20"/>
          <w:szCs w:val="20"/>
        </w:rPr>
        <w:t xml:space="preserve">Conclusions: </w:t>
      </w:r>
      <w:r w:rsidRPr="009251A2">
        <w:rPr>
          <w:sz w:val="20"/>
          <w:szCs w:val="20"/>
        </w:rPr>
        <w:t>This multicenter, randomized trial showed that tight glycemic control in critically ill children had no significant effect on major clinical outcomes, although the incidence of hypoglycemia was higher with tight glucose control than with conventional glucose control.</w:t>
      </w:r>
    </w:p>
    <w:p w:rsidR="009251A2" w:rsidRPr="009251A2" w:rsidRDefault="009251A2" w:rsidP="000578B7">
      <w:pPr>
        <w:rPr>
          <w:b/>
        </w:rPr>
      </w:pPr>
      <w:bookmarkStart w:id="0" w:name="_GoBack"/>
      <w:r w:rsidRPr="009251A2">
        <w:rPr>
          <w:b/>
        </w:rPr>
        <w:t>Other Key Points:</w:t>
      </w:r>
    </w:p>
    <w:bookmarkEnd w:id="0"/>
    <w:p w:rsidR="009251A2" w:rsidRDefault="009251A2" w:rsidP="009251A2">
      <w:pPr>
        <w:pStyle w:val="ListParagraph"/>
        <w:numPr>
          <w:ilvl w:val="0"/>
          <w:numId w:val="1"/>
        </w:numPr>
      </w:pPr>
      <w:r>
        <w:t>1369 critically ill children, at 13 pediatric ICUs</w:t>
      </w:r>
      <w:r>
        <w:t xml:space="preserve"> </w:t>
      </w:r>
      <w:r>
        <w:t>in England, who were undergoing mechanical</w:t>
      </w:r>
      <w:r>
        <w:t xml:space="preserve"> </w:t>
      </w:r>
      <w:r>
        <w:t>ventilation and receiving vasoactive medications</w:t>
      </w:r>
    </w:p>
    <w:p w:rsidR="009251A2" w:rsidRDefault="009251A2" w:rsidP="009251A2">
      <w:pPr>
        <w:pStyle w:val="ListParagraph"/>
        <w:numPr>
          <w:ilvl w:val="0"/>
          <w:numId w:val="1"/>
        </w:numPr>
      </w:pPr>
      <w:r>
        <w:t>P</w:t>
      </w:r>
      <w:r>
        <w:t>rimary outcome was</w:t>
      </w:r>
      <w:r>
        <w:t xml:space="preserve"> </w:t>
      </w:r>
      <w:r>
        <w:t>the number of days alive and free from mechanical ventilation at 30 days</w:t>
      </w:r>
    </w:p>
    <w:p w:rsidR="009251A2" w:rsidRPr="009251A2" w:rsidRDefault="009251A2" w:rsidP="009251A2">
      <w:pPr>
        <w:pStyle w:val="ListParagraph"/>
        <w:numPr>
          <w:ilvl w:val="1"/>
          <w:numId w:val="1"/>
        </w:numPr>
      </w:pPr>
      <w:r w:rsidRPr="009251A2">
        <w:rPr>
          <w:sz w:val="18"/>
          <w:szCs w:val="18"/>
        </w:rPr>
        <w:t>A</w:t>
      </w:r>
      <w:r w:rsidRPr="009251A2">
        <w:rPr>
          <w:sz w:val="18"/>
          <w:szCs w:val="18"/>
        </w:rPr>
        <w:t>lso</w:t>
      </w:r>
      <w:r w:rsidRPr="009251A2">
        <w:rPr>
          <w:sz w:val="18"/>
          <w:szCs w:val="18"/>
        </w:rPr>
        <w:t xml:space="preserve"> </w:t>
      </w:r>
      <w:r w:rsidRPr="009251A2">
        <w:rPr>
          <w:sz w:val="18"/>
          <w:szCs w:val="18"/>
        </w:rPr>
        <w:t>assessed other critical care outcomes, as well as</w:t>
      </w:r>
      <w:r w:rsidRPr="009251A2">
        <w:rPr>
          <w:sz w:val="18"/>
          <w:szCs w:val="18"/>
        </w:rPr>
        <w:t xml:space="preserve"> </w:t>
      </w:r>
      <w:r w:rsidRPr="009251A2">
        <w:rPr>
          <w:sz w:val="18"/>
          <w:szCs w:val="18"/>
        </w:rPr>
        <w:t>the number of days in the hospital and health</w:t>
      </w:r>
      <w:r w:rsidRPr="009251A2">
        <w:rPr>
          <w:sz w:val="18"/>
          <w:szCs w:val="18"/>
        </w:rPr>
        <w:t xml:space="preserve"> </w:t>
      </w:r>
      <w:r w:rsidRPr="009251A2">
        <w:rPr>
          <w:sz w:val="18"/>
          <w:szCs w:val="18"/>
        </w:rPr>
        <w:t>care costs over a 12-month period</w:t>
      </w:r>
    </w:p>
    <w:p w:rsidR="009251A2" w:rsidRDefault="009251A2" w:rsidP="009251A2">
      <w:pPr>
        <w:pStyle w:val="ListParagraph"/>
        <w:numPr>
          <w:ilvl w:val="0"/>
          <w:numId w:val="1"/>
        </w:numPr>
      </w:pPr>
      <w:r>
        <w:t>I</w:t>
      </w:r>
      <w:r w:rsidRPr="009251A2">
        <w:t>n the subgroup of patients who</w:t>
      </w:r>
      <w:r>
        <w:t xml:space="preserve"> </w:t>
      </w:r>
      <w:r w:rsidRPr="009251A2">
        <w:t>had not undergone cardiac surgery, the average</w:t>
      </w:r>
      <w:r>
        <w:t xml:space="preserve"> </w:t>
      </w:r>
      <w:r w:rsidRPr="009251A2">
        <w:t xml:space="preserve">length of stay in the hospital up to 1 year </w:t>
      </w:r>
      <w:r>
        <w:t xml:space="preserve">follow up </w:t>
      </w:r>
      <w:r w:rsidRPr="009251A2">
        <w:t>was</w:t>
      </w:r>
      <w:r>
        <w:t xml:space="preserve"> </w:t>
      </w:r>
      <w:r w:rsidRPr="009251A2">
        <w:t>13.5 days shorter with tight glycemic control</w:t>
      </w:r>
      <w:r>
        <w:t xml:space="preserve"> </w:t>
      </w:r>
      <w:r w:rsidRPr="009251A2">
        <w:t>than with conventional glycemic control</w:t>
      </w:r>
    </w:p>
    <w:p w:rsidR="009251A2" w:rsidRDefault="009251A2" w:rsidP="009251A2">
      <w:pPr>
        <w:pStyle w:val="ListParagraph"/>
        <w:numPr>
          <w:ilvl w:val="0"/>
          <w:numId w:val="1"/>
        </w:numPr>
      </w:pPr>
      <w:r>
        <w:t>P</w:t>
      </w:r>
      <w:r w:rsidRPr="009251A2">
        <w:t>er-patient health care costs were $13,000 less</w:t>
      </w:r>
      <w:r>
        <w:t xml:space="preserve"> </w:t>
      </w:r>
      <w:r w:rsidRPr="009251A2">
        <w:t>in the tight-glycemic-control group</w:t>
      </w:r>
      <w:r>
        <w:t xml:space="preserve"> and</w:t>
      </w:r>
      <w:r w:rsidRPr="009251A2">
        <w:t xml:space="preserve"> were</w:t>
      </w:r>
      <w:r w:rsidRPr="009251A2">
        <w:t xml:space="preserve"> not due to early mortality</w:t>
      </w:r>
    </w:p>
    <w:p w:rsidR="009251A2" w:rsidRPr="009251A2" w:rsidRDefault="009251A2" w:rsidP="009251A2">
      <w:pPr>
        <w:pStyle w:val="ListParagraph"/>
        <w:numPr>
          <w:ilvl w:val="0"/>
          <w:numId w:val="1"/>
        </w:numPr>
      </w:pPr>
      <w:r>
        <w:t>U</w:t>
      </w:r>
      <w:r>
        <w:t>se of renal-replacement therapies was</w:t>
      </w:r>
      <w:r>
        <w:t xml:space="preserve"> </w:t>
      </w:r>
      <w:r>
        <w:t>significantly lower in the tight-glycemic-control</w:t>
      </w:r>
      <w:r>
        <w:t xml:space="preserve"> </w:t>
      </w:r>
      <w:r>
        <w:t>group than in the conventional-glycemic control</w:t>
      </w:r>
      <w:r>
        <w:t xml:space="preserve"> </w:t>
      </w:r>
      <w:r>
        <w:t>group, although renal function was not report</w:t>
      </w:r>
      <w:r>
        <w:t>ed</w:t>
      </w:r>
    </w:p>
    <w:p w:rsidR="009251A2" w:rsidRPr="009251A2" w:rsidRDefault="009251A2" w:rsidP="009251A2">
      <w:pPr>
        <w:ind w:left="360"/>
      </w:pPr>
    </w:p>
    <w:sectPr w:rsidR="009251A2" w:rsidRPr="009251A2" w:rsidSect="000578B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45581"/>
    <w:multiLevelType w:val="hybridMultilevel"/>
    <w:tmpl w:val="02303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8B7"/>
    <w:rsid w:val="000578B7"/>
    <w:rsid w:val="009251A2"/>
    <w:rsid w:val="00E61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78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8B7"/>
    <w:rPr>
      <w:rFonts w:ascii="Tahoma" w:hAnsi="Tahoma" w:cs="Tahoma"/>
      <w:sz w:val="16"/>
      <w:szCs w:val="16"/>
    </w:rPr>
  </w:style>
  <w:style w:type="paragraph" w:styleId="ListParagraph">
    <w:name w:val="List Paragraph"/>
    <w:basedOn w:val="Normal"/>
    <w:uiPriority w:val="34"/>
    <w:qFormat/>
    <w:rsid w:val="009251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78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8B7"/>
    <w:rPr>
      <w:rFonts w:ascii="Tahoma" w:hAnsi="Tahoma" w:cs="Tahoma"/>
      <w:sz w:val="16"/>
      <w:szCs w:val="16"/>
    </w:rPr>
  </w:style>
  <w:style w:type="paragraph" w:styleId="ListParagraph">
    <w:name w:val="List Paragraph"/>
    <w:basedOn w:val="Normal"/>
    <w:uiPriority w:val="34"/>
    <w:qFormat/>
    <w:rsid w:val="009251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912090">
      <w:bodyDiv w:val="1"/>
      <w:marLeft w:val="0"/>
      <w:marRight w:val="0"/>
      <w:marTop w:val="0"/>
      <w:marBottom w:val="0"/>
      <w:divBdr>
        <w:top w:val="none" w:sz="0" w:space="0" w:color="auto"/>
        <w:left w:val="none" w:sz="0" w:space="0" w:color="auto"/>
        <w:bottom w:val="none" w:sz="0" w:space="0" w:color="auto"/>
        <w:right w:val="none" w:sz="0" w:space="0" w:color="auto"/>
      </w:divBdr>
      <w:divsChild>
        <w:div w:id="1537504773">
          <w:marLeft w:val="0"/>
          <w:marRight w:val="0"/>
          <w:marTop w:val="0"/>
          <w:marBottom w:val="0"/>
          <w:divBdr>
            <w:top w:val="none" w:sz="0" w:space="0" w:color="auto"/>
            <w:left w:val="none" w:sz="0" w:space="0" w:color="auto"/>
            <w:bottom w:val="none" w:sz="0" w:space="0" w:color="auto"/>
            <w:right w:val="none" w:sz="0" w:space="0" w:color="auto"/>
          </w:divBdr>
        </w:div>
        <w:div w:id="920522825">
          <w:marLeft w:val="0"/>
          <w:marRight w:val="0"/>
          <w:marTop w:val="0"/>
          <w:marBottom w:val="0"/>
          <w:divBdr>
            <w:top w:val="none" w:sz="0" w:space="0" w:color="auto"/>
            <w:left w:val="none" w:sz="0" w:space="0" w:color="auto"/>
            <w:bottom w:val="none" w:sz="0" w:space="0" w:color="auto"/>
            <w:right w:val="none" w:sz="0" w:space="0" w:color="auto"/>
          </w:divBdr>
        </w:div>
        <w:div w:id="1125201168">
          <w:marLeft w:val="0"/>
          <w:marRight w:val="0"/>
          <w:marTop w:val="0"/>
          <w:marBottom w:val="0"/>
          <w:divBdr>
            <w:top w:val="none" w:sz="0" w:space="0" w:color="auto"/>
            <w:left w:val="none" w:sz="0" w:space="0" w:color="auto"/>
            <w:bottom w:val="none" w:sz="0" w:space="0" w:color="auto"/>
            <w:right w:val="none" w:sz="0" w:space="0" w:color="auto"/>
          </w:divBdr>
        </w:div>
        <w:div w:id="1065953813">
          <w:marLeft w:val="0"/>
          <w:marRight w:val="0"/>
          <w:marTop w:val="0"/>
          <w:marBottom w:val="0"/>
          <w:divBdr>
            <w:top w:val="none" w:sz="0" w:space="0" w:color="auto"/>
            <w:left w:val="none" w:sz="0" w:space="0" w:color="auto"/>
            <w:bottom w:val="none" w:sz="0" w:space="0" w:color="auto"/>
            <w:right w:val="none" w:sz="0" w:space="0" w:color="auto"/>
          </w:divBdr>
        </w:div>
        <w:div w:id="76905135">
          <w:marLeft w:val="0"/>
          <w:marRight w:val="0"/>
          <w:marTop w:val="0"/>
          <w:marBottom w:val="0"/>
          <w:divBdr>
            <w:top w:val="none" w:sz="0" w:space="0" w:color="auto"/>
            <w:left w:val="none" w:sz="0" w:space="0" w:color="auto"/>
            <w:bottom w:val="none" w:sz="0" w:space="0" w:color="auto"/>
            <w:right w:val="none" w:sz="0" w:space="0" w:color="auto"/>
          </w:divBdr>
        </w:div>
        <w:div w:id="725681341">
          <w:marLeft w:val="0"/>
          <w:marRight w:val="0"/>
          <w:marTop w:val="0"/>
          <w:marBottom w:val="0"/>
          <w:divBdr>
            <w:top w:val="none" w:sz="0" w:space="0" w:color="auto"/>
            <w:left w:val="none" w:sz="0" w:space="0" w:color="auto"/>
            <w:bottom w:val="none" w:sz="0" w:space="0" w:color="auto"/>
            <w:right w:val="none" w:sz="0" w:space="0" w:color="auto"/>
          </w:divBdr>
        </w:div>
        <w:div w:id="1378779050">
          <w:marLeft w:val="0"/>
          <w:marRight w:val="0"/>
          <w:marTop w:val="0"/>
          <w:marBottom w:val="0"/>
          <w:divBdr>
            <w:top w:val="none" w:sz="0" w:space="0" w:color="auto"/>
            <w:left w:val="none" w:sz="0" w:space="0" w:color="auto"/>
            <w:bottom w:val="none" w:sz="0" w:space="0" w:color="auto"/>
            <w:right w:val="none" w:sz="0" w:space="0" w:color="auto"/>
          </w:divBdr>
        </w:div>
        <w:div w:id="1174489813">
          <w:marLeft w:val="0"/>
          <w:marRight w:val="0"/>
          <w:marTop w:val="0"/>
          <w:marBottom w:val="0"/>
          <w:divBdr>
            <w:top w:val="none" w:sz="0" w:space="0" w:color="auto"/>
            <w:left w:val="none" w:sz="0" w:space="0" w:color="auto"/>
            <w:bottom w:val="none" w:sz="0" w:space="0" w:color="auto"/>
            <w:right w:val="none" w:sz="0" w:space="0" w:color="auto"/>
          </w:divBdr>
        </w:div>
        <w:div w:id="2065564392">
          <w:marLeft w:val="0"/>
          <w:marRight w:val="0"/>
          <w:marTop w:val="0"/>
          <w:marBottom w:val="0"/>
          <w:divBdr>
            <w:top w:val="none" w:sz="0" w:space="0" w:color="auto"/>
            <w:left w:val="none" w:sz="0" w:space="0" w:color="auto"/>
            <w:bottom w:val="none" w:sz="0" w:space="0" w:color="auto"/>
            <w:right w:val="none" w:sz="0" w:space="0" w:color="auto"/>
          </w:divBdr>
        </w:div>
      </w:divsChild>
    </w:div>
    <w:div w:id="496266037">
      <w:bodyDiv w:val="1"/>
      <w:marLeft w:val="0"/>
      <w:marRight w:val="0"/>
      <w:marTop w:val="0"/>
      <w:marBottom w:val="0"/>
      <w:divBdr>
        <w:top w:val="none" w:sz="0" w:space="0" w:color="auto"/>
        <w:left w:val="none" w:sz="0" w:space="0" w:color="auto"/>
        <w:bottom w:val="none" w:sz="0" w:space="0" w:color="auto"/>
        <w:right w:val="none" w:sz="0" w:space="0" w:color="auto"/>
      </w:divBdr>
      <w:divsChild>
        <w:div w:id="1686982907">
          <w:marLeft w:val="0"/>
          <w:marRight w:val="0"/>
          <w:marTop w:val="0"/>
          <w:marBottom w:val="0"/>
          <w:divBdr>
            <w:top w:val="none" w:sz="0" w:space="0" w:color="auto"/>
            <w:left w:val="none" w:sz="0" w:space="0" w:color="auto"/>
            <w:bottom w:val="none" w:sz="0" w:space="0" w:color="auto"/>
            <w:right w:val="none" w:sz="0" w:space="0" w:color="auto"/>
          </w:divBdr>
        </w:div>
        <w:div w:id="1465929811">
          <w:marLeft w:val="0"/>
          <w:marRight w:val="0"/>
          <w:marTop w:val="0"/>
          <w:marBottom w:val="0"/>
          <w:divBdr>
            <w:top w:val="none" w:sz="0" w:space="0" w:color="auto"/>
            <w:left w:val="none" w:sz="0" w:space="0" w:color="auto"/>
            <w:bottom w:val="none" w:sz="0" w:space="0" w:color="auto"/>
            <w:right w:val="none" w:sz="0" w:space="0" w:color="auto"/>
          </w:divBdr>
        </w:div>
        <w:div w:id="400106509">
          <w:marLeft w:val="0"/>
          <w:marRight w:val="0"/>
          <w:marTop w:val="0"/>
          <w:marBottom w:val="0"/>
          <w:divBdr>
            <w:top w:val="none" w:sz="0" w:space="0" w:color="auto"/>
            <w:left w:val="none" w:sz="0" w:space="0" w:color="auto"/>
            <w:bottom w:val="none" w:sz="0" w:space="0" w:color="auto"/>
            <w:right w:val="none" w:sz="0" w:space="0" w:color="auto"/>
          </w:divBdr>
        </w:div>
      </w:divsChild>
    </w:div>
    <w:div w:id="1101072523">
      <w:bodyDiv w:val="1"/>
      <w:marLeft w:val="0"/>
      <w:marRight w:val="0"/>
      <w:marTop w:val="0"/>
      <w:marBottom w:val="0"/>
      <w:divBdr>
        <w:top w:val="none" w:sz="0" w:space="0" w:color="auto"/>
        <w:left w:val="none" w:sz="0" w:space="0" w:color="auto"/>
        <w:bottom w:val="none" w:sz="0" w:space="0" w:color="auto"/>
        <w:right w:val="none" w:sz="0" w:space="0" w:color="auto"/>
      </w:divBdr>
      <w:divsChild>
        <w:div w:id="1273779650">
          <w:marLeft w:val="0"/>
          <w:marRight w:val="0"/>
          <w:marTop w:val="0"/>
          <w:marBottom w:val="0"/>
          <w:divBdr>
            <w:top w:val="none" w:sz="0" w:space="0" w:color="auto"/>
            <w:left w:val="none" w:sz="0" w:space="0" w:color="auto"/>
            <w:bottom w:val="none" w:sz="0" w:space="0" w:color="auto"/>
            <w:right w:val="none" w:sz="0" w:space="0" w:color="auto"/>
          </w:divBdr>
        </w:div>
        <w:div w:id="223954519">
          <w:marLeft w:val="0"/>
          <w:marRight w:val="0"/>
          <w:marTop w:val="0"/>
          <w:marBottom w:val="0"/>
          <w:divBdr>
            <w:top w:val="none" w:sz="0" w:space="0" w:color="auto"/>
            <w:left w:val="none" w:sz="0" w:space="0" w:color="auto"/>
            <w:bottom w:val="none" w:sz="0" w:space="0" w:color="auto"/>
            <w:right w:val="none" w:sz="0" w:space="0" w:color="auto"/>
          </w:divBdr>
        </w:div>
        <w:div w:id="541863677">
          <w:marLeft w:val="0"/>
          <w:marRight w:val="0"/>
          <w:marTop w:val="0"/>
          <w:marBottom w:val="0"/>
          <w:divBdr>
            <w:top w:val="none" w:sz="0" w:space="0" w:color="auto"/>
            <w:left w:val="none" w:sz="0" w:space="0" w:color="auto"/>
            <w:bottom w:val="none" w:sz="0" w:space="0" w:color="auto"/>
            <w:right w:val="none" w:sz="0" w:space="0" w:color="auto"/>
          </w:divBdr>
        </w:div>
        <w:div w:id="1119565544">
          <w:marLeft w:val="0"/>
          <w:marRight w:val="0"/>
          <w:marTop w:val="0"/>
          <w:marBottom w:val="0"/>
          <w:divBdr>
            <w:top w:val="none" w:sz="0" w:space="0" w:color="auto"/>
            <w:left w:val="none" w:sz="0" w:space="0" w:color="auto"/>
            <w:bottom w:val="none" w:sz="0" w:space="0" w:color="auto"/>
            <w:right w:val="none" w:sz="0" w:space="0" w:color="auto"/>
          </w:divBdr>
        </w:div>
        <w:div w:id="1846481928">
          <w:marLeft w:val="0"/>
          <w:marRight w:val="0"/>
          <w:marTop w:val="0"/>
          <w:marBottom w:val="0"/>
          <w:divBdr>
            <w:top w:val="none" w:sz="0" w:space="0" w:color="auto"/>
            <w:left w:val="none" w:sz="0" w:space="0" w:color="auto"/>
            <w:bottom w:val="none" w:sz="0" w:space="0" w:color="auto"/>
            <w:right w:val="none" w:sz="0" w:space="0" w:color="auto"/>
          </w:divBdr>
        </w:div>
        <w:div w:id="1944340900">
          <w:marLeft w:val="0"/>
          <w:marRight w:val="0"/>
          <w:marTop w:val="0"/>
          <w:marBottom w:val="0"/>
          <w:divBdr>
            <w:top w:val="none" w:sz="0" w:space="0" w:color="auto"/>
            <w:left w:val="none" w:sz="0" w:space="0" w:color="auto"/>
            <w:bottom w:val="none" w:sz="0" w:space="0" w:color="auto"/>
            <w:right w:val="none" w:sz="0" w:space="0" w:color="auto"/>
          </w:divBdr>
        </w:div>
      </w:divsChild>
    </w:div>
    <w:div w:id="2061393736">
      <w:bodyDiv w:val="1"/>
      <w:marLeft w:val="0"/>
      <w:marRight w:val="0"/>
      <w:marTop w:val="0"/>
      <w:marBottom w:val="0"/>
      <w:divBdr>
        <w:top w:val="none" w:sz="0" w:space="0" w:color="auto"/>
        <w:left w:val="none" w:sz="0" w:space="0" w:color="auto"/>
        <w:bottom w:val="none" w:sz="0" w:space="0" w:color="auto"/>
        <w:right w:val="none" w:sz="0" w:space="0" w:color="auto"/>
      </w:divBdr>
      <w:divsChild>
        <w:div w:id="882785552">
          <w:marLeft w:val="0"/>
          <w:marRight w:val="0"/>
          <w:marTop w:val="0"/>
          <w:marBottom w:val="0"/>
          <w:divBdr>
            <w:top w:val="none" w:sz="0" w:space="0" w:color="auto"/>
            <w:left w:val="none" w:sz="0" w:space="0" w:color="auto"/>
            <w:bottom w:val="none" w:sz="0" w:space="0" w:color="auto"/>
            <w:right w:val="none" w:sz="0" w:space="0" w:color="auto"/>
          </w:divBdr>
        </w:div>
        <w:div w:id="868178381">
          <w:marLeft w:val="0"/>
          <w:marRight w:val="0"/>
          <w:marTop w:val="0"/>
          <w:marBottom w:val="0"/>
          <w:divBdr>
            <w:top w:val="none" w:sz="0" w:space="0" w:color="auto"/>
            <w:left w:val="none" w:sz="0" w:space="0" w:color="auto"/>
            <w:bottom w:val="none" w:sz="0" w:space="0" w:color="auto"/>
            <w:right w:val="none" w:sz="0" w:space="0" w:color="auto"/>
          </w:divBdr>
        </w:div>
        <w:div w:id="678965298">
          <w:marLeft w:val="0"/>
          <w:marRight w:val="0"/>
          <w:marTop w:val="0"/>
          <w:marBottom w:val="0"/>
          <w:divBdr>
            <w:top w:val="none" w:sz="0" w:space="0" w:color="auto"/>
            <w:left w:val="none" w:sz="0" w:space="0" w:color="auto"/>
            <w:bottom w:val="none" w:sz="0" w:space="0" w:color="auto"/>
            <w:right w:val="none" w:sz="0" w:space="0" w:color="auto"/>
          </w:divBdr>
        </w:div>
        <w:div w:id="146360879">
          <w:marLeft w:val="0"/>
          <w:marRight w:val="0"/>
          <w:marTop w:val="0"/>
          <w:marBottom w:val="0"/>
          <w:divBdr>
            <w:top w:val="none" w:sz="0" w:space="0" w:color="auto"/>
            <w:left w:val="none" w:sz="0" w:space="0" w:color="auto"/>
            <w:bottom w:val="none" w:sz="0" w:space="0" w:color="auto"/>
            <w:right w:val="none" w:sz="0" w:space="0" w:color="auto"/>
          </w:divBdr>
        </w:div>
        <w:div w:id="272592171">
          <w:marLeft w:val="0"/>
          <w:marRight w:val="0"/>
          <w:marTop w:val="0"/>
          <w:marBottom w:val="0"/>
          <w:divBdr>
            <w:top w:val="none" w:sz="0" w:space="0" w:color="auto"/>
            <w:left w:val="none" w:sz="0" w:space="0" w:color="auto"/>
            <w:bottom w:val="none" w:sz="0" w:space="0" w:color="auto"/>
            <w:right w:val="none" w:sz="0" w:space="0" w:color="auto"/>
          </w:divBdr>
        </w:div>
        <w:div w:id="627778471">
          <w:marLeft w:val="0"/>
          <w:marRight w:val="0"/>
          <w:marTop w:val="0"/>
          <w:marBottom w:val="0"/>
          <w:divBdr>
            <w:top w:val="none" w:sz="0" w:space="0" w:color="auto"/>
            <w:left w:val="none" w:sz="0" w:space="0" w:color="auto"/>
            <w:bottom w:val="none" w:sz="0" w:space="0" w:color="auto"/>
            <w:right w:val="none" w:sz="0" w:space="0" w:color="auto"/>
          </w:divBdr>
        </w:div>
        <w:div w:id="10959755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3139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 Smith</dc:creator>
  <cp:lastModifiedBy>Josh Smith</cp:lastModifiedBy>
  <cp:revision>2</cp:revision>
  <dcterms:created xsi:type="dcterms:W3CDTF">2014-02-06T14:25:00Z</dcterms:created>
  <dcterms:modified xsi:type="dcterms:W3CDTF">2014-02-06T14:42:00Z</dcterms:modified>
</cp:coreProperties>
</file>