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F4DDC" w14:textId="77777777" w:rsidR="008F05A2" w:rsidRDefault="001C229A">
      <w:pPr>
        <w:rPr>
          <w:rFonts w:asciiTheme="majorHAnsi" w:hAnsiTheme="majorHAnsi"/>
        </w:rPr>
      </w:pPr>
      <w:r>
        <w:rPr>
          <w:rFonts w:asciiTheme="majorHAnsi" w:hAnsiTheme="majorHAnsi"/>
        </w:rPr>
        <w:t>Literature review CCM/Compendium March 2014</w:t>
      </w:r>
    </w:p>
    <w:p w14:paraId="73CAC2F7" w14:textId="77777777" w:rsidR="008D29B0" w:rsidRDefault="008D29B0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3D453B7F" wp14:editId="24085087">
            <wp:simplePos x="0" y="0"/>
            <wp:positionH relativeFrom="column">
              <wp:posOffset>0</wp:posOffset>
            </wp:positionH>
            <wp:positionV relativeFrom="paragraph">
              <wp:posOffset>186055</wp:posOffset>
            </wp:positionV>
            <wp:extent cx="5600700" cy="1701165"/>
            <wp:effectExtent l="0" t="0" r="12700" b="635"/>
            <wp:wrapTight wrapText="bothSides">
              <wp:wrapPolygon edited="0">
                <wp:start x="0" y="0"/>
                <wp:lineTo x="0" y="21286"/>
                <wp:lineTo x="21551" y="21286"/>
                <wp:lineTo x="2155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68577" w14:textId="77777777" w:rsidR="008D29B0" w:rsidRDefault="008D29B0">
      <w:pPr>
        <w:rPr>
          <w:rFonts w:asciiTheme="majorHAnsi" w:hAnsiTheme="majorHAnsi"/>
        </w:rPr>
      </w:pPr>
    </w:p>
    <w:p w14:paraId="435AEE89" w14:textId="77777777" w:rsidR="001C229A" w:rsidRDefault="001C229A">
      <w:pPr>
        <w:rPr>
          <w:rFonts w:asciiTheme="majorHAnsi" w:hAnsiTheme="majorHAnsi"/>
        </w:rPr>
      </w:pPr>
    </w:p>
    <w:p w14:paraId="127DE27A" w14:textId="77777777" w:rsidR="001C229A" w:rsidRDefault="001C229A">
      <w:pPr>
        <w:rPr>
          <w:rFonts w:asciiTheme="majorHAnsi" w:hAnsiTheme="majorHAnsi"/>
        </w:rPr>
      </w:pPr>
    </w:p>
    <w:p w14:paraId="02661A98" w14:textId="77777777" w:rsidR="008D29B0" w:rsidRDefault="008D29B0">
      <w:pPr>
        <w:rPr>
          <w:rFonts w:asciiTheme="majorHAnsi" w:hAnsiTheme="majorHAnsi"/>
        </w:rPr>
      </w:pPr>
    </w:p>
    <w:p w14:paraId="2216FC82" w14:textId="77777777" w:rsidR="008D29B0" w:rsidRDefault="008D29B0">
      <w:pPr>
        <w:rPr>
          <w:rFonts w:asciiTheme="majorHAnsi" w:hAnsiTheme="majorHAnsi"/>
        </w:rPr>
      </w:pPr>
    </w:p>
    <w:p w14:paraId="66E1BF0C" w14:textId="77777777" w:rsidR="008D29B0" w:rsidRDefault="008D29B0">
      <w:pPr>
        <w:rPr>
          <w:rFonts w:asciiTheme="majorHAnsi" w:hAnsiTheme="majorHAnsi"/>
        </w:rPr>
      </w:pPr>
    </w:p>
    <w:p w14:paraId="7D6B2C90" w14:textId="77777777" w:rsidR="008D29B0" w:rsidRDefault="008D29B0">
      <w:pPr>
        <w:rPr>
          <w:rFonts w:asciiTheme="majorHAnsi" w:hAnsiTheme="majorHAnsi"/>
        </w:rPr>
      </w:pPr>
    </w:p>
    <w:p w14:paraId="13997E29" w14:textId="77777777" w:rsidR="008D29B0" w:rsidRDefault="008D29B0">
      <w:pPr>
        <w:rPr>
          <w:rFonts w:asciiTheme="majorHAnsi" w:hAnsiTheme="majorHAnsi"/>
        </w:rPr>
      </w:pPr>
    </w:p>
    <w:p w14:paraId="0289A977" w14:textId="77777777" w:rsidR="008D29B0" w:rsidRDefault="008D29B0">
      <w:pPr>
        <w:rPr>
          <w:rFonts w:asciiTheme="majorHAnsi" w:hAnsiTheme="majorHAnsi"/>
        </w:rPr>
      </w:pPr>
    </w:p>
    <w:p w14:paraId="7636E10A" w14:textId="77777777" w:rsidR="008D29B0" w:rsidRDefault="008D29B0">
      <w:pPr>
        <w:rPr>
          <w:rFonts w:asciiTheme="majorHAnsi" w:hAnsiTheme="majorHAnsi"/>
        </w:rPr>
      </w:pPr>
    </w:p>
    <w:p w14:paraId="32644049" w14:textId="77777777" w:rsidR="008D29B0" w:rsidRDefault="008D29B0">
      <w:pPr>
        <w:rPr>
          <w:rFonts w:asciiTheme="majorHAnsi" w:hAnsiTheme="majorHAnsi"/>
        </w:rPr>
      </w:pPr>
    </w:p>
    <w:p w14:paraId="4B030078" w14:textId="77777777" w:rsidR="008D29B0" w:rsidRDefault="005F762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Current recommendations for patients includes initiation of beta-blockers and </w:t>
      </w:r>
      <w:proofErr w:type="spellStart"/>
      <w:r>
        <w:rPr>
          <w:rFonts w:asciiTheme="majorHAnsi" w:hAnsiTheme="majorHAnsi"/>
        </w:rPr>
        <w:t>ACEi</w:t>
      </w:r>
      <w:proofErr w:type="spellEnd"/>
      <w:r>
        <w:rPr>
          <w:rFonts w:asciiTheme="majorHAnsi" w:hAnsiTheme="majorHAnsi"/>
        </w:rPr>
        <w:t xml:space="preserve"> in low doses only after resolution of cardiogenic shock</w:t>
      </w:r>
    </w:p>
    <w:p w14:paraId="4D35CE2A" w14:textId="77777777" w:rsidR="00A30C5B" w:rsidRDefault="0094613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Part of </w:t>
      </w:r>
      <w:proofErr w:type="spellStart"/>
      <w:r>
        <w:rPr>
          <w:rFonts w:asciiTheme="majorHAnsi" w:hAnsiTheme="majorHAnsi"/>
        </w:rPr>
        <w:t>the</w:t>
      </w:r>
      <w:r w:rsidR="00A30C5B">
        <w:rPr>
          <w:rFonts w:asciiTheme="majorHAnsi" w:hAnsiTheme="majorHAnsi"/>
        </w:rPr>
        <w:t>TRIUMPH</w:t>
      </w:r>
      <w:proofErr w:type="spellEnd"/>
      <w:r w:rsidR="00A30C5B">
        <w:rPr>
          <w:rFonts w:asciiTheme="majorHAnsi" w:hAnsiTheme="majorHAnsi"/>
        </w:rPr>
        <w:t xml:space="preserve"> trial – </w:t>
      </w:r>
      <w:proofErr w:type="spellStart"/>
      <w:r w:rsidR="00A30C5B">
        <w:rPr>
          <w:rFonts w:asciiTheme="majorHAnsi" w:hAnsiTheme="majorHAnsi"/>
        </w:rPr>
        <w:t>Tilarginine</w:t>
      </w:r>
      <w:proofErr w:type="spellEnd"/>
      <w:r w:rsidR="00A30C5B">
        <w:rPr>
          <w:rFonts w:asciiTheme="majorHAnsi" w:hAnsiTheme="majorHAnsi"/>
        </w:rPr>
        <w:t xml:space="preserve"> acetate injection in a randomized international study in unstable MI patients with cardiogenic shock</w:t>
      </w:r>
    </w:p>
    <w:p w14:paraId="2433018B" w14:textId="77777777" w:rsidR="00A30C5B" w:rsidRDefault="00A30C5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Describe the prevalence and outcomes associated with early beta-blocker or </w:t>
      </w:r>
      <w:proofErr w:type="spellStart"/>
      <w:r>
        <w:rPr>
          <w:rFonts w:asciiTheme="majorHAnsi" w:hAnsiTheme="majorHAnsi"/>
        </w:rPr>
        <w:t>ACEi</w:t>
      </w:r>
      <w:proofErr w:type="spellEnd"/>
      <w:r>
        <w:rPr>
          <w:rFonts w:asciiTheme="majorHAnsi" w:hAnsiTheme="majorHAnsi"/>
        </w:rPr>
        <w:t xml:space="preserve"> initiation in patients with ongoing clinical signs. </w:t>
      </w:r>
    </w:p>
    <w:p w14:paraId="53CEF4A2" w14:textId="77777777" w:rsidR="00A30C5B" w:rsidRDefault="00A30C5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International multicenter double blinded randomized placebo controlled study evaluating the effect of </w:t>
      </w:r>
      <w:proofErr w:type="spellStart"/>
      <w:r>
        <w:rPr>
          <w:rFonts w:asciiTheme="majorHAnsi" w:hAnsiTheme="majorHAnsi"/>
        </w:rPr>
        <w:t>tilarginine</w:t>
      </w:r>
      <w:proofErr w:type="spellEnd"/>
      <w:r>
        <w:rPr>
          <w:rFonts w:asciiTheme="majorHAnsi" w:hAnsiTheme="majorHAnsi"/>
        </w:rPr>
        <w:t xml:space="preserve"> acetate (nitric oxide synthase inhibitor) in patients with MI complicated by cardiogenic shock that persisted despite infarct artery revascularization.</w:t>
      </w:r>
    </w:p>
    <w:p w14:paraId="458BBB1A" w14:textId="77777777" w:rsidR="00A30C5B" w:rsidRDefault="00A30C5B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n</w:t>
      </w:r>
      <w:proofErr w:type="gramEnd"/>
      <w:r>
        <w:rPr>
          <w:rFonts w:asciiTheme="majorHAnsi" w:hAnsiTheme="majorHAnsi"/>
        </w:rPr>
        <w:t>=389</w:t>
      </w:r>
    </w:p>
    <w:p w14:paraId="1C959C87" w14:textId="77777777" w:rsidR="00A30C5B" w:rsidRDefault="00A30C5B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compared</w:t>
      </w:r>
      <w:proofErr w:type="gramEnd"/>
      <w:r>
        <w:rPr>
          <w:rFonts w:asciiTheme="majorHAnsi" w:hAnsiTheme="majorHAnsi"/>
        </w:rPr>
        <w:t xml:space="preserve"> patients with CS lasting &gt;24 hours who DID or DID NOT receive beta-blockers or RAAS blockers</w:t>
      </w:r>
    </w:p>
    <w:p w14:paraId="32A2B6D8" w14:textId="77777777" w:rsidR="00A30C5B" w:rsidRDefault="00A30C5B">
      <w:pPr>
        <w:rPr>
          <w:rFonts w:asciiTheme="majorHAnsi" w:hAnsiTheme="majorHAnsi"/>
        </w:rPr>
      </w:pPr>
      <w:r>
        <w:rPr>
          <w:rFonts w:asciiTheme="majorHAnsi" w:hAnsiTheme="majorHAnsi"/>
        </w:rPr>
        <w:t>Results: 240 patients were included in analysis.</w:t>
      </w:r>
    </w:p>
    <w:p w14:paraId="274D411B" w14:textId="77777777" w:rsidR="00946130" w:rsidRDefault="00946130" w:rsidP="00946130">
      <w:pPr>
        <w:ind w:left="72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30 day</w:t>
      </w:r>
      <w:proofErr w:type="gramEnd"/>
      <w:r>
        <w:rPr>
          <w:rFonts w:asciiTheme="majorHAnsi" w:hAnsiTheme="majorHAnsi"/>
        </w:rPr>
        <w:t xml:space="preserve"> mortality was higher in the patients receiving beta-blockers or RAAS inhibitors prior to CS resolution </w:t>
      </w:r>
    </w:p>
    <w:p w14:paraId="59C76AF8" w14:textId="77777777" w:rsidR="00946130" w:rsidRDefault="00946130" w:rsidP="0094613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Administration of a beta-blocker was significantly </w:t>
      </w:r>
      <w:proofErr w:type="spellStart"/>
      <w:r>
        <w:rPr>
          <w:rFonts w:asciiTheme="majorHAnsi" w:hAnsiTheme="majorHAnsi"/>
        </w:rPr>
        <w:t>assoc</w:t>
      </w:r>
      <w:proofErr w:type="spellEnd"/>
      <w:r>
        <w:rPr>
          <w:rFonts w:asciiTheme="majorHAnsi" w:hAnsiTheme="majorHAnsi"/>
        </w:rPr>
        <w:t xml:space="preserve"> with increased 30d mortality. </w:t>
      </w:r>
    </w:p>
    <w:p w14:paraId="525F94D8" w14:textId="77777777" w:rsidR="00946130" w:rsidRDefault="00946130" w:rsidP="0094613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Among patients treated with ACEI or ARBs only no difference in mortality was observed (</w:t>
      </w:r>
      <w:proofErr w:type="spellStart"/>
      <w:r>
        <w:rPr>
          <w:rFonts w:asciiTheme="majorHAnsi" w:hAnsiTheme="majorHAnsi"/>
        </w:rPr>
        <w:t>prob</w:t>
      </w:r>
      <w:proofErr w:type="spellEnd"/>
      <w:r>
        <w:rPr>
          <w:rFonts w:asciiTheme="majorHAnsi" w:hAnsiTheme="majorHAnsi"/>
        </w:rPr>
        <w:t xml:space="preserve"> limited power to detect changes)</w:t>
      </w:r>
    </w:p>
    <w:p w14:paraId="37DDF9C3" w14:textId="77777777" w:rsidR="00946130" w:rsidRDefault="00946130" w:rsidP="00946130">
      <w:pPr>
        <w:ind w:left="72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NSD in secondary outcome of shock duration.</w:t>
      </w:r>
      <w:proofErr w:type="gramEnd"/>
    </w:p>
    <w:p w14:paraId="59C378C4" w14:textId="77777777" w:rsidR="00946130" w:rsidRDefault="00946130" w:rsidP="00946130">
      <w:pPr>
        <w:ind w:left="72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Beta blockers</w:t>
      </w:r>
      <w:proofErr w:type="gramEnd"/>
      <w:r>
        <w:rPr>
          <w:rFonts w:asciiTheme="majorHAnsi" w:hAnsiTheme="majorHAnsi"/>
        </w:rPr>
        <w:t xml:space="preserve"> alone </w:t>
      </w:r>
      <w:proofErr w:type="spellStart"/>
      <w:r>
        <w:rPr>
          <w:rFonts w:asciiTheme="majorHAnsi" w:hAnsiTheme="majorHAnsi"/>
        </w:rPr>
        <w:t>assoc</w:t>
      </w:r>
      <w:proofErr w:type="spellEnd"/>
      <w:r>
        <w:rPr>
          <w:rFonts w:asciiTheme="majorHAnsi" w:hAnsiTheme="majorHAnsi"/>
        </w:rPr>
        <w:t xml:space="preserve"> with longer median shock duration among all patients</w:t>
      </w:r>
    </w:p>
    <w:p w14:paraId="3AFCE99F" w14:textId="77777777" w:rsidR="00946130" w:rsidRDefault="00946130" w:rsidP="00946130">
      <w:pPr>
        <w:ind w:left="72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1312" behindDoc="0" locked="0" layoutInCell="1" allowOverlap="1" wp14:anchorId="6E061944" wp14:editId="7B0437D1">
            <wp:simplePos x="0" y="0"/>
            <wp:positionH relativeFrom="column">
              <wp:posOffset>457200</wp:posOffset>
            </wp:positionH>
            <wp:positionV relativeFrom="paragraph">
              <wp:posOffset>104775</wp:posOffset>
            </wp:positionV>
            <wp:extent cx="5029200" cy="2510790"/>
            <wp:effectExtent l="0" t="0" r="0" b="3810"/>
            <wp:wrapTight wrapText="bothSides">
              <wp:wrapPolygon edited="0">
                <wp:start x="0" y="0"/>
                <wp:lineTo x="0" y="21414"/>
                <wp:lineTo x="21491" y="21414"/>
                <wp:lineTo x="2149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B3A41" w14:textId="77777777" w:rsidR="00946130" w:rsidRDefault="00946130" w:rsidP="00946130">
      <w:pPr>
        <w:ind w:left="720"/>
        <w:rPr>
          <w:rFonts w:asciiTheme="majorHAnsi" w:hAnsiTheme="majorHAnsi"/>
        </w:rPr>
      </w:pPr>
    </w:p>
    <w:p w14:paraId="451679A6" w14:textId="77777777" w:rsidR="00946130" w:rsidRDefault="00946130">
      <w:pPr>
        <w:rPr>
          <w:rFonts w:asciiTheme="majorHAnsi" w:hAnsiTheme="majorHAnsi"/>
        </w:rPr>
      </w:pPr>
    </w:p>
    <w:p w14:paraId="0A45AB53" w14:textId="77777777" w:rsidR="00946130" w:rsidRDefault="00946130">
      <w:pPr>
        <w:rPr>
          <w:rFonts w:asciiTheme="majorHAnsi" w:hAnsiTheme="majorHAnsi"/>
        </w:rPr>
      </w:pPr>
    </w:p>
    <w:p w14:paraId="2DCA56B6" w14:textId="77777777" w:rsidR="00946130" w:rsidRDefault="00946130">
      <w:pPr>
        <w:rPr>
          <w:rFonts w:asciiTheme="majorHAnsi" w:hAnsiTheme="majorHAnsi"/>
        </w:rPr>
      </w:pPr>
    </w:p>
    <w:p w14:paraId="466D4980" w14:textId="77777777" w:rsidR="00946130" w:rsidRDefault="00946130">
      <w:pPr>
        <w:rPr>
          <w:rFonts w:asciiTheme="majorHAnsi" w:hAnsiTheme="majorHAnsi"/>
        </w:rPr>
      </w:pPr>
    </w:p>
    <w:p w14:paraId="69A994FB" w14:textId="77777777" w:rsidR="00946130" w:rsidRDefault="00946130">
      <w:pPr>
        <w:rPr>
          <w:rFonts w:asciiTheme="majorHAnsi" w:hAnsiTheme="majorHAnsi"/>
        </w:rPr>
      </w:pPr>
    </w:p>
    <w:p w14:paraId="29C54716" w14:textId="77777777" w:rsidR="00946130" w:rsidRDefault="00946130">
      <w:pPr>
        <w:rPr>
          <w:rFonts w:asciiTheme="majorHAnsi" w:hAnsiTheme="majorHAnsi"/>
        </w:rPr>
      </w:pPr>
    </w:p>
    <w:p w14:paraId="1044F209" w14:textId="77777777" w:rsidR="00946130" w:rsidRDefault="00946130">
      <w:pPr>
        <w:rPr>
          <w:rFonts w:asciiTheme="majorHAnsi" w:hAnsiTheme="majorHAnsi"/>
        </w:rPr>
      </w:pPr>
    </w:p>
    <w:p w14:paraId="4005EAFB" w14:textId="77777777" w:rsidR="00946130" w:rsidRDefault="00946130">
      <w:pPr>
        <w:rPr>
          <w:rFonts w:asciiTheme="majorHAnsi" w:hAnsiTheme="majorHAnsi"/>
        </w:rPr>
      </w:pPr>
    </w:p>
    <w:p w14:paraId="3E14835D" w14:textId="77777777" w:rsidR="00946130" w:rsidRDefault="00946130">
      <w:pPr>
        <w:rPr>
          <w:rFonts w:asciiTheme="majorHAnsi" w:hAnsiTheme="majorHAnsi"/>
        </w:rPr>
      </w:pPr>
    </w:p>
    <w:p w14:paraId="34005B01" w14:textId="77777777" w:rsidR="00946130" w:rsidRDefault="00946130">
      <w:pPr>
        <w:rPr>
          <w:rFonts w:asciiTheme="majorHAnsi" w:hAnsiTheme="majorHAnsi"/>
        </w:rPr>
      </w:pPr>
    </w:p>
    <w:p w14:paraId="0CB01580" w14:textId="77777777" w:rsidR="00946130" w:rsidRDefault="00946130">
      <w:pPr>
        <w:rPr>
          <w:rFonts w:asciiTheme="majorHAnsi" w:hAnsiTheme="majorHAnsi"/>
        </w:rPr>
      </w:pPr>
    </w:p>
    <w:p w14:paraId="5A3584B3" w14:textId="77777777" w:rsidR="00946130" w:rsidRDefault="00946130">
      <w:pPr>
        <w:rPr>
          <w:rFonts w:asciiTheme="majorHAnsi" w:hAnsiTheme="majorHAnsi"/>
        </w:rPr>
      </w:pPr>
    </w:p>
    <w:p w14:paraId="52309F84" w14:textId="77777777" w:rsidR="00946130" w:rsidRDefault="00946130">
      <w:pPr>
        <w:rPr>
          <w:rFonts w:asciiTheme="majorHAnsi" w:hAnsiTheme="majorHAnsi"/>
        </w:rPr>
      </w:pPr>
    </w:p>
    <w:p w14:paraId="2E6478A6" w14:textId="77777777" w:rsidR="00946130" w:rsidRDefault="00946130">
      <w:pPr>
        <w:rPr>
          <w:rFonts w:asciiTheme="majorHAnsi" w:hAnsiTheme="majorHAnsi"/>
        </w:rPr>
        <w:sectPr w:rsidR="00946130" w:rsidSect="001C229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F754F25" w14:textId="77777777" w:rsidR="00946130" w:rsidRDefault="00946130">
      <w:pPr>
        <w:rPr>
          <w:rFonts w:asciiTheme="majorHAnsi" w:hAnsiTheme="majorHAnsi"/>
        </w:rPr>
      </w:pPr>
    </w:p>
    <w:p w14:paraId="326A2C4A" w14:textId="77777777" w:rsidR="00946130" w:rsidRDefault="00946130">
      <w:pPr>
        <w:rPr>
          <w:rFonts w:asciiTheme="majorHAnsi" w:hAnsiTheme="majorHAnsi"/>
        </w:rPr>
        <w:sectPr w:rsidR="00946130" w:rsidSect="001C229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Theme="majorHAnsi" w:hAnsiTheme="majorHAnsi"/>
        </w:rPr>
        <w:t xml:space="preserve">Conclusion – 30% of all patients with ongoing CS received </w:t>
      </w:r>
      <w:proofErr w:type="gramStart"/>
      <w:r>
        <w:rPr>
          <w:rFonts w:asciiTheme="majorHAnsi" w:hAnsiTheme="majorHAnsi"/>
        </w:rPr>
        <w:t>beta blockers</w:t>
      </w:r>
      <w:proofErr w:type="gramEnd"/>
      <w:r>
        <w:rPr>
          <w:rFonts w:asciiTheme="majorHAnsi" w:hAnsiTheme="majorHAnsi"/>
        </w:rPr>
        <w:t xml:space="preserve"> or RAAS blockers and this practice was associated with higher 30 day mortality</w:t>
      </w:r>
      <w:r>
        <w:rPr>
          <w:rFonts w:asciiTheme="majorHAnsi" w:hAnsiTheme="majorHAnsi"/>
          <w:noProof/>
        </w:rPr>
        <w:drawing>
          <wp:anchor distT="0" distB="0" distL="114300" distR="114300" simplePos="0" relativeHeight="251663360" behindDoc="0" locked="0" layoutInCell="1" allowOverlap="1" wp14:anchorId="6BDE3F57" wp14:editId="4830D488">
            <wp:simplePos x="0" y="0"/>
            <wp:positionH relativeFrom="column">
              <wp:posOffset>-140970</wp:posOffset>
            </wp:positionH>
            <wp:positionV relativeFrom="paragraph">
              <wp:posOffset>0</wp:posOffset>
            </wp:positionV>
            <wp:extent cx="3455670" cy="3200400"/>
            <wp:effectExtent l="0" t="0" r="0" b="0"/>
            <wp:wrapTight wrapText="bothSides">
              <wp:wrapPolygon edited="0">
                <wp:start x="0" y="0"/>
                <wp:lineTo x="0" y="21429"/>
                <wp:lineTo x="21433" y="21429"/>
                <wp:lineTo x="2143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noProof/>
        </w:rPr>
        <w:drawing>
          <wp:anchor distT="0" distB="0" distL="114300" distR="114300" simplePos="0" relativeHeight="251665408" behindDoc="0" locked="0" layoutInCell="1" allowOverlap="1" wp14:anchorId="14563CDA" wp14:editId="4B6929B2">
            <wp:simplePos x="0" y="0"/>
            <wp:positionH relativeFrom="column">
              <wp:posOffset>3429000</wp:posOffset>
            </wp:positionH>
            <wp:positionV relativeFrom="paragraph">
              <wp:posOffset>0</wp:posOffset>
            </wp:positionV>
            <wp:extent cx="3569335" cy="3200400"/>
            <wp:effectExtent l="0" t="0" r="12065" b="0"/>
            <wp:wrapTight wrapText="bothSides">
              <wp:wrapPolygon edited="0">
                <wp:start x="0" y="0"/>
                <wp:lineTo x="0" y="21429"/>
                <wp:lineTo x="21519" y="21429"/>
                <wp:lineTo x="2151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3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t xml:space="preserve"> in this observational study.</w:t>
      </w:r>
    </w:p>
    <w:p w14:paraId="2E31D14D" w14:textId="77777777" w:rsidR="00946130" w:rsidRDefault="00946130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7456" behindDoc="0" locked="0" layoutInCell="1" allowOverlap="1" wp14:anchorId="1C717BD7" wp14:editId="48A8A95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365" cy="2194560"/>
            <wp:effectExtent l="0" t="0" r="635" b="0"/>
            <wp:wrapTight wrapText="bothSides">
              <wp:wrapPolygon edited="0">
                <wp:start x="0" y="0"/>
                <wp:lineTo x="0" y="21250"/>
                <wp:lineTo x="21522" y="21250"/>
                <wp:lineTo x="21522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96D">
        <w:rPr>
          <w:rFonts w:asciiTheme="majorHAnsi" w:hAnsiTheme="majorHAnsi"/>
        </w:rPr>
        <w:t>Cardiac troponin elevation in sepsis is thought to be due to direct toxicity of circulating substances, increased myocardial wall stress by pressure or volume overload, and renal dysfunction</w:t>
      </w:r>
    </w:p>
    <w:p w14:paraId="48373636" w14:textId="77777777" w:rsidR="00A7396D" w:rsidRDefault="00A7396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N=225 </w:t>
      </w:r>
      <w:proofErr w:type="spellStart"/>
      <w:r>
        <w:rPr>
          <w:rFonts w:asciiTheme="majorHAnsi" w:hAnsiTheme="majorHAnsi"/>
        </w:rPr>
        <w:t>echos</w:t>
      </w:r>
      <w:proofErr w:type="spellEnd"/>
      <w:r>
        <w:rPr>
          <w:rFonts w:asciiTheme="majorHAnsi" w:hAnsiTheme="majorHAnsi"/>
        </w:rPr>
        <w:t xml:space="preserve">, n=106 </w:t>
      </w:r>
      <w:proofErr w:type="spellStart"/>
      <w:r>
        <w:rPr>
          <w:rFonts w:asciiTheme="majorHAnsi" w:hAnsiTheme="majorHAnsi"/>
        </w:rPr>
        <w:t>hs-cTnT</w:t>
      </w:r>
      <w:proofErr w:type="spellEnd"/>
      <w:r>
        <w:rPr>
          <w:rFonts w:asciiTheme="majorHAnsi" w:hAnsiTheme="majorHAnsi"/>
        </w:rPr>
        <w:t xml:space="preserve"> measurements</w:t>
      </w:r>
    </w:p>
    <w:p w14:paraId="09279B26" w14:textId="77777777" w:rsidR="00A7396D" w:rsidRDefault="00A7396D">
      <w:pPr>
        <w:rPr>
          <w:rFonts w:asciiTheme="majorHAnsi" w:hAnsiTheme="majorHAnsi"/>
        </w:rPr>
      </w:pPr>
    </w:p>
    <w:p w14:paraId="4F77B900" w14:textId="77777777" w:rsidR="00A7396D" w:rsidRDefault="00A7396D">
      <w:pPr>
        <w:rPr>
          <w:rFonts w:asciiTheme="majorHAnsi" w:hAnsiTheme="majorHAnsi"/>
        </w:rPr>
      </w:pPr>
      <w:r>
        <w:rPr>
          <w:rFonts w:asciiTheme="majorHAnsi" w:hAnsiTheme="majorHAnsi"/>
        </w:rPr>
        <w:t>Results:</w:t>
      </w:r>
    </w:p>
    <w:p w14:paraId="3F0117AE" w14:textId="77777777" w:rsidR="00A7396D" w:rsidRDefault="00A7396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History of ischemic heart disease, </w:t>
      </w:r>
      <w:proofErr w:type="spellStart"/>
      <w:r>
        <w:rPr>
          <w:rFonts w:asciiTheme="majorHAnsi" w:hAnsiTheme="majorHAnsi"/>
        </w:rPr>
        <w:t>eGFR</w:t>
      </w:r>
      <w:proofErr w:type="spellEnd"/>
      <w:r>
        <w:rPr>
          <w:rFonts w:asciiTheme="majorHAnsi" w:hAnsiTheme="majorHAnsi"/>
        </w:rPr>
        <w:t xml:space="preserve">, and APACHE-II score independently correlated with </w:t>
      </w:r>
      <w:proofErr w:type="gramStart"/>
      <w:r>
        <w:rPr>
          <w:rFonts w:asciiTheme="majorHAnsi" w:hAnsiTheme="majorHAnsi"/>
        </w:rPr>
        <w:t>log10(</w:t>
      </w:r>
      <w:proofErr w:type="spellStart"/>
      <w:proofErr w:type="gramEnd"/>
      <w:r>
        <w:rPr>
          <w:rFonts w:asciiTheme="majorHAnsi" w:hAnsiTheme="majorHAnsi"/>
        </w:rPr>
        <w:t>hs-cTnT</w:t>
      </w:r>
      <w:proofErr w:type="spellEnd"/>
      <w:r>
        <w:rPr>
          <w:rFonts w:asciiTheme="majorHAnsi" w:hAnsiTheme="majorHAnsi"/>
        </w:rPr>
        <w:t>) concentrations by multivariate analysis</w:t>
      </w:r>
      <w:r w:rsidR="0061005F">
        <w:rPr>
          <w:rFonts w:asciiTheme="majorHAnsi" w:hAnsiTheme="majorHAnsi"/>
        </w:rPr>
        <w:t>.</w:t>
      </w:r>
    </w:p>
    <w:p w14:paraId="27F65085" w14:textId="77777777" w:rsidR="0061005F" w:rsidRDefault="0061005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Echocardiographic variables:  increased </w:t>
      </w:r>
      <w:proofErr w:type="spellStart"/>
      <w:r>
        <w:rPr>
          <w:rFonts w:asciiTheme="majorHAnsi" w:hAnsiTheme="majorHAnsi"/>
        </w:rPr>
        <w:t>RVESVi</w:t>
      </w:r>
      <w:proofErr w:type="spellEnd"/>
      <w:r>
        <w:rPr>
          <w:rFonts w:asciiTheme="majorHAnsi" w:hAnsiTheme="majorHAnsi"/>
        </w:rPr>
        <w:t xml:space="preserve"> and increased E/</w:t>
      </w:r>
      <w:proofErr w:type="spellStart"/>
      <w:r>
        <w:rPr>
          <w:rFonts w:asciiTheme="majorHAnsi" w:hAnsiTheme="majorHAnsi"/>
        </w:rPr>
        <w:t>SRe</w:t>
      </w:r>
      <w:proofErr w:type="spellEnd"/>
      <w:r>
        <w:rPr>
          <w:rFonts w:asciiTheme="majorHAnsi" w:hAnsiTheme="majorHAnsi"/>
        </w:rPr>
        <w:t xml:space="preserve"> wave ratio independently correlated with log10 (</w:t>
      </w:r>
      <w:proofErr w:type="spellStart"/>
      <w:r>
        <w:rPr>
          <w:rFonts w:asciiTheme="majorHAnsi" w:hAnsiTheme="majorHAnsi"/>
        </w:rPr>
        <w:t>hs-cTnT</w:t>
      </w:r>
      <w:proofErr w:type="spellEnd"/>
      <w:r>
        <w:rPr>
          <w:rFonts w:asciiTheme="majorHAnsi" w:hAnsiTheme="majorHAnsi"/>
        </w:rPr>
        <w:t>).</w:t>
      </w:r>
    </w:p>
    <w:p w14:paraId="2F7BBDC8" w14:textId="77777777" w:rsidR="0061005F" w:rsidRDefault="0061005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ROC curves using </w:t>
      </w:r>
      <w:proofErr w:type="gramStart"/>
      <w:r>
        <w:rPr>
          <w:rFonts w:asciiTheme="majorHAnsi" w:hAnsiTheme="majorHAnsi"/>
        </w:rPr>
        <w:t xml:space="preserve">four different </w:t>
      </w:r>
      <w:proofErr w:type="spellStart"/>
      <w:r>
        <w:rPr>
          <w:rFonts w:asciiTheme="majorHAnsi" w:hAnsiTheme="majorHAnsi"/>
        </w:rPr>
        <w:t>hs-cTnT</w:t>
      </w:r>
      <w:proofErr w:type="spellEnd"/>
      <w:proofErr w:type="gramEnd"/>
      <w:r>
        <w:rPr>
          <w:rFonts w:asciiTheme="majorHAnsi" w:hAnsiTheme="majorHAnsi"/>
        </w:rPr>
        <w:t xml:space="preserve">) cutoffs – showed APACHE-II score and </w:t>
      </w:r>
      <w:proofErr w:type="spellStart"/>
      <w:r>
        <w:rPr>
          <w:rFonts w:asciiTheme="majorHAnsi" w:hAnsiTheme="majorHAnsi"/>
        </w:rPr>
        <w:t>eGFR</w:t>
      </w:r>
      <w:proofErr w:type="spellEnd"/>
      <w:r>
        <w:rPr>
          <w:rFonts w:asciiTheme="majorHAnsi" w:hAnsiTheme="majorHAnsi"/>
        </w:rPr>
        <w:t xml:space="preserve"> predicted elevation at all cutoff levels, whereas </w:t>
      </w:r>
      <w:proofErr w:type="spellStart"/>
      <w:r>
        <w:rPr>
          <w:rFonts w:asciiTheme="majorHAnsi" w:hAnsiTheme="majorHAnsi"/>
        </w:rPr>
        <w:t>RVESVi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SRe</w:t>
      </w:r>
      <w:proofErr w:type="spellEnd"/>
      <w:r>
        <w:rPr>
          <w:rFonts w:asciiTheme="majorHAnsi" w:hAnsiTheme="majorHAnsi"/>
        </w:rPr>
        <w:t xml:space="preserve">-wave and </w:t>
      </w:r>
      <w:proofErr w:type="spellStart"/>
      <w:r>
        <w:rPr>
          <w:rFonts w:asciiTheme="majorHAnsi" w:hAnsiTheme="majorHAnsi"/>
        </w:rPr>
        <w:t>TDIe</w:t>
      </w:r>
      <w:proofErr w:type="spellEnd"/>
      <w:r>
        <w:rPr>
          <w:rFonts w:asciiTheme="majorHAnsi" w:hAnsiTheme="majorHAnsi"/>
        </w:rPr>
        <w:t xml:space="preserve"> wave predicted troponin elevations only at the higher cutoff values. </w:t>
      </w:r>
    </w:p>
    <w:p w14:paraId="392C75BA" w14:textId="77777777" w:rsidR="0061005F" w:rsidRDefault="0061005F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9504" behindDoc="0" locked="0" layoutInCell="1" allowOverlap="1" wp14:anchorId="09755E54" wp14:editId="76B06952">
            <wp:simplePos x="0" y="0"/>
            <wp:positionH relativeFrom="column">
              <wp:posOffset>2971800</wp:posOffset>
            </wp:positionH>
            <wp:positionV relativeFrom="paragraph">
              <wp:posOffset>335915</wp:posOffset>
            </wp:positionV>
            <wp:extent cx="4177665" cy="4698365"/>
            <wp:effectExtent l="0" t="0" r="0" b="635"/>
            <wp:wrapTight wrapText="bothSides">
              <wp:wrapPolygon edited="0">
                <wp:start x="0" y="0"/>
                <wp:lineTo x="0" y="21486"/>
                <wp:lineTo x="21406" y="21486"/>
                <wp:lineTo x="2140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65" cy="469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t>Mortality: APACHE-II score and reduced systolic blood pressure predicted in-hospitality mortality my multivariate analysis</w:t>
      </w:r>
    </w:p>
    <w:p w14:paraId="79AD32C3" w14:textId="77777777" w:rsidR="0061005F" w:rsidRDefault="0061005F">
      <w:pPr>
        <w:rPr>
          <w:rFonts w:asciiTheme="majorHAnsi" w:hAnsiTheme="majorHAnsi"/>
        </w:rPr>
      </w:pPr>
    </w:p>
    <w:p w14:paraId="04816D03" w14:textId="77777777" w:rsidR="0061005F" w:rsidRDefault="0061005F">
      <w:pPr>
        <w:rPr>
          <w:rFonts w:asciiTheme="majorHAnsi" w:hAnsiTheme="majorHAnsi"/>
        </w:rPr>
      </w:pPr>
      <w:r>
        <w:rPr>
          <w:rFonts w:asciiTheme="majorHAnsi" w:hAnsiTheme="majorHAnsi"/>
        </w:rPr>
        <w:t>Conclusions:</w:t>
      </w:r>
    </w:p>
    <w:p w14:paraId="743FBD77" w14:textId="77777777" w:rsidR="0061005F" w:rsidRPr="0061005F" w:rsidRDefault="0061005F" w:rsidP="0061005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61005F">
        <w:rPr>
          <w:rFonts w:asciiTheme="majorHAnsi" w:hAnsiTheme="majorHAnsi"/>
        </w:rPr>
        <w:t xml:space="preserve">LV diastolic dysfunction and RV dilation are the echo features best correlating with concurrent </w:t>
      </w:r>
      <w:proofErr w:type="spellStart"/>
      <w:r w:rsidRPr="0061005F">
        <w:rPr>
          <w:rFonts w:asciiTheme="majorHAnsi" w:hAnsiTheme="majorHAnsi"/>
        </w:rPr>
        <w:t>hs-cTnT</w:t>
      </w:r>
      <w:proofErr w:type="spellEnd"/>
      <w:r w:rsidRPr="0061005F">
        <w:rPr>
          <w:rFonts w:asciiTheme="majorHAnsi" w:hAnsiTheme="majorHAnsi"/>
        </w:rPr>
        <w:t xml:space="preserve"> concentration in patients with severe sepsis and septic shock independent of APACHE-II score and independent of </w:t>
      </w:r>
      <w:proofErr w:type="spellStart"/>
      <w:r w:rsidRPr="0061005F">
        <w:rPr>
          <w:rFonts w:asciiTheme="majorHAnsi" w:hAnsiTheme="majorHAnsi"/>
        </w:rPr>
        <w:t>eGFR</w:t>
      </w:r>
      <w:proofErr w:type="spellEnd"/>
      <w:r w:rsidRPr="0061005F">
        <w:rPr>
          <w:rFonts w:asciiTheme="majorHAnsi" w:hAnsiTheme="majorHAnsi"/>
        </w:rPr>
        <w:t xml:space="preserve"> the strongest clinical variables correlating with his </w:t>
      </w:r>
      <w:proofErr w:type="spellStart"/>
      <w:r w:rsidRPr="0061005F">
        <w:rPr>
          <w:rFonts w:asciiTheme="majorHAnsi" w:hAnsiTheme="majorHAnsi"/>
        </w:rPr>
        <w:t>hs-cTnT</w:t>
      </w:r>
      <w:proofErr w:type="spellEnd"/>
    </w:p>
    <w:p w14:paraId="4C5472F8" w14:textId="77777777" w:rsidR="0061005F" w:rsidRDefault="0061005F" w:rsidP="0061005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Both LV diastolic dysfunction and RV dilation predict in hospitality better than </w:t>
      </w:r>
      <w:proofErr w:type="spellStart"/>
      <w:r>
        <w:rPr>
          <w:rFonts w:asciiTheme="majorHAnsi" w:hAnsiTheme="majorHAnsi"/>
        </w:rPr>
        <w:t>hs-cTnT</w:t>
      </w:r>
      <w:proofErr w:type="spellEnd"/>
      <w:r>
        <w:rPr>
          <w:rFonts w:asciiTheme="majorHAnsi" w:hAnsiTheme="majorHAnsi"/>
        </w:rPr>
        <w:t xml:space="preserve"> suggesting</w:t>
      </w:r>
      <w:bookmarkStart w:id="0" w:name="_GoBack"/>
      <w:bookmarkEnd w:id="0"/>
      <w:r>
        <w:rPr>
          <w:rFonts w:asciiTheme="majorHAnsi" w:hAnsiTheme="majorHAnsi"/>
        </w:rPr>
        <w:t xml:space="preserve"> a potential contribution of these cardiac mechanical properties to the </w:t>
      </w:r>
      <w:proofErr w:type="spellStart"/>
      <w:r>
        <w:rPr>
          <w:rFonts w:asciiTheme="majorHAnsi" w:hAnsiTheme="majorHAnsi"/>
        </w:rPr>
        <w:t>hs-cTnT</w:t>
      </w:r>
      <w:proofErr w:type="spellEnd"/>
      <w:r>
        <w:rPr>
          <w:rFonts w:asciiTheme="majorHAnsi" w:hAnsiTheme="majorHAnsi"/>
        </w:rPr>
        <w:t xml:space="preserve"> elevations and to its associated </w:t>
      </w:r>
      <w:proofErr w:type="spellStart"/>
      <w:r>
        <w:rPr>
          <w:rFonts w:asciiTheme="majorHAnsi" w:hAnsiTheme="majorHAnsi"/>
        </w:rPr>
        <w:t>iwht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nortality</w:t>
      </w:r>
      <w:proofErr w:type="spellEnd"/>
      <w:r>
        <w:rPr>
          <w:rFonts w:asciiTheme="majorHAnsi" w:hAnsiTheme="majorHAnsi"/>
        </w:rPr>
        <w:t xml:space="preserve"> in severe sepsis an septic shock. </w:t>
      </w:r>
    </w:p>
    <w:p w14:paraId="5ECB6DEE" w14:textId="77777777" w:rsidR="0061005F" w:rsidRPr="0061005F" w:rsidRDefault="0061005F" w:rsidP="0061005F">
      <w:pPr>
        <w:rPr>
          <w:rFonts w:asciiTheme="majorHAnsi" w:hAnsiTheme="majorHAnsi"/>
        </w:rPr>
      </w:pPr>
    </w:p>
    <w:sectPr w:rsidR="0061005F" w:rsidRPr="0061005F" w:rsidSect="001C22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74E02"/>
    <w:multiLevelType w:val="hybridMultilevel"/>
    <w:tmpl w:val="418E5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29A"/>
    <w:rsid w:val="001C229A"/>
    <w:rsid w:val="005F7621"/>
    <w:rsid w:val="0061005F"/>
    <w:rsid w:val="008D29B0"/>
    <w:rsid w:val="008F05A2"/>
    <w:rsid w:val="00946130"/>
    <w:rsid w:val="00A30C5B"/>
    <w:rsid w:val="00A7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2"/>
    <o:shapelayout v:ext="edit">
      <o:idmap v:ext="edit" data="1"/>
    </o:shapelayout>
  </w:shapeDefaults>
  <w:decimalSymbol w:val="."/>
  <w:listSeparator w:val=","/>
  <w14:docId w14:val="771231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0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442</Words>
  <Characters>2523</Characters>
  <Application>Microsoft Macintosh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2</cp:revision>
  <dcterms:created xsi:type="dcterms:W3CDTF">2014-03-14T18:02:00Z</dcterms:created>
  <dcterms:modified xsi:type="dcterms:W3CDTF">2014-03-14T19:19:00Z</dcterms:modified>
</cp:coreProperties>
</file>