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06B3FD" w14:textId="77777777" w:rsidR="00EB720C" w:rsidRPr="00C548EC" w:rsidRDefault="00EB720C" w:rsidP="00EB720C">
      <w:pPr>
        <w:pStyle w:val="NormalWeb"/>
        <w:rPr>
          <w:rFonts w:asciiTheme="minorHAnsi" w:hAnsiTheme="minorHAnsi"/>
          <w:b/>
          <w:sz w:val="24"/>
          <w:szCs w:val="24"/>
          <w:u w:val="single"/>
        </w:rPr>
      </w:pPr>
      <w:bookmarkStart w:id="0" w:name="_GoBack"/>
      <w:r w:rsidRPr="00C548EC">
        <w:rPr>
          <w:rFonts w:asciiTheme="minorHAnsi" w:hAnsiTheme="minorHAnsi"/>
          <w:b/>
          <w:bCs/>
          <w:sz w:val="24"/>
          <w:szCs w:val="24"/>
          <w:u w:val="single"/>
        </w:rPr>
        <w:t xml:space="preserve">Prospective multicenter evaluation of coagulation abnormalities in dogs following severe acute trauma </w:t>
      </w:r>
    </w:p>
    <w:p w14:paraId="1333E068" w14:textId="77777777" w:rsidR="00EB720C" w:rsidRPr="00C548EC" w:rsidRDefault="00EB720C" w:rsidP="00EB720C">
      <w:pPr>
        <w:pStyle w:val="NormalWeb"/>
        <w:rPr>
          <w:rFonts w:asciiTheme="minorHAnsi" w:hAnsiTheme="minorHAnsi"/>
          <w:sz w:val="24"/>
          <w:szCs w:val="24"/>
        </w:rPr>
      </w:pPr>
      <w:r w:rsidRPr="00C548EC">
        <w:rPr>
          <w:rFonts w:asciiTheme="minorHAnsi" w:hAnsiTheme="minorHAnsi"/>
          <w:sz w:val="24"/>
          <w:szCs w:val="24"/>
        </w:rPr>
        <w:t xml:space="preserve">Marie K. </w:t>
      </w:r>
      <w:proofErr w:type="spellStart"/>
      <w:r w:rsidRPr="00C548EC">
        <w:rPr>
          <w:rFonts w:asciiTheme="minorHAnsi" w:hAnsiTheme="minorHAnsi"/>
          <w:sz w:val="24"/>
          <w:szCs w:val="24"/>
        </w:rPr>
        <w:t>Holowaychuk</w:t>
      </w:r>
      <w:proofErr w:type="spellEnd"/>
      <w:r w:rsidRPr="00C548EC">
        <w:rPr>
          <w:rFonts w:asciiTheme="minorHAnsi" w:hAnsiTheme="minorHAnsi"/>
          <w:sz w:val="24"/>
          <w:szCs w:val="24"/>
        </w:rPr>
        <w:t xml:space="preserve">, DVM, DACVECC; Rita M. </w:t>
      </w:r>
      <w:proofErr w:type="spellStart"/>
      <w:r w:rsidRPr="00C548EC">
        <w:rPr>
          <w:rFonts w:asciiTheme="minorHAnsi" w:hAnsiTheme="minorHAnsi"/>
          <w:sz w:val="24"/>
          <w:szCs w:val="24"/>
        </w:rPr>
        <w:t>Hanel</w:t>
      </w:r>
      <w:proofErr w:type="spellEnd"/>
      <w:r w:rsidRPr="00C548EC">
        <w:rPr>
          <w:rFonts w:asciiTheme="minorHAnsi" w:hAnsiTheme="minorHAnsi"/>
          <w:sz w:val="24"/>
          <w:szCs w:val="24"/>
        </w:rPr>
        <w:t xml:space="preserve">, DVM, DACVIM, DACVECC; R. Darren Wood, DVM, </w:t>
      </w:r>
      <w:proofErr w:type="spellStart"/>
      <w:r w:rsidRPr="00C548EC">
        <w:rPr>
          <w:rFonts w:asciiTheme="minorHAnsi" w:hAnsiTheme="minorHAnsi"/>
          <w:sz w:val="24"/>
          <w:szCs w:val="24"/>
        </w:rPr>
        <w:t>DVSc</w:t>
      </w:r>
      <w:proofErr w:type="spellEnd"/>
      <w:r w:rsidRPr="00C548EC">
        <w:rPr>
          <w:rFonts w:asciiTheme="minorHAnsi" w:hAnsiTheme="minorHAnsi"/>
          <w:sz w:val="24"/>
          <w:szCs w:val="24"/>
        </w:rPr>
        <w:t xml:space="preserve">, DACVP; Lindsey Rogers, DVM; Karen O’Keefe, DVM and Gabrielle </w:t>
      </w:r>
      <w:proofErr w:type="spellStart"/>
      <w:r w:rsidRPr="00C548EC">
        <w:rPr>
          <w:rFonts w:asciiTheme="minorHAnsi" w:hAnsiTheme="minorHAnsi"/>
          <w:sz w:val="24"/>
          <w:szCs w:val="24"/>
        </w:rPr>
        <w:t>Monteith</w:t>
      </w:r>
      <w:proofErr w:type="spellEnd"/>
      <w:r w:rsidRPr="00C548EC">
        <w:rPr>
          <w:rFonts w:asciiTheme="minorHAnsi" w:hAnsiTheme="minorHAnsi"/>
          <w:sz w:val="24"/>
          <w:szCs w:val="24"/>
        </w:rPr>
        <w:t>, BSc (</w:t>
      </w:r>
      <w:proofErr w:type="spellStart"/>
      <w:r w:rsidRPr="00C548EC">
        <w:rPr>
          <w:rFonts w:asciiTheme="minorHAnsi" w:hAnsiTheme="minorHAnsi"/>
          <w:sz w:val="24"/>
          <w:szCs w:val="24"/>
        </w:rPr>
        <w:t>Hons</w:t>
      </w:r>
      <w:proofErr w:type="spellEnd"/>
      <w:r w:rsidRPr="00C548EC">
        <w:rPr>
          <w:rFonts w:asciiTheme="minorHAnsi" w:hAnsiTheme="minorHAnsi"/>
          <w:sz w:val="24"/>
          <w:szCs w:val="24"/>
        </w:rPr>
        <w:t xml:space="preserve">) </w:t>
      </w:r>
    </w:p>
    <w:p w14:paraId="4834B40C" w14:textId="77777777" w:rsidR="00EB720C" w:rsidRPr="00C548EC" w:rsidRDefault="00EB720C" w:rsidP="00EB720C">
      <w:pPr>
        <w:pStyle w:val="NormalWeb"/>
        <w:rPr>
          <w:rFonts w:asciiTheme="minorHAnsi" w:hAnsiTheme="minorHAnsi"/>
          <w:sz w:val="24"/>
          <w:szCs w:val="24"/>
        </w:rPr>
      </w:pPr>
      <w:r w:rsidRPr="00C548EC">
        <w:rPr>
          <w:rFonts w:asciiTheme="minorHAnsi" w:hAnsiTheme="minorHAnsi"/>
          <w:sz w:val="24"/>
          <w:szCs w:val="24"/>
        </w:rPr>
        <w:t xml:space="preserve">Journal of Veterinary Emergency and Critical Care </w:t>
      </w:r>
      <w:r w:rsidRPr="00C548EC">
        <w:rPr>
          <w:rFonts w:asciiTheme="minorHAnsi" w:hAnsiTheme="minorHAnsi"/>
          <w:b/>
          <w:bCs/>
          <w:sz w:val="24"/>
          <w:szCs w:val="24"/>
        </w:rPr>
        <w:t>24</w:t>
      </w:r>
      <w:r w:rsidRPr="00C548EC">
        <w:rPr>
          <w:rFonts w:asciiTheme="minorHAnsi" w:hAnsiTheme="minorHAnsi"/>
          <w:sz w:val="24"/>
          <w:szCs w:val="24"/>
        </w:rPr>
        <w:t xml:space="preserve">(1) 2014, </w:t>
      </w:r>
      <w:proofErr w:type="spellStart"/>
      <w:r w:rsidRPr="00C548EC">
        <w:rPr>
          <w:rFonts w:asciiTheme="minorHAnsi" w:hAnsiTheme="minorHAnsi"/>
          <w:sz w:val="24"/>
          <w:szCs w:val="24"/>
        </w:rPr>
        <w:t>pp</w:t>
      </w:r>
      <w:proofErr w:type="spellEnd"/>
      <w:r w:rsidRPr="00C548EC">
        <w:rPr>
          <w:rFonts w:asciiTheme="minorHAnsi" w:hAnsiTheme="minorHAnsi"/>
          <w:sz w:val="24"/>
          <w:szCs w:val="24"/>
        </w:rPr>
        <w:t xml:space="preserve"> 93–104 </w:t>
      </w:r>
    </w:p>
    <w:p w14:paraId="28EC0807" w14:textId="77777777" w:rsidR="00D404C7" w:rsidRPr="00C548EC" w:rsidRDefault="00D404C7" w:rsidP="00D404C7">
      <w:pPr>
        <w:widowControl w:val="0"/>
        <w:autoSpaceDE w:val="0"/>
        <w:autoSpaceDN w:val="0"/>
        <w:adjustRightInd w:val="0"/>
        <w:spacing w:after="240"/>
        <w:rPr>
          <w:rFonts w:cs="Times"/>
        </w:rPr>
      </w:pPr>
      <w:r w:rsidRPr="00C548EC">
        <w:rPr>
          <w:rFonts w:cs="Helvetica"/>
          <w:b/>
          <w:bCs/>
        </w:rPr>
        <w:t>Abstract</w:t>
      </w:r>
    </w:p>
    <w:p w14:paraId="01FCBBF4" w14:textId="77777777" w:rsidR="00D404C7" w:rsidRPr="00C548EC" w:rsidRDefault="00D404C7" w:rsidP="00D404C7">
      <w:pPr>
        <w:widowControl w:val="0"/>
        <w:autoSpaceDE w:val="0"/>
        <w:autoSpaceDN w:val="0"/>
        <w:adjustRightInd w:val="0"/>
        <w:spacing w:after="240"/>
        <w:rPr>
          <w:rFonts w:cs="Times"/>
        </w:rPr>
      </w:pPr>
      <w:r w:rsidRPr="00C548EC">
        <w:rPr>
          <w:rFonts w:cs="Palatino"/>
          <w:b/>
          <w:bCs/>
        </w:rPr>
        <w:t xml:space="preserve">Objectives </w:t>
      </w:r>
      <w:r w:rsidRPr="00C548EC">
        <w:rPr>
          <w:rFonts w:cs="Palatino"/>
        </w:rPr>
        <w:t>– To describe coagulation abnormalities in dogs following severe acute trauma and to evaluate the relationship between coagulation, clinical, and laboratory variables, and disease and injury severity, as well as the ability of coagulation variables to predict the presence of body cavity hemorrhage (BCH), necessity of blood product administration, and outcome.</w:t>
      </w:r>
    </w:p>
    <w:p w14:paraId="57C33716" w14:textId="77777777" w:rsidR="00D404C7" w:rsidRPr="00C548EC" w:rsidRDefault="00D404C7" w:rsidP="00D404C7">
      <w:pPr>
        <w:widowControl w:val="0"/>
        <w:autoSpaceDE w:val="0"/>
        <w:autoSpaceDN w:val="0"/>
        <w:adjustRightInd w:val="0"/>
        <w:spacing w:after="240"/>
        <w:rPr>
          <w:rFonts w:cs="Palatino"/>
        </w:rPr>
      </w:pPr>
      <w:r w:rsidRPr="00C548EC">
        <w:rPr>
          <w:rFonts w:cs="Palatino"/>
          <w:b/>
          <w:bCs/>
        </w:rPr>
        <w:t xml:space="preserve">Design </w:t>
      </w:r>
      <w:r w:rsidRPr="00C548EC">
        <w:rPr>
          <w:rFonts w:cs="Palatino"/>
        </w:rPr>
        <w:t>– Prospective, multicenter, observational study. </w:t>
      </w:r>
      <w:r w:rsidRPr="00C548EC">
        <w:rPr>
          <w:rFonts w:cs="Palatino"/>
          <w:b/>
          <w:bCs/>
        </w:rPr>
        <w:t xml:space="preserve">Setting </w:t>
      </w:r>
      <w:r w:rsidRPr="00C548EC">
        <w:rPr>
          <w:rFonts w:cs="Palatino"/>
        </w:rPr>
        <w:t>– Two university teaching hospitals. </w:t>
      </w:r>
    </w:p>
    <w:p w14:paraId="772530B7" w14:textId="77777777" w:rsidR="00D404C7" w:rsidRPr="00C548EC" w:rsidRDefault="00D404C7" w:rsidP="00D404C7">
      <w:pPr>
        <w:widowControl w:val="0"/>
        <w:autoSpaceDE w:val="0"/>
        <w:autoSpaceDN w:val="0"/>
        <w:adjustRightInd w:val="0"/>
        <w:spacing w:after="240"/>
        <w:rPr>
          <w:rFonts w:cs="Palatino"/>
        </w:rPr>
      </w:pPr>
      <w:r w:rsidRPr="00C548EC">
        <w:rPr>
          <w:rFonts w:cs="Palatino"/>
          <w:b/>
          <w:bCs/>
        </w:rPr>
        <w:t xml:space="preserve">Animals </w:t>
      </w:r>
      <w:r w:rsidRPr="00C548EC">
        <w:rPr>
          <w:rFonts w:cs="Palatino"/>
        </w:rPr>
        <w:t>– Forty client-owned dogs sustaining severe blunt or penetrating trauma. </w:t>
      </w:r>
    </w:p>
    <w:p w14:paraId="68CAD8A2" w14:textId="77777777" w:rsidR="00D404C7" w:rsidRPr="00C548EC" w:rsidRDefault="00D404C7" w:rsidP="00D404C7">
      <w:pPr>
        <w:widowControl w:val="0"/>
        <w:autoSpaceDE w:val="0"/>
        <w:autoSpaceDN w:val="0"/>
        <w:adjustRightInd w:val="0"/>
        <w:spacing w:after="240"/>
        <w:rPr>
          <w:rFonts w:cs="Palatino"/>
        </w:rPr>
      </w:pPr>
      <w:r w:rsidRPr="00C548EC">
        <w:rPr>
          <w:rFonts w:cs="Palatino"/>
          <w:b/>
          <w:bCs/>
        </w:rPr>
        <w:t xml:space="preserve">Interventions </w:t>
      </w:r>
      <w:r w:rsidRPr="00C548EC">
        <w:rPr>
          <w:rFonts w:cs="Palatino"/>
        </w:rPr>
        <w:t xml:space="preserve">– Blood samples were collected within 12 hours of the traumatic incident for measurement of blood gases, lactate concentration, platelet count, activated clotting time, </w:t>
      </w:r>
      <w:proofErr w:type="spellStart"/>
      <w:r w:rsidRPr="00C548EC">
        <w:rPr>
          <w:rFonts w:cs="Palatino"/>
        </w:rPr>
        <w:t>prothrombin</w:t>
      </w:r>
      <w:proofErr w:type="spellEnd"/>
      <w:r w:rsidRPr="00C548EC">
        <w:rPr>
          <w:rFonts w:cs="Palatino"/>
        </w:rPr>
        <w:t xml:space="preserve"> time, activated partial </w:t>
      </w:r>
      <w:proofErr w:type="spellStart"/>
      <w:r w:rsidRPr="00C548EC">
        <w:rPr>
          <w:rFonts w:cs="Palatino"/>
        </w:rPr>
        <w:t>thromboplastin</w:t>
      </w:r>
      <w:proofErr w:type="spellEnd"/>
      <w:r w:rsidRPr="00C548EC">
        <w:rPr>
          <w:rFonts w:cs="Palatino"/>
        </w:rPr>
        <w:t xml:space="preserve"> time (</w:t>
      </w:r>
      <w:proofErr w:type="spellStart"/>
      <w:r w:rsidRPr="00C548EC">
        <w:rPr>
          <w:rFonts w:cs="Palatino"/>
        </w:rPr>
        <w:t>aPTT</w:t>
      </w:r>
      <w:proofErr w:type="spellEnd"/>
      <w:r w:rsidRPr="00C548EC">
        <w:rPr>
          <w:rFonts w:cs="Palatino"/>
        </w:rPr>
        <w:t xml:space="preserve">), fibrinogen concentration, </w:t>
      </w:r>
      <w:proofErr w:type="spellStart"/>
      <w:r w:rsidRPr="00C548EC">
        <w:rPr>
          <w:rFonts w:cs="Palatino"/>
        </w:rPr>
        <w:t>antithrombin</w:t>
      </w:r>
      <w:proofErr w:type="spellEnd"/>
      <w:r w:rsidRPr="00C548EC">
        <w:rPr>
          <w:rFonts w:cs="Palatino"/>
        </w:rPr>
        <w:t xml:space="preserve"> activity, D-dimer concentration, protein C activity, plasmin inhibition, plasminogen activity, and kaolin-activated </w:t>
      </w:r>
      <w:proofErr w:type="spellStart"/>
      <w:r w:rsidRPr="00C548EC">
        <w:rPr>
          <w:rFonts w:cs="Palatino"/>
        </w:rPr>
        <w:t>thomboelastography</w:t>
      </w:r>
      <w:proofErr w:type="spellEnd"/>
      <w:r w:rsidRPr="00C548EC">
        <w:rPr>
          <w:rFonts w:cs="Palatino"/>
        </w:rPr>
        <w:t>. </w:t>
      </w:r>
    </w:p>
    <w:p w14:paraId="48E5BE4E" w14:textId="4165AABA" w:rsidR="00D404C7" w:rsidRPr="00C548EC" w:rsidRDefault="00D404C7" w:rsidP="00D404C7">
      <w:pPr>
        <w:widowControl w:val="0"/>
        <w:autoSpaceDE w:val="0"/>
        <w:autoSpaceDN w:val="0"/>
        <w:adjustRightInd w:val="0"/>
        <w:spacing w:after="240"/>
        <w:rPr>
          <w:rFonts w:cs="Palatino"/>
        </w:rPr>
      </w:pPr>
      <w:r w:rsidRPr="00C548EC">
        <w:rPr>
          <w:rFonts w:cs="Palatino"/>
          <w:b/>
          <w:bCs/>
        </w:rPr>
        <w:t xml:space="preserve">Results </w:t>
      </w:r>
      <w:r w:rsidRPr="00C548EC">
        <w:rPr>
          <w:rFonts w:cs="Palatino"/>
        </w:rPr>
        <w:t>– Decreased platelet count was a risk factor for the presence of BCH (</w:t>
      </w:r>
      <w:r w:rsidRPr="00C548EC">
        <w:rPr>
          <w:rFonts w:cs="Palatino"/>
          <w:i/>
          <w:iCs/>
        </w:rPr>
        <w:t xml:space="preserve">P </w:t>
      </w:r>
      <w:r w:rsidRPr="00C548EC">
        <w:rPr>
          <w:rFonts w:cs="Times"/>
        </w:rPr>
        <w:t xml:space="preserve">= </w:t>
      </w:r>
      <w:r w:rsidRPr="00C548EC">
        <w:rPr>
          <w:rFonts w:cs="Palatino"/>
        </w:rPr>
        <w:t>0.006) and decreased platelet count (</w:t>
      </w:r>
      <w:r w:rsidRPr="00C548EC">
        <w:rPr>
          <w:rFonts w:cs="Palatino"/>
          <w:i/>
          <w:iCs/>
        </w:rPr>
        <w:t xml:space="preserve">P </w:t>
      </w:r>
      <w:r w:rsidRPr="00C548EC">
        <w:rPr>
          <w:rFonts w:cs="Times"/>
        </w:rPr>
        <w:t xml:space="preserve">&lt; </w:t>
      </w:r>
      <w:r w:rsidRPr="00C548EC">
        <w:rPr>
          <w:rFonts w:cs="Palatino"/>
        </w:rPr>
        <w:t>0.001), protein C activity (</w:t>
      </w:r>
      <w:r w:rsidRPr="00C548EC">
        <w:rPr>
          <w:rFonts w:cs="Palatino"/>
          <w:i/>
          <w:iCs/>
        </w:rPr>
        <w:t xml:space="preserve">P </w:t>
      </w:r>
      <w:r w:rsidRPr="00C548EC">
        <w:rPr>
          <w:rFonts w:cs="Times"/>
        </w:rPr>
        <w:t xml:space="preserve">= </w:t>
      </w:r>
      <w:r w:rsidRPr="00C548EC">
        <w:rPr>
          <w:rFonts w:cs="Palatino"/>
        </w:rPr>
        <w:t>0.001), angle (</w:t>
      </w:r>
      <w:r w:rsidR="002149F8" w:rsidRPr="00C548EC">
        <w:rPr>
          <w:rFonts w:cs="Times"/>
        </w:rPr>
        <w:t>α</w:t>
      </w:r>
      <w:r w:rsidRPr="00C548EC">
        <w:rPr>
          <w:rFonts w:cs="Palatino"/>
        </w:rPr>
        <w:t>) (</w:t>
      </w:r>
      <w:r w:rsidRPr="00C548EC">
        <w:rPr>
          <w:rFonts w:cs="Palatino"/>
          <w:i/>
          <w:iCs/>
        </w:rPr>
        <w:t xml:space="preserve">P </w:t>
      </w:r>
      <w:r w:rsidRPr="00C548EC">
        <w:rPr>
          <w:rFonts w:cs="Times"/>
        </w:rPr>
        <w:t xml:space="preserve">= </w:t>
      </w:r>
      <w:r w:rsidRPr="00C548EC">
        <w:rPr>
          <w:rFonts w:cs="Palatino"/>
        </w:rPr>
        <w:t>0.001), maximum amplitude (MA) (</w:t>
      </w:r>
      <w:r w:rsidRPr="00C548EC">
        <w:rPr>
          <w:rFonts w:cs="Palatino"/>
          <w:i/>
          <w:iCs/>
        </w:rPr>
        <w:t xml:space="preserve">P </w:t>
      </w:r>
      <w:r w:rsidRPr="00C548EC">
        <w:rPr>
          <w:rFonts w:cs="Times"/>
        </w:rPr>
        <w:t xml:space="preserve">&lt; </w:t>
      </w:r>
      <w:r w:rsidRPr="00C548EC">
        <w:rPr>
          <w:rFonts w:cs="Palatino"/>
        </w:rPr>
        <w:t>0.001), and clot strength (G) (</w:t>
      </w:r>
      <w:r w:rsidRPr="00C548EC">
        <w:rPr>
          <w:rFonts w:cs="Palatino"/>
          <w:i/>
          <w:iCs/>
        </w:rPr>
        <w:t xml:space="preserve">P </w:t>
      </w:r>
      <w:r w:rsidRPr="00C548EC">
        <w:rPr>
          <w:rFonts w:cs="Times"/>
        </w:rPr>
        <w:t xml:space="preserve">= </w:t>
      </w:r>
      <w:r w:rsidRPr="00C548EC">
        <w:rPr>
          <w:rFonts w:cs="Palatino"/>
        </w:rPr>
        <w:t xml:space="preserve">0.002) were risk factors for blood product administration. </w:t>
      </w:r>
      <w:proofErr w:type="spellStart"/>
      <w:r w:rsidRPr="00C548EC">
        <w:rPr>
          <w:rFonts w:cs="Palatino"/>
        </w:rPr>
        <w:t>Nonsurviving</w:t>
      </w:r>
      <w:proofErr w:type="spellEnd"/>
      <w:r w:rsidRPr="00C548EC">
        <w:rPr>
          <w:rFonts w:cs="Palatino"/>
        </w:rPr>
        <w:t xml:space="preserve"> dogs were </w:t>
      </w:r>
      <w:proofErr w:type="spellStart"/>
      <w:r w:rsidRPr="00C548EC">
        <w:rPr>
          <w:rFonts w:cs="Palatino"/>
        </w:rPr>
        <w:t>hypocoagulable</w:t>
      </w:r>
      <w:proofErr w:type="spellEnd"/>
      <w:r w:rsidRPr="00C548EC">
        <w:rPr>
          <w:rFonts w:cs="Palatino"/>
        </w:rPr>
        <w:t xml:space="preserve"> with prolonged </w:t>
      </w:r>
      <w:proofErr w:type="spellStart"/>
      <w:r w:rsidRPr="00C548EC">
        <w:rPr>
          <w:rFonts w:cs="Palatino"/>
        </w:rPr>
        <w:t>aPTT</w:t>
      </w:r>
      <w:proofErr w:type="spellEnd"/>
      <w:r w:rsidRPr="00C548EC">
        <w:rPr>
          <w:rFonts w:cs="Palatino"/>
        </w:rPr>
        <w:t xml:space="preserve"> (</w:t>
      </w:r>
      <w:r w:rsidRPr="00C548EC">
        <w:rPr>
          <w:rFonts w:cs="Palatino"/>
          <w:i/>
          <w:iCs/>
        </w:rPr>
        <w:t xml:space="preserve">P </w:t>
      </w:r>
      <w:r w:rsidRPr="00C548EC">
        <w:rPr>
          <w:rFonts w:cs="Times"/>
        </w:rPr>
        <w:t xml:space="preserve">= </w:t>
      </w:r>
      <w:r w:rsidRPr="00C548EC">
        <w:rPr>
          <w:rFonts w:cs="Palatino"/>
        </w:rPr>
        <w:t>0.008), decreased plasmin inhibition (</w:t>
      </w:r>
      <w:r w:rsidRPr="00C548EC">
        <w:rPr>
          <w:rFonts w:cs="Palatino"/>
          <w:i/>
          <w:iCs/>
        </w:rPr>
        <w:t xml:space="preserve">P </w:t>
      </w:r>
      <w:r w:rsidRPr="00C548EC">
        <w:rPr>
          <w:rFonts w:cs="Times"/>
        </w:rPr>
        <w:t xml:space="preserve">= </w:t>
      </w:r>
      <w:r w:rsidRPr="00C548EC">
        <w:rPr>
          <w:rFonts w:cs="Palatino"/>
        </w:rPr>
        <w:t xml:space="preserve">0.033), decreased </w:t>
      </w:r>
      <w:r w:rsidR="002149F8" w:rsidRPr="00C548EC">
        <w:rPr>
          <w:rFonts w:cs="Times"/>
        </w:rPr>
        <w:t xml:space="preserve">α </w:t>
      </w:r>
      <w:r w:rsidRPr="00C548EC">
        <w:rPr>
          <w:rFonts w:cs="Palatino"/>
        </w:rPr>
        <w:t>(</w:t>
      </w:r>
      <w:r w:rsidRPr="00C548EC">
        <w:rPr>
          <w:rFonts w:cs="Palatino"/>
          <w:i/>
          <w:iCs/>
        </w:rPr>
        <w:t xml:space="preserve">P </w:t>
      </w:r>
      <w:r w:rsidRPr="00C548EC">
        <w:rPr>
          <w:rFonts w:cs="Times"/>
        </w:rPr>
        <w:t xml:space="preserve">= </w:t>
      </w:r>
      <w:r w:rsidRPr="00C548EC">
        <w:rPr>
          <w:rFonts w:cs="Palatino"/>
        </w:rPr>
        <w:t>0.021), and decreased MA (</w:t>
      </w:r>
      <w:r w:rsidRPr="00C548EC">
        <w:rPr>
          <w:rFonts w:cs="Palatino"/>
          <w:i/>
          <w:iCs/>
        </w:rPr>
        <w:t xml:space="preserve">P </w:t>
      </w:r>
      <w:r w:rsidRPr="00C548EC">
        <w:rPr>
          <w:rFonts w:cs="Times"/>
        </w:rPr>
        <w:t xml:space="preserve">= </w:t>
      </w:r>
      <w:r w:rsidRPr="00C548EC">
        <w:rPr>
          <w:rFonts w:cs="Palatino"/>
        </w:rPr>
        <w:t xml:space="preserve">0.038) compared to surviving dogs. Multivariate analysis accounting for disease severity showed that prolonged </w:t>
      </w:r>
      <w:proofErr w:type="spellStart"/>
      <w:r w:rsidRPr="00C548EC">
        <w:rPr>
          <w:rFonts w:cs="Palatino"/>
        </w:rPr>
        <w:t>aPTT</w:t>
      </w:r>
      <w:proofErr w:type="spellEnd"/>
      <w:r w:rsidRPr="00C548EC">
        <w:rPr>
          <w:rFonts w:cs="Palatino"/>
        </w:rPr>
        <w:t xml:space="preserve"> (</w:t>
      </w:r>
      <w:r w:rsidRPr="00C548EC">
        <w:rPr>
          <w:rFonts w:cs="Palatino"/>
          <w:i/>
          <w:iCs/>
        </w:rPr>
        <w:t xml:space="preserve">P </w:t>
      </w:r>
      <w:r w:rsidRPr="00C548EC">
        <w:rPr>
          <w:rFonts w:cs="Times"/>
        </w:rPr>
        <w:t xml:space="preserve">= </w:t>
      </w:r>
      <w:r w:rsidRPr="00C548EC">
        <w:rPr>
          <w:rFonts w:cs="Palatino"/>
        </w:rPr>
        <w:t xml:space="preserve">0.004, OR </w:t>
      </w:r>
      <w:r w:rsidRPr="00C548EC">
        <w:rPr>
          <w:rFonts w:cs="Times"/>
        </w:rPr>
        <w:t xml:space="preserve">= </w:t>
      </w:r>
      <w:r w:rsidRPr="00C548EC">
        <w:rPr>
          <w:rFonts w:cs="Palatino"/>
        </w:rPr>
        <w:t xml:space="preserve">1.74) was the strongest predictor of </w:t>
      </w:r>
      <w:proofErr w:type="spellStart"/>
      <w:r w:rsidRPr="00C548EC">
        <w:rPr>
          <w:rFonts w:cs="Palatino"/>
        </w:rPr>
        <w:t>nonsurvival</w:t>
      </w:r>
      <w:proofErr w:type="spellEnd"/>
      <w:r w:rsidRPr="00C548EC">
        <w:rPr>
          <w:rFonts w:cs="Palatino"/>
        </w:rPr>
        <w:t xml:space="preserve">. Prolonged </w:t>
      </w:r>
      <w:proofErr w:type="spellStart"/>
      <w:r w:rsidRPr="00C548EC">
        <w:rPr>
          <w:rFonts w:cs="Palatino"/>
        </w:rPr>
        <w:t>aPTT</w:t>
      </w:r>
      <w:proofErr w:type="spellEnd"/>
      <w:r w:rsidRPr="00C548EC">
        <w:rPr>
          <w:rFonts w:cs="Palatino"/>
        </w:rPr>
        <w:t xml:space="preserve"> was positively correlated with APPLE-fast score (</w:t>
      </w:r>
      <w:r w:rsidRPr="00C548EC">
        <w:rPr>
          <w:rFonts w:cs="Palatino"/>
          <w:i/>
          <w:iCs/>
        </w:rPr>
        <w:t xml:space="preserve">P </w:t>
      </w:r>
      <w:r w:rsidRPr="00C548EC">
        <w:rPr>
          <w:rFonts w:cs="Times"/>
        </w:rPr>
        <w:t xml:space="preserve">&lt; </w:t>
      </w:r>
      <w:r w:rsidRPr="00C548EC">
        <w:rPr>
          <w:rFonts w:cs="Palatino"/>
        </w:rPr>
        <w:t xml:space="preserve">0.001, </w:t>
      </w:r>
      <w:r w:rsidRPr="00C548EC">
        <w:rPr>
          <w:rFonts w:cs="Palatino"/>
          <w:i/>
          <w:iCs/>
        </w:rPr>
        <w:t>r</w:t>
      </w:r>
      <w:r w:rsidRPr="00C548EC">
        <w:rPr>
          <w:rFonts w:cs="Palatino"/>
          <w:position w:val="8"/>
        </w:rPr>
        <w:t xml:space="preserve">2 </w:t>
      </w:r>
      <w:r w:rsidRPr="00C548EC">
        <w:rPr>
          <w:rFonts w:cs="Times"/>
        </w:rPr>
        <w:t xml:space="preserve">= </w:t>
      </w:r>
      <w:r w:rsidRPr="00C548EC">
        <w:rPr>
          <w:rFonts w:cs="Palatino"/>
        </w:rPr>
        <w:t>0.35), lactate concentration (</w:t>
      </w:r>
      <w:r w:rsidRPr="00C548EC">
        <w:rPr>
          <w:rFonts w:cs="Palatino"/>
          <w:i/>
          <w:iCs/>
        </w:rPr>
        <w:t xml:space="preserve">P </w:t>
      </w:r>
      <w:r w:rsidRPr="00C548EC">
        <w:rPr>
          <w:rFonts w:cs="Times"/>
        </w:rPr>
        <w:t xml:space="preserve">&lt; </w:t>
      </w:r>
      <w:r w:rsidRPr="00C548EC">
        <w:rPr>
          <w:rFonts w:cs="Palatino"/>
        </w:rPr>
        <w:t xml:space="preserve">0.001, </w:t>
      </w:r>
      <w:r w:rsidRPr="00C548EC">
        <w:rPr>
          <w:rFonts w:cs="Palatino"/>
          <w:i/>
          <w:iCs/>
        </w:rPr>
        <w:t>r</w:t>
      </w:r>
      <w:r w:rsidRPr="00C548EC">
        <w:rPr>
          <w:rFonts w:cs="Palatino"/>
          <w:position w:val="8"/>
        </w:rPr>
        <w:t xml:space="preserve">2 </w:t>
      </w:r>
      <w:r w:rsidRPr="00C548EC">
        <w:rPr>
          <w:rFonts w:cs="Times"/>
        </w:rPr>
        <w:t xml:space="preserve">= </w:t>
      </w:r>
      <w:r w:rsidRPr="00C548EC">
        <w:rPr>
          <w:rFonts w:cs="Palatino"/>
        </w:rPr>
        <w:t>0.35), and negative base excess (</w:t>
      </w:r>
      <w:r w:rsidRPr="00C548EC">
        <w:rPr>
          <w:rFonts w:cs="Palatino"/>
          <w:i/>
          <w:iCs/>
        </w:rPr>
        <w:t xml:space="preserve">P </w:t>
      </w:r>
      <w:r w:rsidRPr="00C548EC">
        <w:rPr>
          <w:rFonts w:cs="Times"/>
        </w:rPr>
        <w:t xml:space="preserve">= </w:t>
      </w:r>
      <w:r w:rsidRPr="00C548EC">
        <w:rPr>
          <w:rFonts w:cs="Palatino"/>
        </w:rPr>
        <w:t xml:space="preserve">0.001, </w:t>
      </w:r>
      <w:r w:rsidRPr="00C548EC">
        <w:rPr>
          <w:rFonts w:cs="Palatino"/>
          <w:i/>
          <w:iCs/>
        </w:rPr>
        <w:t>r</w:t>
      </w:r>
      <w:r w:rsidRPr="00C548EC">
        <w:rPr>
          <w:rFonts w:cs="Palatino"/>
          <w:position w:val="8"/>
        </w:rPr>
        <w:t xml:space="preserve">2 </w:t>
      </w:r>
      <w:r w:rsidRPr="00C548EC">
        <w:rPr>
          <w:rFonts w:cs="Times"/>
        </w:rPr>
        <w:t xml:space="preserve">= </w:t>
      </w:r>
      <w:r w:rsidRPr="00C548EC">
        <w:rPr>
          <w:rFonts w:cs="Palatino"/>
        </w:rPr>
        <w:t>0.27). Acute traumatic coagulopathy, as defined by 2 or more abnormal coagulation tests, was diagnosed in 15% of dogs at hospital admission and was more common in dogs with increased disease severity (</w:t>
      </w:r>
      <w:r w:rsidRPr="00C548EC">
        <w:rPr>
          <w:rFonts w:cs="Palatino"/>
          <w:i/>
          <w:iCs/>
        </w:rPr>
        <w:t xml:space="preserve">P </w:t>
      </w:r>
      <w:r w:rsidRPr="00C548EC">
        <w:rPr>
          <w:rFonts w:cs="Times"/>
        </w:rPr>
        <w:t xml:space="preserve">= </w:t>
      </w:r>
      <w:r w:rsidRPr="00C548EC">
        <w:rPr>
          <w:rFonts w:cs="Palatino"/>
        </w:rPr>
        <w:t>0.002), decreased systolic blood pressure (</w:t>
      </w:r>
      <w:r w:rsidRPr="00C548EC">
        <w:rPr>
          <w:rFonts w:cs="Palatino"/>
          <w:i/>
          <w:iCs/>
        </w:rPr>
        <w:t xml:space="preserve">P </w:t>
      </w:r>
      <w:r w:rsidRPr="00C548EC">
        <w:rPr>
          <w:rFonts w:cs="Times"/>
        </w:rPr>
        <w:t xml:space="preserve">= </w:t>
      </w:r>
      <w:r w:rsidRPr="00C548EC">
        <w:rPr>
          <w:rFonts w:cs="Palatino"/>
        </w:rPr>
        <w:t>0.002), and increased lactate concentration (</w:t>
      </w:r>
      <w:r w:rsidRPr="00C548EC">
        <w:rPr>
          <w:rFonts w:cs="Palatino"/>
          <w:i/>
          <w:iCs/>
        </w:rPr>
        <w:t xml:space="preserve">P </w:t>
      </w:r>
      <w:r w:rsidRPr="00C548EC">
        <w:rPr>
          <w:rFonts w:cs="Times"/>
        </w:rPr>
        <w:t xml:space="preserve">= </w:t>
      </w:r>
      <w:r w:rsidRPr="00C548EC">
        <w:rPr>
          <w:rFonts w:cs="Palatino"/>
        </w:rPr>
        <w:t>0.011). </w:t>
      </w:r>
    </w:p>
    <w:p w14:paraId="4D36B421" w14:textId="55B35B6C" w:rsidR="00950D80" w:rsidRPr="00C548EC" w:rsidRDefault="00D404C7" w:rsidP="00D404C7">
      <w:pPr>
        <w:widowControl w:val="0"/>
        <w:autoSpaceDE w:val="0"/>
        <w:autoSpaceDN w:val="0"/>
        <w:adjustRightInd w:val="0"/>
        <w:spacing w:after="240"/>
        <w:rPr>
          <w:rFonts w:cs="Palatino"/>
        </w:rPr>
      </w:pPr>
      <w:r w:rsidRPr="00C548EC">
        <w:rPr>
          <w:rFonts w:cs="Palatino"/>
          <w:b/>
          <w:bCs/>
        </w:rPr>
        <w:t xml:space="preserve">Conclusions </w:t>
      </w:r>
      <w:r w:rsidRPr="00C548EC">
        <w:rPr>
          <w:rFonts w:cs="Palatino"/>
        </w:rPr>
        <w:t xml:space="preserve">– In dogs with severe traumatic injuries and </w:t>
      </w:r>
      <w:proofErr w:type="spellStart"/>
      <w:r w:rsidRPr="00C548EC">
        <w:rPr>
          <w:rFonts w:cs="Palatino"/>
        </w:rPr>
        <w:t>hypoperfusion</w:t>
      </w:r>
      <w:proofErr w:type="spellEnd"/>
      <w:r w:rsidRPr="00C548EC">
        <w:rPr>
          <w:rFonts w:cs="Palatino"/>
        </w:rPr>
        <w:t xml:space="preserve">, measurement of </w:t>
      </w:r>
      <w:proofErr w:type="spellStart"/>
      <w:r w:rsidRPr="00C548EC">
        <w:rPr>
          <w:rFonts w:cs="Palatino"/>
        </w:rPr>
        <w:t>thromboelastography</w:t>
      </w:r>
      <w:proofErr w:type="spellEnd"/>
      <w:r w:rsidRPr="00C548EC">
        <w:rPr>
          <w:rFonts w:cs="Palatino"/>
        </w:rPr>
        <w:t xml:space="preserve"> and </w:t>
      </w:r>
      <w:proofErr w:type="spellStart"/>
      <w:r w:rsidRPr="00C548EC">
        <w:rPr>
          <w:rFonts w:cs="Palatino"/>
        </w:rPr>
        <w:t>aPTT</w:t>
      </w:r>
      <w:proofErr w:type="spellEnd"/>
      <w:r w:rsidRPr="00C548EC">
        <w:rPr>
          <w:rFonts w:cs="Palatino"/>
        </w:rPr>
        <w:t xml:space="preserve"> should be considered to support </w:t>
      </w:r>
      <w:r w:rsidRPr="00C548EC">
        <w:rPr>
          <w:rFonts w:cs="Palatino"/>
        </w:rPr>
        <w:lastRenderedPageBreak/>
        <w:t xml:space="preserve">clinical assessments in predicting the need for blood product administration and </w:t>
      </w:r>
      <w:proofErr w:type="spellStart"/>
      <w:r w:rsidRPr="00C548EC">
        <w:rPr>
          <w:rFonts w:cs="Palatino"/>
        </w:rPr>
        <w:t>nonsurvival</w:t>
      </w:r>
      <w:proofErr w:type="spellEnd"/>
      <w:r w:rsidRPr="00C548EC">
        <w:rPr>
          <w:rFonts w:cs="Palatino"/>
        </w:rPr>
        <w:t>.</w:t>
      </w:r>
    </w:p>
    <w:p w14:paraId="5CC717EC" w14:textId="77777777" w:rsidR="006F44B3" w:rsidRPr="00C548EC" w:rsidRDefault="006F44B3" w:rsidP="00D404C7">
      <w:pPr>
        <w:widowControl w:val="0"/>
        <w:autoSpaceDE w:val="0"/>
        <w:autoSpaceDN w:val="0"/>
        <w:adjustRightInd w:val="0"/>
        <w:spacing w:after="240"/>
        <w:rPr>
          <w:rFonts w:cs="Palatino"/>
        </w:rPr>
      </w:pPr>
    </w:p>
    <w:p w14:paraId="7FB02F27" w14:textId="23C33966" w:rsidR="00950D80" w:rsidRPr="00C548EC" w:rsidRDefault="00950D80" w:rsidP="00D404C7">
      <w:pPr>
        <w:widowControl w:val="0"/>
        <w:autoSpaceDE w:val="0"/>
        <w:autoSpaceDN w:val="0"/>
        <w:adjustRightInd w:val="0"/>
        <w:spacing w:after="240"/>
        <w:rPr>
          <w:rFonts w:cs="Palatino"/>
          <w:b/>
        </w:rPr>
      </w:pPr>
      <w:r w:rsidRPr="00C548EC">
        <w:rPr>
          <w:rFonts w:cs="Palatino"/>
          <w:b/>
        </w:rPr>
        <w:t>Background:</w:t>
      </w:r>
    </w:p>
    <w:p w14:paraId="0726311A" w14:textId="5F365F07" w:rsidR="007D7B0A" w:rsidRPr="00C548EC" w:rsidRDefault="00950D80" w:rsidP="00950D80">
      <w:pPr>
        <w:widowControl w:val="0"/>
        <w:autoSpaceDE w:val="0"/>
        <w:autoSpaceDN w:val="0"/>
        <w:adjustRightInd w:val="0"/>
        <w:spacing w:after="240"/>
        <w:rPr>
          <w:rFonts w:cs="Palatino"/>
        </w:rPr>
      </w:pPr>
      <w:r w:rsidRPr="00C548EC">
        <w:rPr>
          <w:rFonts w:cs="Palatino"/>
        </w:rPr>
        <w:t xml:space="preserve">A formal definition does not exist for ATC (acute traumatic coagulopathy); however, most studies use a 50% prolongation in </w:t>
      </w:r>
      <w:proofErr w:type="spellStart"/>
      <w:r w:rsidRPr="00C548EC">
        <w:rPr>
          <w:rFonts w:cs="Palatino"/>
        </w:rPr>
        <w:t>prothrombin</w:t>
      </w:r>
      <w:proofErr w:type="spellEnd"/>
      <w:r w:rsidRPr="00C548EC">
        <w:rPr>
          <w:rFonts w:cs="Palatino"/>
        </w:rPr>
        <w:t xml:space="preserve"> time (PT) or ac- </w:t>
      </w:r>
      <w:proofErr w:type="spellStart"/>
      <w:r w:rsidRPr="00C548EC">
        <w:rPr>
          <w:rFonts w:cs="Palatino"/>
        </w:rPr>
        <w:t>tivated</w:t>
      </w:r>
      <w:proofErr w:type="spellEnd"/>
      <w:r w:rsidRPr="00C548EC">
        <w:rPr>
          <w:rFonts w:cs="Palatino"/>
        </w:rPr>
        <w:t xml:space="preserve"> partial </w:t>
      </w:r>
      <w:proofErr w:type="spellStart"/>
      <w:r w:rsidRPr="00C548EC">
        <w:rPr>
          <w:rFonts w:cs="Palatino"/>
        </w:rPr>
        <w:t>thromboplastin</w:t>
      </w:r>
      <w:proofErr w:type="spellEnd"/>
      <w:r w:rsidRPr="00C548EC">
        <w:rPr>
          <w:rFonts w:cs="Palatino"/>
        </w:rPr>
        <w:t xml:space="preserve"> time (</w:t>
      </w:r>
      <w:proofErr w:type="spellStart"/>
      <w:r w:rsidRPr="00C548EC">
        <w:rPr>
          <w:rFonts w:cs="Palatino"/>
        </w:rPr>
        <w:t>aPTT</w:t>
      </w:r>
      <w:proofErr w:type="spellEnd"/>
      <w:r w:rsidRPr="00C548EC">
        <w:rPr>
          <w:rFonts w:cs="Palatino"/>
        </w:rPr>
        <w:t>), measured upon hospital admission, as a diagnostic criterion.</w:t>
      </w:r>
    </w:p>
    <w:p w14:paraId="03897268" w14:textId="77DFBEC5" w:rsidR="009964E9" w:rsidRPr="00C548EC" w:rsidRDefault="009964E9" w:rsidP="009964E9">
      <w:pPr>
        <w:widowControl w:val="0"/>
        <w:autoSpaceDE w:val="0"/>
        <w:autoSpaceDN w:val="0"/>
        <w:adjustRightInd w:val="0"/>
        <w:spacing w:after="240"/>
        <w:rPr>
          <w:rFonts w:cs="Palatino"/>
        </w:rPr>
      </w:pPr>
      <w:r w:rsidRPr="00C548EC">
        <w:rPr>
          <w:rFonts w:cs="Palatino"/>
        </w:rPr>
        <w:t xml:space="preserve">Numerous factors contribute to ATC including severe tissue injury, shock, </w:t>
      </w:r>
      <w:proofErr w:type="spellStart"/>
      <w:r w:rsidRPr="00C548EC">
        <w:rPr>
          <w:rFonts w:cs="Palatino"/>
        </w:rPr>
        <w:t>hemodilution</w:t>
      </w:r>
      <w:proofErr w:type="spellEnd"/>
      <w:r w:rsidRPr="00C548EC">
        <w:rPr>
          <w:rFonts w:cs="Palatino"/>
        </w:rPr>
        <w:t xml:space="preserve"> during fluid resuscitation, hypothermia, acidosis, and inflammation.</w:t>
      </w:r>
    </w:p>
    <w:p w14:paraId="43E86C4E" w14:textId="0BDC731D" w:rsidR="007D7B0A" w:rsidRPr="00C548EC" w:rsidRDefault="007D7B0A" w:rsidP="009964E9">
      <w:pPr>
        <w:widowControl w:val="0"/>
        <w:autoSpaceDE w:val="0"/>
        <w:autoSpaceDN w:val="0"/>
        <w:adjustRightInd w:val="0"/>
        <w:spacing w:after="240"/>
        <w:rPr>
          <w:rFonts w:cs="Times"/>
        </w:rPr>
      </w:pPr>
      <w:r w:rsidRPr="00C548EC">
        <w:rPr>
          <w:rFonts w:cs="Palatino"/>
        </w:rPr>
        <w:t xml:space="preserve">For the purpose of this study, ATC was defined as 1 or more of the following variables on hospital admission: ACT </w:t>
      </w:r>
      <w:r w:rsidRPr="00C548EC">
        <w:rPr>
          <w:rFonts w:cs="Times"/>
        </w:rPr>
        <w:t xml:space="preserve">&gt; </w:t>
      </w:r>
      <w:r w:rsidRPr="00C548EC">
        <w:rPr>
          <w:rFonts w:cs="Palatino"/>
        </w:rPr>
        <w:t xml:space="preserve">105 seconds, platelet count </w:t>
      </w:r>
      <w:r w:rsidRPr="00C548EC">
        <w:rPr>
          <w:rFonts w:cs="Times"/>
        </w:rPr>
        <w:t xml:space="preserve">&lt; </w:t>
      </w:r>
      <w:r w:rsidRPr="00C548EC">
        <w:rPr>
          <w:rFonts w:cs="Palatino"/>
        </w:rPr>
        <w:t xml:space="preserve">the lower limit of the reference interval, PT or </w:t>
      </w:r>
      <w:proofErr w:type="spellStart"/>
      <w:r w:rsidRPr="00C548EC">
        <w:rPr>
          <w:rFonts w:cs="Palatino"/>
        </w:rPr>
        <w:t>aPTT</w:t>
      </w:r>
      <w:proofErr w:type="spellEnd"/>
      <w:r w:rsidRPr="00C548EC">
        <w:rPr>
          <w:rFonts w:cs="Palatino"/>
        </w:rPr>
        <w:t xml:space="preserve"> </w:t>
      </w:r>
      <w:r w:rsidRPr="00C548EC">
        <w:rPr>
          <w:rFonts w:cs="Times"/>
        </w:rPr>
        <w:t xml:space="preserve">&gt; </w:t>
      </w:r>
      <w:r w:rsidRPr="00C548EC">
        <w:rPr>
          <w:rFonts w:cs="Palatino"/>
        </w:rPr>
        <w:t xml:space="preserve">1.5 times the upper limit of the reference interval, and MA or </w:t>
      </w:r>
      <w:r w:rsidRPr="00C548EC">
        <w:rPr>
          <w:rFonts w:cs="Times"/>
        </w:rPr>
        <w:t xml:space="preserve">α &lt; </w:t>
      </w:r>
      <w:r w:rsidRPr="00C548EC">
        <w:rPr>
          <w:rFonts w:cs="Palatino"/>
        </w:rPr>
        <w:t>the lower</w:t>
      </w:r>
      <w:r w:rsidRPr="00C548EC">
        <w:rPr>
          <w:rFonts w:cs="Times"/>
        </w:rPr>
        <w:t xml:space="preserve"> </w:t>
      </w:r>
      <w:r w:rsidRPr="00C548EC">
        <w:rPr>
          <w:rFonts w:cs="Palatino"/>
        </w:rPr>
        <w:t>limit of the reference interval.</w:t>
      </w:r>
    </w:p>
    <w:p w14:paraId="0FA3490F" w14:textId="750EA22D" w:rsidR="003D5C86" w:rsidRPr="00C548EC" w:rsidRDefault="003D5C86" w:rsidP="003D5C86">
      <w:pPr>
        <w:widowControl w:val="0"/>
        <w:autoSpaceDE w:val="0"/>
        <w:autoSpaceDN w:val="0"/>
        <w:adjustRightInd w:val="0"/>
        <w:spacing w:after="240"/>
        <w:rPr>
          <w:rFonts w:cs="Times"/>
        </w:rPr>
      </w:pPr>
      <w:r w:rsidRPr="00C548EC">
        <w:rPr>
          <w:rFonts w:cs="Palatino"/>
        </w:rPr>
        <w:t xml:space="preserve">The objective of the present study was to describe coagulation abnormalities in dogs following severe acute trauma and to evaluate the association of coagulation and </w:t>
      </w:r>
      <w:proofErr w:type="spellStart"/>
      <w:r w:rsidRPr="00C548EC">
        <w:rPr>
          <w:rFonts w:cs="Palatino"/>
        </w:rPr>
        <w:t>thromboelastography</w:t>
      </w:r>
      <w:proofErr w:type="spellEnd"/>
      <w:r w:rsidRPr="00C548EC">
        <w:rPr>
          <w:rFonts w:cs="Palatino"/>
        </w:rPr>
        <w:t xml:space="preserve"> (TEG) variables with clinical and laboratory variables, as well as disease and injury severity, and to assess the ability of coagulation and TEG variables to predict the presence of body cavity hemorrhage (BCH), necessity of blood product administration, and outcome.</w:t>
      </w:r>
    </w:p>
    <w:p w14:paraId="3823F488" w14:textId="211BE0EC" w:rsidR="00B2690E" w:rsidRPr="00C548EC" w:rsidRDefault="00B2690E" w:rsidP="00B2690E">
      <w:pPr>
        <w:widowControl w:val="0"/>
        <w:autoSpaceDE w:val="0"/>
        <w:autoSpaceDN w:val="0"/>
        <w:adjustRightInd w:val="0"/>
        <w:spacing w:after="240"/>
        <w:rPr>
          <w:rFonts w:cs="Palatino"/>
        </w:rPr>
      </w:pPr>
      <w:r w:rsidRPr="00C548EC">
        <w:rPr>
          <w:rFonts w:cs="Palatino"/>
          <w:b/>
          <w:i/>
        </w:rPr>
        <w:t>Inclusion criteria:</w:t>
      </w:r>
      <w:r w:rsidRPr="00C548EC">
        <w:rPr>
          <w:rFonts w:cs="Palatino"/>
        </w:rPr>
        <w:t xml:space="preserve"> Dogs were considered for inclusion if they were admitted to the hospital within 12 hours of a blunt or penetrating (</w:t>
      </w:r>
      <w:proofErr w:type="spellStart"/>
      <w:r w:rsidRPr="00C548EC">
        <w:rPr>
          <w:rFonts w:cs="Palatino"/>
        </w:rPr>
        <w:t>eg</w:t>
      </w:r>
      <w:proofErr w:type="spellEnd"/>
      <w:r w:rsidRPr="00C548EC">
        <w:rPr>
          <w:rFonts w:cs="Palatino"/>
        </w:rPr>
        <w:t xml:space="preserve">, animal altercation) traumatic incident with injuries involving </w:t>
      </w:r>
      <w:r w:rsidRPr="00C548EC">
        <w:rPr>
          <w:rFonts w:cs="Times"/>
        </w:rPr>
        <w:t xml:space="preserve">&gt; </w:t>
      </w:r>
      <w:r w:rsidRPr="00C548EC">
        <w:rPr>
          <w:rFonts w:cs="Palatino"/>
        </w:rPr>
        <w:t xml:space="preserve">1 organ system and an anticipated requirement for hospitalization for at least 3 days. </w:t>
      </w:r>
    </w:p>
    <w:p w14:paraId="1B724C0E" w14:textId="77777777" w:rsidR="00F823BE" w:rsidRPr="00C548EC" w:rsidRDefault="00B2690E" w:rsidP="00F823BE">
      <w:pPr>
        <w:widowControl w:val="0"/>
        <w:autoSpaceDE w:val="0"/>
        <w:autoSpaceDN w:val="0"/>
        <w:adjustRightInd w:val="0"/>
        <w:spacing w:after="240"/>
        <w:rPr>
          <w:rFonts w:cs="Times"/>
        </w:rPr>
      </w:pPr>
      <w:r w:rsidRPr="00C548EC">
        <w:rPr>
          <w:rFonts w:cs="Palatino"/>
          <w:b/>
          <w:i/>
        </w:rPr>
        <w:t>Exclusion criteria</w:t>
      </w:r>
      <w:r w:rsidRPr="00C548EC">
        <w:rPr>
          <w:rFonts w:cs="Palatino"/>
          <w:b/>
        </w:rPr>
        <w:t>:</w:t>
      </w:r>
      <w:r w:rsidRPr="00C548EC">
        <w:rPr>
          <w:rFonts w:cs="Palatino"/>
        </w:rPr>
        <w:t xml:space="preserve"> Dogs </w:t>
      </w:r>
      <w:r w:rsidRPr="00C548EC">
        <w:rPr>
          <w:rFonts w:cs="Times"/>
        </w:rPr>
        <w:t xml:space="preserve">&lt; </w:t>
      </w:r>
      <w:r w:rsidRPr="00C548EC">
        <w:rPr>
          <w:rFonts w:cs="Palatino"/>
        </w:rPr>
        <w:t xml:space="preserve">1 year old, weighing </w:t>
      </w:r>
      <w:r w:rsidRPr="00C548EC">
        <w:rPr>
          <w:rFonts w:cs="Times"/>
        </w:rPr>
        <w:t xml:space="preserve">&lt; </w:t>
      </w:r>
      <w:r w:rsidRPr="00C548EC">
        <w:rPr>
          <w:rFonts w:cs="Palatino"/>
        </w:rPr>
        <w:t>10 kg, diagnosed with a congenital coagulopathy, previously treat</w:t>
      </w:r>
      <w:r w:rsidR="00F823BE" w:rsidRPr="00C548EC">
        <w:rPr>
          <w:rFonts w:cs="Palatino"/>
        </w:rPr>
        <w:t>ed with hypertonic saline, syn</w:t>
      </w:r>
      <w:r w:rsidRPr="00C548EC">
        <w:rPr>
          <w:rFonts w:cs="Palatino"/>
        </w:rPr>
        <w:t>thetic colloids, blood p</w:t>
      </w:r>
      <w:r w:rsidR="00F823BE" w:rsidRPr="00C548EC">
        <w:rPr>
          <w:rFonts w:cs="Palatino"/>
        </w:rPr>
        <w:t>roducts, or anticoagulant medi</w:t>
      </w:r>
      <w:r w:rsidRPr="00C548EC">
        <w:rPr>
          <w:rFonts w:cs="Palatino"/>
        </w:rPr>
        <w:t>cations, with injuries localized to an extremity (</w:t>
      </w:r>
      <w:proofErr w:type="spellStart"/>
      <w:r w:rsidRPr="00C548EC">
        <w:rPr>
          <w:rFonts w:cs="Palatino"/>
        </w:rPr>
        <w:t>eg</w:t>
      </w:r>
      <w:proofErr w:type="spellEnd"/>
      <w:r w:rsidRPr="00C548EC">
        <w:rPr>
          <w:rFonts w:cs="Palatino"/>
        </w:rPr>
        <w:t>, limb fracture), or hospitalized only for IV fluid therapy or</w:t>
      </w:r>
      <w:r w:rsidR="00F823BE" w:rsidRPr="00C548EC">
        <w:rPr>
          <w:rFonts w:cs="Palatino"/>
        </w:rPr>
        <w:t xml:space="preserve"> analgesia were excluded.</w:t>
      </w:r>
    </w:p>
    <w:p w14:paraId="250DF6D6" w14:textId="4070F0EB" w:rsidR="00950D80" w:rsidRPr="00C548EC" w:rsidRDefault="00731399" w:rsidP="00D404C7">
      <w:pPr>
        <w:widowControl w:val="0"/>
        <w:autoSpaceDE w:val="0"/>
        <w:autoSpaceDN w:val="0"/>
        <w:adjustRightInd w:val="0"/>
        <w:spacing w:after="240"/>
        <w:rPr>
          <w:rFonts w:cs="Times"/>
        </w:rPr>
      </w:pPr>
      <w:r w:rsidRPr="00C548EC">
        <w:rPr>
          <w:rFonts w:cs="Palatino"/>
        </w:rPr>
        <w:t xml:space="preserve">Outcome was recorded as survival (to hospital discharge) or </w:t>
      </w:r>
      <w:proofErr w:type="spellStart"/>
      <w:r w:rsidRPr="00C548EC">
        <w:rPr>
          <w:rFonts w:cs="Palatino"/>
        </w:rPr>
        <w:t>nonsurvival</w:t>
      </w:r>
      <w:proofErr w:type="spellEnd"/>
      <w:r w:rsidRPr="00C548EC">
        <w:rPr>
          <w:rFonts w:cs="Palatino"/>
        </w:rPr>
        <w:t xml:space="preserve"> (died or euthanized due to a perceived grave prognosis). Dogs euthanized for financial reasons were excluded from analyses.</w:t>
      </w:r>
    </w:p>
    <w:p w14:paraId="2DCA141F" w14:textId="157483CD" w:rsidR="007369F3" w:rsidRPr="00C548EC" w:rsidRDefault="00D404C7" w:rsidP="0036175F">
      <w:r w:rsidRPr="00C548EC">
        <w:rPr>
          <w:b/>
        </w:rPr>
        <w:t>Key Points</w:t>
      </w:r>
      <w:r w:rsidRPr="00C548EC">
        <w:t>:</w:t>
      </w:r>
    </w:p>
    <w:p w14:paraId="31F11827" w14:textId="77777777" w:rsidR="0036175F" w:rsidRPr="00C548EC" w:rsidRDefault="0036175F" w:rsidP="00D551F4"/>
    <w:p w14:paraId="10EEC031" w14:textId="47D7452E" w:rsidR="007369F3" w:rsidRPr="00C548EC" w:rsidRDefault="007369F3" w:rsidP="00D551F4">
      <w:pPr>
        <w:widowControl w:val="0"/>
        <w:autoSpaceDE w:val="0"/>
        <w:autoSpaceDN w:val="0"/>
        <w:adjustRightInd w:val="0"/>
        <w:spacing w:after="240"/>
        <w:rPr>
          <w:rFonts w:cs="Times"/>
        </w:rPr>
      </w:pPr>
      <w:r w:rsidRPr="00C548EC">
        <w:rPr>
          <w:rFonts w:cs="Palatino"/>
        </w:rPr>
        <w:t>Thirty</w:t>
      </w:r>
      <w:r w:rsidR="0036201C" w:rsidRPr="00C548EC">
        <w:rPr>
          <w:rFonts w:cs="Palatino"/>
        </w:rPr>
        <w:t xml:space="preserve"> </w:t>
      </w:r>
      <w:r w:rsidRPr="00C548EC">
        <w:rPr>
          <w:rFonts w:cs="Palatino"/>
        </w:rPr>
        <w:t>one dogs survived (31/40, 77.5%); of the 9 (22.5%) non- survivors, 8 dogs (8/9, 89%) were euthanized due to a perceived grave prognosis and 1 dog (1/9, 11%) experienced cardiopulmonary arrest and died.</w:t>
      </w:r>
    </w:p>
    <w:p w14:paraId="2AB2F0BC" w14:textId="2DF0FB8B" w:rsidR="007369F3" w:rsidRPr="00C548EC" w:rsidRDefault="007369F3" w:rsidP="00D551F4">
      <w:pPr>
        <w:widowControl w:val="0"/>
        <w:autoSpaceDE w:val="0"/>
        <w:autoSpaceDN w:val="0"/>
        <w:adjustRightInd w:val="0"/>
        <w:spacing w:after="240"/>
        <w:rPr>
          <w:rFonts w:cs="Palatino"/>
        </w:rPr>
      </w:pPr>
      <w:r w:rsidRPr="00C548EC">
        <w:rPr>
          <w:rFonts w:cs="Palatino"/>
        </w:rPr>
        <w:t xml:space="preserve">Evidence of BCH was present in 25% of dogs and was evenly distributed between </w:t>
      </w:r>
      <w:proofErr w:type="spellStart"/>
      <w:r w:rsidRPr="00C548EC">
        <w:rPr>
          <w:rFonts w:cs="Palatino"/>
        </w:rPr>
        <w:t>hemothorax</w:t>
      </w:r>
      <w:proofErr w:type="spellEnd"/>
      <w:r w:rsidRPr="00C548EC">
        <w:rPr>
          <w:rFonts w:cs="Palatino"/>
        </w:rPr>
        <w:t xml:space="preserve"> (5/10, 50%) and </w:t>
      </w:r>
      <w:proofErr w:type="spellStart"/>
      <w:r w:rsidRPr="00C548EC">
        <w:rPr>
          <w:rFonts w:cs="Palatino"/>
        </w:rPr>
        <w:t>hemoabdomen</w:t>
      </w:r>
      <w:proofErr w:type="spellEnd"/>
      <w:r w:rsidRPr="00C548EC">
        <w:rPr>
          <w:rFonts w:cs="Palatino"/>
        </w:rPr>
        <w:t xml:space="preserve"> (5/10, 50%)</w:t>
      </w:r>
    </w:p>
    <w:p w14:paraId="00A39142" w14:textId="1E08541D" w:rsidR="005A6C78" w:rsidRPr="00C548EC" w:rsidRDefault="005A6C78" w:rsidP="00D551F4">
      <w:pPr>
        <w:widowControl w:val="0"/>
        <w:autoSpaceDE w:val="0"/>
        <w:autoSpaceDN w:val="0"/>
        <w:adjustRightInd w:val="0"/>
        <w:spacing w:after="240"/>
        <w:rPr>
          <w:rFonts w:cs="Times"/>
        </w:rPr>
      </w:pPr>
      <w:r w:rsidRPr="00C548EC">
        <w:rPr>
          <w:rFonts w:cs="Palatino"/>
        </w:rPr>
        <w:t>Decreased platelet count was a risk factor for the presence of BCH</w:t>
      </w:r>
    </w:p>
    <w:p w14:paraId="4D3DC9E3" w14:textId="36ADC2F0" w:rsidR="007369F3" w:rsidRPr="00C548EC" w:rsidRDefault="005E5EBD">
      <w:r w:rsidRPr="00C548EC">
        <w:rPr>
          <w:noProof/>
        </w:rPr>
        <w:drawing>
          <wp:inline distT="0" distB="0" distL="0" distR="0" wp14:anchorId="6BFD4231" wp14:editId="676BD2AE">
            <wp:extent cx="6057766" cy="2480253"/>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60849" cy="2481515"/>
                    </a:xfrm>
                    <a:prstGeom prst="rect">
                      <a:avLst/>
                    </a:prstGeom>
                    <a:noFill/>
                    <a:ln>
                      <a:noFill/>
                    </a:ln>
                  </pic:spPr>
                </pic:pic>
              </a:graphicData>
            </a:graphic>
          </wp:inline>
        </w:drawing>
      </w:r>
    </w:p>
    <w:p w14:paraId="6740F1C1" w14:textId="77777777" w:rsidR="002149F8" w:rsidRPr="00C548EC" w:rsidRDefault="002149F8"/>
    <w:p w14:paraId="2E02A170" w14:textId="322A6CB4" w:rsidR="009B3F4C" w:rsidRPr="00C548EC" w:rsidRDefault="009B3F4C" w:rsidP="009B3F4C">
      <w:pPr>
        <w:widowControl w:val="0"/>
        <w:autoSpaceDE w:val="0"/>
        <w:autoSpaceDN w:val="0"/>
        <w:adjustRightInd w:val="0"/>
        <w:spacing w:after="240"/>
        <w:rPr>
          <w:rFonts w:cs="Palatino"/>
        </w:rPr>
      </w:pPr>
      <w:r w:rsidRPr="00C548EC">
        <w:rPr>
          <w:rFonts w:cs="Palatino"/>
          <w:highlight w:val="yellow"/>
        </w:rPr>
        <w:t>At hospital admission</w:t>
      </w:r>
      <w:r w:rsidRPr="00C548EC">
        <w:rPr>
          <w:rFonts w:cs="Palatino"/>
          <w:b/>
          <w:i/>
        </w:rPr>
        <w:t xml:space="preserve">, prolonged </w:t>
      </w:r>
      <w:proofErr w:type="spellStart"/>
      <w:r w:rsidRPr="00C548EC">
        <w:rPr>
          <w:rFonts w:cs="Palatino"/>
          <w:b/>
          <w:i/>
        </w:rPr>
        <w:t>aPTT</w:t>
      </w:r>
      <w:proofErr w:type="spellEnd"/>
      <w:r w:rsidRPr="00C548EC">
        <w:rPr>
          <w:rFonts w:cs="Palatino"/>
        </w:rPr>
        <w:t xml:space="preserve"> (OR </w:t>
      </w:r>
      <w:r w:rsidRPr="00C548EC">
        <w:rPr>
          <w:rFonts w:cs="Times"/>
        </w:rPr>
        <w:t xml:space="preserve">= </w:t>
      </w:r>
      <w:r w:rsidRPr="00C548EC">
        <w:rPr>
          <w:rFonts w:cs="Palatino"/>
        </w:rPr>
        <w:t xml:space="preserve">1.26), </w:t>
      </w:r>
      <w:r w:rsidRPr="00C548EC">
        <w:rPr>
          <w:rFonts w:cs="Palatino"/>
          <w:b/>
          <w:i/>
        </w:rPr>
        <w:t>decreased plasmin inhibition</w:t>
      </w:r>
      <w:r w:rsidRPr="00C548EC">
        <w:rPr>
          <w:rFonts w:cs="Palatino"/>
        </w:rPr>
        <w:t xml:space="preserve"> (OR </w:t>
      </w:r>
      <w:r w:rsidRPr="00C548EC">
        <w:rPr>
          <w:rFonts w:cs="Times"/>
        </w:rPr>
        <w:t xml:space="preserve">= </w:t>
      </w:r>
      <w:r w:rsidRPr="00C548EC">
        <w:rPr>
          <w:rFonts w:cs="Palatino"/>
        </w:rPr>
        <w:t xml:space="preserve">0.97, 95%), </w:t>
      </w:r>
      <w:r w:rsidRPr="00C548EC">
        <w:rPr>
          <w:rFonts w:cs="Palatino"/>
          <w:b/>
          <w:i/>
        </w:rPr>
        <w:t xml:space="preserve">decreased </w:t>
      </w:r>
      <w:r w:rsidRPr="00C548EC">
        <w:rPr>
          <w:rFonts w:cs="Times"/>
          <w:b/>
          <w:i/>
        </w:rPr>
        <w:t xml:space="preserve">α </w:t>
      </w:r>
      <w:r w:rsidRPr="00C548EC">
        <w:rPr>
          <w:rFonts w:cs="Palatino"/>
        </w:rPr>
        <w:t xml:space="preserve">(OR </w:t>
      </w:r>
      <w:r w:rsidRPr="00C548EC">
        <w:rPr>
          <w:rFonts w:cs="Times"/>
        </w:rPr>
        <w:t xml:space="preserve">= </w:t>
      </w:r>
      <w:r w:rsidRPr="00C548EC">
        <w:rPr>
          <w:rFonts w:cs="Palatino"/>
        </w:rPr>
        <w:t xml:space="preserve">0.93, 95% ), and </w:t>
      </w:r>
      <w:r w:rsidRPr="00C548EC">
        <w:rPr>
          <w:rFonts w:cs="Palatino"/>
          <w:b/>
          <w:i/>
        </w:rPr>
        <w:t>decreased MA</w:t>
      </w:r>
      <w:r w:rsidRPr="00C548EC">
        <w:rPr>
          <w:rFonts w:cs="Palatino"/>
        </w:rPr>
        <w:t xml:space="preserve"> (OR </w:t>
      </w:r>
      <w:r w:rsidRPr="00C548EC">
        <w:rPr>
          <w:rFonts w:cs="Times"/>
        </w:rPr>
        <w:t xml:space="preserve">= </w:t>
      </w:r>
      <w:r w:rsidRPr="00C548EC">
        <w:rPr>
          <w:rFonts w:cs="Palatino"/>
        </w:rPr>
        <w:t xml:space="preserve">0.93) were predictive of </w:t>
      </w:r>
      <w:proofErr w:type="spellStart"/>
      <w:r w:rsidRPr="00C548EC">
        <w:rPr>
          <w:rFonts w:cs="Palatino"/>
        </w:rPr>
        <w:t>nonsurvival</w:t>
      </w:r>
      <w:proofErr w:type="spellEnd"/>
      <w:r w:rsidRPr="00C548EC">
        <w:rPr>
          <w:rFonts w:cs="Palatino"/>
        </w:rPr>
        <w:t xml:space="preserve">. </w:t>
      </w:r>
    </w:p>
    <w:p w14:paraId="351C6CE1" w14:textId="375132C7" w:rsidR="009B3F4C" w:rsidRPr="00C548EC" w:rsidRDefault="009B3F4C" w:rsidP="009B3F4C">
      <w:pPr>
        <w:widowControl w:val="0"/>
        <w:autoSpaceDE w:val="0"/>
        <w:autoSpaceDN w:val="0"/>
        <w:adjustRightInd w:val="0"/>
        <w:spacing w:after="240"/>
        <w:rPr>
          <w:rFonts w:cs="Times"/>
        </w:rPr>
      </w:pPr>
      <w:r w:rsidRPr="00C548EC">
        <w:rPr>
          <w:rFonts w:cs="Palatino"/>
          <w:highlight w:val="cyan"/>
        </w:rPr>
        <w:t>Using multivariate analysis with APPLE-fast score to account for disease severity</w:t>
      </w:r>
      <w:r w:rsidRPr="00C548EC">
        <w:rPr>
          <w:rFonts w:cs="Palatino"/>
        </w:rPr>
        <w:t xml:space="preserve">, only </w:t>
      </w:r>
      <w:r w:rsidRPr="00C548EC">
        <w:rPr>
          <w:rFonts w:cs="Palatino"/>
          <w:b/>
          <w:i/>
        </w:rPr>
        <w:t xml:space="preserve">prolonged </w:t>
      </w:r>
      <w:proofErr w:type="spellStart"/>
      <w:r w:rsidRPr="00C548EC">
        <w:rPr>
          <w:rFonts w:cs="Palatino"/>
          <w:b/>
          <w:i/>
        </w:rPr>
        <w:t>aPTT</w:t>
      </w:r>
      <w:proofErr w:type="spellEnd"/>
      <w:r w:rsidRPr="00C548EC">
        <w:rPr>
          <w:rFonts w:cs="Palatino"/>
        </w:rPr>
        <w:t xml:space="preserve"> (OR </w:t>
      </w:r>
      <w:r w:rsidRPr="00C548EC">
        <w:rPr>
          <w:rFonts w:cs="Times"/>
        </w:rPr>
        <w:t xml:space="preserve">= </w:t>
      </w:r>
      <w:r w:rsidRPr="00C548EC">
        <w:rPr>
          <w:rFonts w:cs="Palatino"/>
        </w:rPr>
        <w:t>1.74</w:t>
      </w:r>
      <w:r w:rsidR="00F5276B" w:rsidRPr="00C548EC">
        <w:rPr>
          <w:rFonts w:cs="Palatino"/>
        </w:rPr>
        <w:t>)</w:t>
      </w:r>
      <w:r w:rsidRPr="00C548EC">
        <w:rPr>
          <w:rFonts w:cs="Palatino"/>
        </w:rPr>
        <w:t xml:space="preserve"> and </w:t>
      </w:r>
      <w:r w:rsidRPr="00C548EC">
        <w:rPr>
          <w:rFonts w:cs="Palatino"/>
          <w:b/>
          <w:i/>
        </w:rPr>
        <w:t>decreased</w:t>
      </w:r>
      <w:r w:rsidR="00F5276B" w:rsidRPr="00C548EC">
        <w:rPr>
          <w:rFonts w:cs="Palatino"/>
          <w:b/>
          <w:i/>
        </w:rPr>
        <w:t xml:space="preserve"> </w:t>
      </w:r>
      <w:r w:rsidRPr="00C548EC">
        <w:rPr>
          <w:rFonts w:cs="Times"/>
          <w:b/>
          <w:i/>
        </w:rPr>
        <w:t>α</w:t>
      </w:r>
      <w:r w:rsidRPr="00C548EC">
        <w:rPr>
          <w:rFonts w:cs="Times"/>
        </w:rPr>
        <w:t xml:space="preserve"> </w:t>
      </w:r>
      <w:r w:rsidRPr="00C548EC">
        <w:rPr>
          <w:rFonts w:cs="Palatino"/>
        </w:rPr>
        <w:t xml:space="preserve">(OR </w:t>
      </w:r>
      <w:r w:rsidRPr="00C548EC">
        <w:rPr>
          <w:rFonts w:cs="Times"/>
        </w:rPr>
        <w:t xml:space="preserve">= </w:t>
      </w:r>
      <w:r w:rsidR="00645D48" w:rsidRPr="00C548EC">
        <w:rPr>
          <w:rFonts w:cs="Palatino"/>
        </w:rPr>
        <w:t>0.84</w:t>
      </w:r>
      <w:r w:rsidRPr="00C548EC">
        <w:rPr>
          <w:rFonts w:cs="Palatino"/>
        </w:rPr>
        <w:t>) remained predictive of non-survival.</w:t>
      </w:r>
    </w:p>
    <w:p w14:paraId="04C48884" w14:textId="6528BC81" w:rsidR="008955F4" w:rsidRPr="00C548EC" w:rsidRDefault="008955F4" w:rsidP="008955F4">
      <w:pPr>
        <w:widowControl w:val="0"/>
        <w:autoSpaceDE w:val="0"/>
        <w:autoSpaceDN w:val="0"/>
        <w:adjustRightInd w:val="0"/>
        <w:spacing w:after="240"/>
        <w:rPr>
          <w:rFonts w:cs="Times"/>
        </w:rPr>
      </w:pPr>
      <w:r w:rsidRPr="00C548EC">
        <w:rPr>
          <w:rFonts w:cs="Palatino"/>
        </w:rPr>
        <w:t xml:space="preserve">ROC curve analysis revealed that an </w:t>
      </w:r>
      <w:proofErr w:type="spellStart"/>
      <w:r w:rsidRPr="00C548EC">
        <w:rPr>
          <w:rFonts w:cs="Palatino"/>
        </w:rPr>
        <w:t>aPTT</w:t>
      </w:r>
      <w:proofErr w:type="spellEnd"/>
      <w:r w:rsidRPr="00C548EC">
        <w:rPr>
          <w:rFonts w:cs="Palatino"/>
        </w:rPr>
        <w:t xml:space="preserve"> </w:t>
      </w:r>
      <w:r w:rsidRPr="00C548EC">
        <w:rPr>
          <w:rFonts w:cs="Times"/>
        </w:rPr>
        <w:t xml:space="preserve">≥ </w:t>
      </w:r>
      <w:r w:rsidRPr="00C548EC">
        <w:rPr>
          <w:rFonts w:cs="Palatino"/>
        </w:rPr>
        <w:t xml:space="preserve">16.6 </w:t>
      </w:r>
      <w:r w:rsidR="009C7ACD" w:rsidRPr="00C548EC">
        <w:rPr>
          <w:rFonts w:cs="Palatino"/>
        </w:rPr>
        <w:t xml:space="preserve">seconds (reference interval: 10 </w:t>
      </w:r>
      <w:r w:rsidRPr="00C548EC">
        <w:rPr>
          <w:rFonts w:cs="Palatino"/>
        </w:rPr>
        <w:t xml:space="preserve">17 seconds) was 67% sensitive and 83% specific for predicting non- survival </w:t>
      </w:r>
    </w:p>
    <w:p w14:paraId="1894D11B" w14:textId="0B16025F" w:rsidR="008955F4" w:rsidRPr="00C548EC" w:rsidRDefault="008955F4" w:rsidP="008955F4">
      <w:pPr>
        <w:widowControl w:val="0"/>
        <w:autoSpaceDE w:val="0"/>
        <w:autoSpaceDN w:val="0"/>
        <w:adjustRightInd w:val="0"/>
        <w:spacing w:after="240"/>
        <w:rPr>
          <w:rFonts w:cs="Times"/>
        </w:rPr>
      </w:pPr>
      <w:r w:rsidRPr="00C548EC">
        <w:rPr>
          <w:rFonts w:cs="Palatino"/>
        </w:rPr>
        <w:t xml:space="preserve">Using multivariate analysis with ATT score to account for injury severity, none of the coagulation or TEG variables were predictive of </w:t>
      </w:r>
      <w:proofErr w:type="spellStart"/>
      <w:r w:rsidRPr="00C548EC">
        <w:rPr>
          <w:rFonts w:cs="Palatino"/>
        </w:rPr>
        <w:t>nonsurvival</w:t>
      </w:r>
      <w:proofErr w:type="spellEnd"/>
      <w:r w:rsidRPr="00C548EC">
        <w:rPr>
          <w:rFonts w:cs="Palatino"/>
        </w:rPr>
        <w:t>.</w:t>
      </w:r>
    </w:p>
    <w:p w14:paraId="01973312" w14:textId="4CE24E53" w:rsidR="005C4A4B" w:rsidRPr="00C548EC" w:rsidRDefault="005C4A4B" w:rsidP="005C4A4B">
      <w:pPr>
        <w:widowControl w:val="0"/>
        <w:autoSpaceDE w:val="0"/>
        <w:autoSpaceDN w:val="0"/>
        <w:adjustRightInd w:val="0"/>
        <w:spacing w:after="240"/>
        <w:rPr>
          <w:rFonts w:cs="Palatino"/>
        </w:rPr>
      </w:pPr>
      <w:r w:rsidRPr="00C548EC">
        <w:rPr>
          <w:rFonts w:cs="Palatino"/>
        </w:rPr>
        <w:t xml:space="preserve">At hospital admission, </w:t>
      </w:r>
      <w:proofErr w:type="spellStart"/>
      <w:r w:rsidRPr="00C548EC">
        <w:rPr>
          <w:rFonts w:cs="Palatino"/>
        </w:rPr>
        <w:t>aPTT</w:t>
      </w:r>
      <w:proofErr w:type="spellEnd"/>
      <w:r w:rsidRPr="00C548EC">
        <w:rPr>
          <w:rFonts w:cs="Palatino"/>
        </w:rPr>
        <w:t xml:space="preserve"> was positively correlated with APPLE-fast score lactate concentration, and negative base ex</w:t>
      </w:r>
      <w:r w:rsidR="00D178A6" w:rsidRPr="00C548EC">
        <w:rPr>
          <w:rFonts w:cs="Palatino"/>
        </w:rPr>
        <w:t>cess</w:t>
      </w:r>
      <w:r w:rsidRPr="00C548EC">
        <w:rPr>
          <w:rFonts w:cs="Palatino"/>
        </w:rPr>
        <w:t>; AT activity was negatively correlated with APPLE-fast score</w:t>
      </w:r>
      <w:r w:rsidR="00D178A6" w:rsidRPr="00C548EC">
        <w:rPr>
          <w:rFonts w:cs="Palatino"/>
        </w:rPr>
        <w:t xml:space="preserve">; </w:t>
      </w:r>
      <w:r w:rsidRPr="00C548EC">
        <w:rPr>
          <w:rFonts w:cs="Palatino"/>
        </w:rPr>
        <w:t xml:space="preserve">fibrinogen concentration was negatively correlated with ATT score; and platelet count was positively correlated with MAP </w:t>
      </w:r>
    </w:p>
    <w:p w14:paraId="2C0C2983" w14:textId="115A6D5D" w:rsidR="009F2F8F" w:rsidRPr="00C548EC" w:rsidRDefault="009F2F8F" w:rsidP="005C4A4B">
      <w:pPr>
        <w:widowControl w:val="0"/>
        <w:autoSpaceDE w:val="0"/>
        <w:autoSpaceDN w:val="0"/>
        <w:adjustRightInd w:val="0"/>
        <w:spacing w:after="240"/>
        <w:rPr>
          <w:rFonts w:cs="Times"/>
        </w:rPr>
      </w:pPr>
      <w:r w:rsidRPr="00C548EC">
        <w:rPr>
          <w:rFonts w:cs="Times"/>
          <w:noProof/>
        </w:rPr>
        <w:drawing>
          <wp:inline distT="0" distB="0" distL="0" distR="0" wp14:anchorId="1C2A170E" wp14:editId="4FE5AD8C">
            <wp:extent cx="5830435" cy="3657600"/>
            <wp:effectExtent l="0" t="0" r="1206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31746" cy="3658422"/>
                    </a:xfrm>
                    <a:prstGeom prst="rect">
                      <a:avLst/>
                    </a:prstGeom>
                    <a:noFill/>
                    <a:ln>
                      <a:noFill/>
                    </a:ln>
                  </pic:spPr>
                </pic:pic>
              </a:graphicData>
            </a:graphic>
          </wp:inline>
        </w:drawing>
      </w:r>
    </w:p>
    <w:p w14:paraId="336BAB98" w14:textId="07F30DF8" w:rsidR="009B3F4C" w:rsidRPr="00C548EC" w:rsidRDefault="00F672C4" w:rsidP="009B3F4C">
      <w:pPr>
        <w:widowControl w:val="0"/>
        <w:autoSpaceDE w:val="0"/>
        <w:autoSpaceDN w:val="0"/>
        <w:adjustRightInd w:val="0"/>
        <w:spacing w:after="240"/>
        <w:rPr>
          <w:rFonts w:cs="Times"/>
        </w:rPr>
      </w:pPr>
      <w:r w:rsidRPr="00C548EC">
        <w:rPr>
          <w:rFonts w:cs="Times"/>
          <w:noProof/>
        </w:rPr>
        <w:drawing>
          <wp:inline distT="0" distB="0" distL="0" distR="0" wp14:anchorId="45733A20" wp14:editId="30A2C8F5">
            <wp:extent cx="6056923" cy="29296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63083" cy="2932668"/>
                    </a:xfrm>
                    <a:prstGeom prst="rect">
                      <a:avLst/>
                    </a:prstGeom>
                    <a:noFill/>
                    <a:ln>
                      <a:noFill/>
                    </a:ln>
                  </pic:spPr>
                </pic:pic>
              </a:graphicData>
            </a:graphic>
          </wp:inline>
        </w:drawing>
      </w:r>
    </w:p>
    <w:p w14:paraId="3EE1338E" w14:textId="780B4D7A" w:rsidR="009B3F4C" w:rsidRPr="00C548EC" w:rsidRDefault="008262FE">
      <w:r w:rsidRPr="00C548EC">
        <w:rPr>
          <w:noProof/>
        </w:rPr>
        <w:drawing>
          <wp:inline distT="0" distB="0" distL="0" distR="0" wp14:anchorId="26828A6B" wp14:editId="462B0DC5">
            <wp:extent cx="6399774" cy="2832100"/>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06770" cy="2835196"/>
                    </a:xfrm>
                    <a:prstGeom prst="rect">
                      <a:avLst/>
                    </a:prstGeom>
                    <a:noFill/>
                    <a:ln>
                      <a:noFill/>
                    </a:ln>
                  </pic:spPr>
                </pic:pic>
              </a:graphicData>
            </a:graphic>
          </wp:inline>
        </w:drawing>
      </w:r>
    </w:p>
    <w:p w14:paraId="7DDA366E" w14:textId="77777777" w:rsidR="006D3F87" w:rsidRPr="00C548EC" w:rsidRDefault="006D3F87">
      <w:pPr>
        <w:rPr>
          <w:b/>
        </w:rPr>
      </w:pPr>
    </w:p>
    <w:p w14:paraId="37671A8A" w14:textId="2CBA2572" w:rsidR="006D3F87" w:rsidRPr="00C548EC" w:rsidRDefault="006D3F87" w:rsidP="006D3F87">
      <w:pPr>
        <w:pStyle w:val="ListParagraph"/>
        <w:numPr>
          <w:ilvl w:val="0"/>
          <w:numId w:val="3"/>
        </w:numPr>
        <w:rPr>
          <w:b/>
        </w:rPr>
      </w:pPr>
      <w:r w:rsidRPr="00C548EC">
        <w:rPr>
          <w:rFonts w:cs="Palatino"/>
        </w:rPr>
        <w:t>Decreased platelet count, protein C activity , angle (</w:t>
      </w:r>
      <w:r w:rsidRPr="00C548EC">
        <w:rPr>
          <w:rFonts w:cs="Times"/>
        </w:rPr>
        <w:t>α</w:t>
      </w:r>
      <w:r w:rsidRPr="00C548EC">
        <w:rPr>
          <w:rFonts w:cs="Palatino"/>
        </w:rPr>
        <w:t>), maximum amplitude (MA), and clot strength (G) were risk factors for blood product administration</w:t>
      </w:r>
    </w:p>
    <w:p w14:paraId="0971EE49" w14:textId="77777777" w:rsidR="006D3F87" w:rsidRPr="00C548EC" w:rsidRDefault="006D3F87">
      <w:pPr>
        <w:rPr>
          <w:b/>
        </w:rPr>
      </w:pPr>
    </w:p>
    <w:p w14:paraId="1637B3BB" w14:textId="77777777" w:rsidR="00A57E35" w:rsidRPr="00C548EC" w:rsidRDefault="00A57E35">
      <w:pPr>
        <w:rPr>
          <w:b/>
        </w:rPr>
      </w:pPr>
    </w:p>
    <w:p w14:paraId="71F6D8FC" w14:textId="77777777" w:rsidR="00A57E35" w:rsidRPr="00C548EC" w:rsidRDefault="00A57E35">
      <w:pPr>
        <w:rPr>
          <w:b/>
        </w:rPr>
      </w:pPr>
    </w:p>
    <w:p w14:paraId="0500ED35" w14:textId="2DC58D65" w:rsidR="002149F8" w:rsidRPr="00C548EC" w:rsidRDefault="002149F8">
      <w:r w:rsidRPr="00C548EC">
        <w:rPr>
          <w:b/>
        </w:rPr>
        <w:t>Questions</w:t>
      </w:r>
      <w:r w:rsidRPr="00C548EC">
        <w:t>:</w:t>
      </w:r>
    </w:p>
    <w:p w14:paraId="41567B50" w14:textId="77777777" w:rsidR="002149F8" w:rsidRPr="00C548EC" w:rsidRDefault="002149F8"/>
    <w:p w14:paraId="0ECE33A9" w14:textId="6B3B6BCF" w:rsidR="002149F8" w:rsidRPr="00C548EC" w:rsidRDefault="002149F8" w:rsidP="002149F8">
      <w:pPr>
        <w:pStyle w:val="ListParagraph"/>
        <w:numPr>
          <w:ilvl w:val="0"/>
          <w:numId w:val="2"/>
        </w:numPr>
      </w:pPr>
      <w:r w:rsidRPr="00C548EC">
        <w:t xml:space="preserve">Following the multivariate analysis accounting for disease severity, which factor was determined to be the strongest predictor of non-survival? </w:t>
      </w:r>
    </w:p>
    <w:p w14:paraId="5D8B135C" w14:textId="3B72A4A3" w:rsidR="002149F8" w:rsidRPr="00C548EC" w:rsidRDefault="002149F8" w:rsidP="002149F8">
      <w:pPr>
        <w:pStyle w:val="ListParagraph"/>
      </w:pPr>
      <w:r w:rsidRPr="00C548EC">
        <w:rPr>
          <w:b/>
        </w:rPr>
        <w:t>Answer:</w:t>
      </w:r>
      <w:r w:rsidRPr="00C548EC">
        <w:t xml:space="preserve"> Prolonged </w:t>
      </w:r>
      <w:proofErr w:type="spellStart"/>
      <w:r w:rsidRPr="00C548EC">
        <w:t>aPTT</w:t>
      </w:r>
      <w:proofErr w:type="spellEnd"/>
      <w:r w:rsidRPr="00C548EC">
        <w:t xml:space="preserve"> (OR 1.74)</w:t>
      </w:r>
    </w:p>
    <w:p w14:paraId="40371FA8" w14:textId="77777777" w:rsidR="0036175F" w:rsidRPr="00C548EC" w:rsidRDefault="0036175F" w:rsidP="002149F8">
      <w:pPr>
        <w:pStyle w:val="ListParagraph"/>
      </w:pPr>
    </w:p>
    <w:p w14:paraId="6E84DC45" w14:textId="1F8844D4" w:rsidR="0046422B" w:rsidRPr="00C548EC" w:rsidRDefault="0046422B" w:rsidP="0046422B">
      <w:pPr>
        <w:pStyle w:val="ListParagraph"/>
        <w:widowControl w:val="0"/>
        <w:numPr>
          <w:ilvl w:val="0"/>
          <w:numId w:val="2"/>
        </w:numPr>
        <w:autoSpaceDE w:val="0"/>
        <w:autoSpaceDN w:val="0"/>
        <w:adjustRightInd w:val="0"/>
        <w:spacing w:after="240"/>
        <w:rPr>
          <w:rFonts w:cs="Times"/>
        </w:rPr>
      </w:pPr>
      <w:r w:rsidRPr="00C548EC">
        <w:rPr>
          <w:rFonts w:cs="Palatino"/>
        </w:rPr>
        <w:t xml:space="preserve">Using multivariate analysis with ATT score to account for injury severity, none of the coagulation or TEG variables were predictive of </w:t>
      </w:r>
      <w:proofErr w:type="spellStart"/>
      <w:r w:rsidRPr="00C548EC">
        <w:rPr>
          <w:rFonts w:cs="Palatino"/>
        </w:rPr>
        <w:t>nonsurvival</w:t>
      </w:r>
      <w:proofErr w:type="spellEnd"/>
      <w:r w:rsidRPr="00C548EC">
        <w:rPr>
          <w:rFonts w:cs="Palatino"/>
        </w:rPr>
        <w:t>.</w:t>
      </w:r>
    </w:p>
    <w:p w14:paraId="664927C9" w14:textId="305C2080" w:rsidR="0046422B" w:rsidRPr="00C548EC" w:rsidRDefault="0046422B" w:rsidP="0046422B">
      <w:pPr>
        <w:pStyle w:val="ListParagraph"/>
        <w:widowControl w:val="0"/>
        <w:autoSpaceDE w:val="0"/>
        <w:autoSpaceDN w:val="0"/>
        <w:adjustRightInd w:val="0"/>
        <w:spacing w:after="240"/>
        <w:rPr>
          <w:rFonts w:cs="Palatino"/>
        </w:rPr>
      </w:pPr>
      <w:r w:rsidRPr="00C548EC">
        <w:rPr>
          <w:rFonts w:cs="Palatino"/>
        </w:rPr>
        <w:t>T or F?</w:t>
      </w:r>
    </w:p>
    <w:p w14:paraId="49C547B1" w14:textId="5957A81D" w:rsidR="0046422B" w:rsidRPr="00C548EC" w:rsidRDefault="0046422B" w:rsidP="0046422B">
      <w:pPr>
        <w:pStyle w:val="ListParagraph"/>
        <w:widowControl w:val="0"/>
        <w:autoSpaceDE w:val="0"/>
        <w:autoSpaceDN w:val="0"/>
        <w:adjustRightInd w:val="0"/>
        <w:spacing w:after="240"/>
        <w:rPr>
          <w:rFonts w:cs="Palatino"/>
        </w:rPr>
      </w:pPr>
      <w:r w:rsidRPr="00C548EC">
        <w:rPr>
          <w:rFonts w:cs="Palatino"/>
          <w:b/>
        </w:rPr>
        <w:t>Answer</w:t>
      </w:r>
      <w:r w:rsidRPr="00C548EC">
        <w:rPr>
          <w:rFonts w:cs="Palatino"/>
        </w:rPr>
        <w:t>: True</w:t>
      </w:r>
    </w:p>
    <w:p w14:paraId="1DC64BBF" w14:textId="77777777" w:rsidR="0036175F" w:rsidRPr="00C548EC" w:rsidRDefault="0036175F" w:rsidP="0046422B">
      <w:pPr>
        <w:pStyle w:val="ListParagraph"/>
        <w:widowControl w:val="0"/>
        <w:autoSpaceDE w:val="0"/>
        <w:autoSpaceDN w:val="0"/>
        <w:adjustRightInd w:val="0"/>
        <w:spacing w:after="240"/>
        <w:rPr>
          <w:rFonts w:cs="Times"/>
        </w:rPr>
      </w:pPr>
    </w:p>
    <w:p w14:paraId="7A034716" w14:textId="5B549E73" w:rsidR="0046422B" w:rsidRPr="00C548EC" w:rsidRDefault="0036175F" w:rsidP="0046422B">
      <w:pPr>
        <w:pStyle w:val="ListParagraph"/>
        <w:widowControl w:val="0"/>
        <w:numPr>
          <w:ilvl w:val="0"/>
          <w:numId w:val="2"/>
        </w:numPr>
        <w:autoSpaceDE w:val="0"/>
        <w:autoSpaceDN w:val="0"/>
        <w:adjustRightInd w:val="0"/>
        <w:spacing w:after="240"/>
        <w:rPr>
          <w:rFonts w:cs="Times"/>
        </w:rPr>
      </w:pPr>
      <w:r w:rsidRPr="00C548EC">
        <w:rPr>
          <w:rFonts w:cs="Times"/>
        </w:rPr>
        <w:t>What was determined to be a risk factor for body cavity hemorrhage?</w:t>
      </w:r>
    </w:p>
    <w:p w14:paraId="584F873B" w14:textId="7E03BA05" w:rsidR="0036175F" w:rsidRPr="00C548EC" w:rsidRDefault="0036175F" w:rsidP="0036175F">
      <w:pPr>
        <w:pStyle w:val="ListParagraph"/>
        <w:widowControl w:val="0"/>
        <w:autoSpaceDE w:val="0"/>
        <w:autoSpaceDN w:val="0"/>
        <w:adjustRightInd w:val="0"/>
        <w:spacing w:after="240"/>
        <w:rPr>
          <w:rFonts w:cs="Times"/>
        </w:rPr>
      </w:pPr>
      <w:r w:rsidRPr="00C548EC">
        <w:rPr>
          <w:rFonts w:cs="Times"/>
          <w:b/>
        </w:rPr>
        <w:t>Answer:</w:t>
      </w:r>
      <w:r w:rsidRPr="00C548EC">
        <w:rPr>
          <w:rFonts w:cs="Times"/>
        </w:rPr>
        <w:t xml:space="preserve"> decreased platelet count</w:t>
      </w:r>
    </w:p>
    <w:p w14:paraId="5E665E4A" w14:textId="77777777" w:rsidR="00D551F4" w:rsidRPr="00C548EC" w:rsidRDefault="00D551F4" w:rsidP="0036175F">
      <w:pPr>
        <w:pStyle w:val="ListParagraph"/>
        <w:widowControl w:val="0"/>
        <w:autoSpaceDE w:val="0"/>
        <w:autoSpaceDN w:val="0"/>
        <w:adjustRightInd w:val="0"/>
        <w:spacing w:after="240"/>
        <w:rPr>
          <w:rFonts w:cs="Times"/>
        </w:rPr>
      </w:pPr>
    </w:p>
    <w:p w14:paraId="183C2051" w14:textId="53389A76" w:rsidR="00D551F4" w:rsidRPr="00C548EC" w:rsidRDefault="00D551F4" w:rsidP="00D551F4">
      <w:pPr>
        <w:pStyle w:val="ListParagraph"/>
        <w:widowControl w:val="0"/>
        <w:numPr>
          <w:ilvl w:val="0"/>
          <w:numId w:val="2"/>
        </w:numPr>
        <w:autoSpaceDE w:val="0"/>
        <w:autoSpaceDN w:val="0"/>
        <w:adjustRightInd w:val="0"/>
        <w:spacing w:after="240"/>
        <w:rPr>
          <w:rFonts w:cs="Palatino"/>
        </w:rPr>
      </w:pPr>
      <w:r w:rsidRPr="00C548EC">
        <w:rPr>
          <w:rFonts w:cs="Palatino"/>
          <w:highlight w:val="yellow"/>
        </w:rPr>
        <w:t>At hospital admission</w:t>
      </w:r>
      <w:r w:rsidRPr="00C548EC">
        <w:rPr>
          <w:rFonts w:cs="Palatino"/>
          <w:b/>
          <w:i/>
        </w:rPr>
        <w:t xml:space="preserve"> </w:t>
      </w:r>
      <w:r w:rsidRPr="00C548EC">
        <w:rPr>
          <w:rFonts w:cs="Palatino"/>
        </w:rPr>
        <w:t xml:space="preserve">which coagulation and/or TEG variables were predictive of </w:t>
      </w:r>
      <w:proofErr w:type="spellStart"/>
      <w:r w:rsidRPr="00C548EC">
        <w:rPr>
          <w:rFonts w:cs="Palatino"/>
        </w:rPr>
        <w:t>nonsurvival</w:t>
      </w:r>
      <w:proofErr w:type="spellEnd"/>
      <w:r w:rsidRPr="00C548EC">
        <w:rPr>
          <w:rFonts w:cs="Palatino"/>
        </w:rPr>
        <w:t>?</w:t>
      </w:r>
    </w:p>
    <w:p w14:paraId="58229890" w14:textId="77777777" w:rsidR="00D551F4" w:rsidRPr="00C548EC" w:rsidRDefault="00D551F4" w:rsidP="00D551F4">
      <w:pPr>
        <w:pStyle w:val="ListParagraph"/>
        <w:widowControl w:val="0"/>
        <w:autoSpaceDE w:val="0"/>
        <w:autoSpaceDN w:val="0"/>
        <w:adjustRightInd w:val="0"/>
        <w:spacing w:after="240"/>
        <w:rPr>
          <w:rFonts w:cs="Palatino"/>
          <w:b/>
          <w:i/>
        </w:rPr>
      </w:pPr>
      <w:r w:rsidRPr="00C548EC">
        <w:rPr>
          <w:rFonts w:cs="Palatino"/>
          <w:b/>
        </w:rPr>
        <w:t>Answer</w:t>
      </w:r>
      <w:r w:rsidRPr="00C548EC">
        <w:rPr>
          <w:rFonts w:cs="Palatino"/>
        </w:rPr>
        <w:t xml:space="preserve">: </w:t>
      </w:r>
    </w:p>
    <w:p w14:paraId="443384E5" w14:textId="226E5F5A" w:rsidR="00D551F4" w:rsidRPr="00C548EC" w:rsidRDefault="00D551F4" w:rsidP="00A2088E">
      <w:pPr>
        <w:pStyle w:val="ListParagraph"/>
        <w:widowControl w:val="0"/>
        <w:numPr>
          <w:ilvl w:val="1"/>
          <w:numId w:val="3"/>
        </w:numPr>
        <w:autoSpaceDE w:val="0"/>
        <w:autoSpaceDN w:val="0"/>
        <w:adjustRightInd w:val="0"/>
        <w:spacing w:after="240"/>
        <w:rPr>
          <w:rFonts w:cs="Palatino"/>
        </w:rPr>
      </w:pPr>
      <w:r w:rsidRPr="00C548EC">
        <w:rPr>
          <w:rFonts w:cs="Palatino"/>
          <w:b/>
          <w:i/>
        </w:rPr>
        <w:t xml:space="preserve">prolonged </w:t>
      </w:r>
      <w:proofErr w:type="spellStart"/>
      <w:r w:rsidRPr="00C548EC">
        <w:rPr>
          <w:rFonts w:cs="Palatino"/>
          <w:b/>
          <w:i/>
        </w:rPr>
        <w:t>aPTT</w:t>
      </w:r>
      <w:proofErr w:type="spellEnd"/>
      <w:r w:rsidRPr="00C548EC">
        <w:rPr>
          <w:rFonts w:cs="Palatino"/>
        </w:rPr>
        <w:t xml:space="preserve"> </w:t>
      </w:r>
    </w:p>
    <w:p w14:paraId="7CA44CF8" w14:textId="7F4CBFC1" w:rsidR="00D551F4" w:rsidRPr="00C548EC" w:rsidRDefault="00D551F4" w:rsidP="00A2088E">
      <w:pPr>
        <w:pStyle w:val="ListParagraph"/>
        <w:widowControl w:val="0"/>
        <w:numPr>
          <w:ilvl w:val="1"/>
          <w:numId w:val="3"/>
        </w:numPr>
        <w:autoSpaceDE w:val="0"/>
        <w:autoSpaceDN w:val="0"/>
        <w:adjustRightInd w:val="0"/>
        <w:spacing w:after="240"/>
        <w:rPr>
          <w:rFonts w:cs="Palatino"/>
        </w:rPr>
      </w:pPr>
      <w:r w:rsidRPr="00C548EC">
        <w:rPr>
          <w:rFonts w:cs="Palatino"/>
          <w:b/>
          <w:i/>
        </w:rPr>
        <w:t>decreased plasmin inhibition</w:t>
      </w:r>
    </w:p>
    <w:p w14:paraId="3112131B" w14:textId="3E655AEE" w:rsidR="00D551F4" w:rsidRPr="00C548EC" w:rsidRDefault="00D551F4" w:rsidP="00A2088E">
      <w:pPr>
        <w:pStyle w:val="ListParagraph"/>
        <w:widowControl w:val="0"/>
        <w:numPr>
          <w:ilvl w:val="1"/>
          <w:numId w:val="3"/>
        </w:numPr>
        <w:autoSpaceDE w:val="0"/>
        <w:autoSpaceDN w:val="0"/>
        <w:adjustRightInd w:val="0"/>
        <w:spacing w:after="240"/>
        <w:rPr>
          <w:rFonts w:cs="Palatino"/>
        </w:rPr>
      </w:pPr>
      <w:r w:rsidRPr="00C548EC">
        <w:rPr>
          <w:rFonts w:cs="Palatino"/>
          <w:b/>
          <w:i/>
        </w:rPr>
        <w:t xml:space="preserve">decreased </w:t>
      </w:r>
      <w:r w:rsidRPr="00C548EC">
        <w:rPr>
          <w:rFonts w:cs="Times"/>
          <w:b/>
          <w:i/>
        </w:rPr>
        <w:t xml:space="preserve">α </w:t>
      </w:r>
    </w:p>
    <w:p w14:paraId="19E0BBA3" w14:textId="1B667F41" w:rsidR="002149F8" w:rsidRPr="00C548EC" w:rsidRDefault="00D551F4" w:rsidP="00A2088E">
      <w:pPr>
        <w:pStyle w:val="ListParagraph"/>
        <w:widowControl w:val="0"/>
        <w:numPr>
          <w:ilvl w:val="1"/>
          <w:numId w:val="3"/>
        </w:numPr>
        <w:autoSpaceDE w:val="0"/>
        <w:autoSpaceDN w:val="0"/>
        <w:adjustRightInd w:val="0"/>
        <w:spacing w:after="240"/>
        <w:rPr>
          <w:rFonts w:cs="Palatino"/>
        </w:rPr>
      </w:pPr>
      <w:r w:rsidRPr="00C548EC">
        <w:rPr>
          <w:rFonts w:cs="Palatino"/>
          <w:b/>
          <w:i/>
        </w:rPr>
        <w:t>decreased MA</w:t>
      </w:r>
      <w:r w:rsidRPr="00C548EC">
        <w:rPr>
          <w:rFonts w:cs="Palatino"/>
        </w:rPr>
        <w:t xml:space="preserve"> </w:t>
      </w:r>
    </w:p>
    <w:p w14:paraId="462C96C9" w14:textId="77777777" w:rsidR="00D551F4" w:rsidRPr="00C548EC" w:rsidRDefault="00D551F4" w:rsidP="00D551F4">
      <w:pPr>
        <w:pStyle w:val="ListParagraph"/>
        <w:widowControl w:val="0"/>
        <w:autoSpaceDE w:val="0"/>
        <w:autoSpaceDN w:val="0"/>
        <w:adjustRightInd w:val="0"/>
        <w:spacing w:after="240"/>
      </w:pPr>
    </w:p>
    <w:p w14:paraId="77AB0315" w14:textId="77777777" w:rsidR="00952A85" w:rsidRPr="00C548EC" w:rsidRDefault="00E05F34" w:rsidP="00952A85">
      <w:pPr>
        <w:pStyle w:val="ListParagraph"/>
        <w:numPr>
          <w:ilvl w:val="0"/>
          <w:numId w:val="2"/>
        </w:numPr>
      </w:pPr>
      <w:r w:rsidRPr="00C548EC">
        <w:rPr>
          <w:rFonts w:cs="Palatino"/>
        </w:rPr>
        <w:t xml:space="preserve">Which coagulation and/or TEG variables were risk factors for necessity of blood product administration? </w:t>
      </w:r>
    </w:p>
    <w:p w14:paraId="0852E015" w14:textId="76A230FD" w:rsidR="00E05F34" w:rsidRPr="00C548EC" w:rsidRDefault="006A2140" w:rsidP="00952A85">
      <w:pPr>
        <w:pStyle w:val="ListParagraph"/>
        <w:rPr>
          <w:rFonts w:cs="Palatino"/>
        </w:rPr>
      </w:pPr>
      <w:r w:rsidRPr="00C548EC">
        <w:rPr>
          <w:rFonts w:cs="Palatino"/>
          <w:b/>
        </w:rPr>
        <w:t>Answer</w:t>
      </w:r>
      <w:r w:rsidRPr="00C548EC">
        <w:rPr>
          <w:rFonts w:cs="Palatino"/>
        </w:rPr>
        <w:t xml:space="preserve">: </w:t>
      </w:r>
      <w:r w:rsidR="00E05F34" w:rsidRPr="00C548EC">
        <w:rPr>
          <w:rFonts w:cs="Palatino"/>
        </w:rPr>
        <w:t>Decreased platelet count, protein C activity , angle (</w:t>
      </w:r>
      <w:r w:rsidR="00E05F34" w:rsidRPr="00C548EC">
        <w:rPr>
          <w:rFonts w:cs="Times"/>
        </w:rPr>
        <w:t>α</w:t>
      </w:r>
      <w:r w:rsidR="00E05F34" w:rsidRPr="00C548EC">
        <w:rPr>
          <w:rFonts w:cs="Palatino"/>
        </w:rPr>
        <w:t xml:space="preserve">), maximum amplitude (MA), and clot strength (G) </w:t>
      </w:r>
    </w:p>
    <w:p w14:paraId="52BB95C7" w14:textId="77777777" w:rsidR="00EF402C" w:rsidRPr="00C548EC" w:rsidRDefault="00EF402C" w:rsidP="00952A85">
      <w:pPr>
        <w:pStyle w:val="ListParagraph"/>
      </w:pPr>
    </w:p>
    <w:p w14:paraId="016DC8A4" w14:textId="77777777" w:rsidR="00EF402C" w:rsidRPr="00C548EC" w:rsidRDefault="00EF402C" w:rsidP="00952A85">
      <w:pPr>
        <w:pStyle w:val="ListParagraph"/>
      </w:pPr>
    </w:p>
    <w:p w14:paraId="6BB6EAC8" w14:textId="77777777" w:rsidR="00EF402C" w:rsidRPr="00C548EC" w:rsidRDefault="00EF402C" w:rsidP="00952A85">
      <w:pPr>
        <w:pStyle w:val="ListParagraph"/>
      </w:pPr>
    </w:p>
    <w:p w14:paraId="6359E521" w14:textId="77777777" w:rsidR="00EF402C" w:rsidRPr="00C548EC" w:rsidRDefault="00EF402C" w:rsidP="00952A85">
      <w:pPr>
        <w:pStyle w:val="ListParagraph"/>
      </w:pPr>
    </w:p>
    <w:p w14:paraId="0AB80CB7" w14:textId="77777777" w:rsidR="00EF402C" w:rsidRPr="00C548EC" w:rsidRDefault="00EF402C" w:rsidP="00952A85">
      <w:pPr>
        <w:pStyle w:val="ListParagraph"/>
      </w:pPr>
    </w:p>
    <w:p w14:paraId="51CC8745" w14:textId="77777777" w:rsidR="00EF402C" w:rsidRPr="00C548EC" w:rsidRDefault="00EF402C" w:rsidP="00952A85">
      <w:pPr>
        <w:pStyle w:val="ListParagraph"/>
      </w:pPr>
    </w:p>
    <w:p w14:paraId="2E6E4426" w14:textId="77777777" w:rsidR="00EF402C" w:rsidRPr="00C548EC" w:rsidRDefault="00EF402C" w:rsidP="00952A85">
      <w:pPr>
        <w:pStyle w:val="ListParagraph"/>
      </w:pPr>
    </w:p>
    <w:p w14:paraId="573936BA" w14:textId="77777777" w:rsidR="00EF402C" w:rsidRPr="00C548EC" w:rsidRDefault="00EF402C" w:rsidP="00952A85">
      <w:pPr>
        <w:pStyle w:val="ListParagraph"/>
      </w:pPr>
    </w:p>
    <w:p w14:paraId="48F55E01" w14:textId="77777777" w:rsidR="00EF402C" w:rsidRPr="00C548EC" w:rsidRDefault="00EF402C" w:rsidP="00952A85">
      <w:pPr>
        <w:pStyle w:val="ListParagraph"/>
      </w:pPr>
    </w:p>
    <w:p w14:paraId="08241D70" w14:textId="77777777" w:rsidR="00EF402C" w:rsidRPr="00C548EC" w:rsidRDefault="00EF402C" w:rsidP="00952A85">
      <w:pPr>
        <w:pStyle w:val="ListParagraph"/>
      </w:pPr>
    </w:p>
    <w:p w14:paraId="6C8A19B1" w14:textId="77777777" w:rsidR="00EF402C" w:rsidRPr="00C548EC" w:rsidRDefault="00EF402C" w:rsidP="00952A85">
      <w:pPr>
        <w:pStyle w:val="ListParagraph"/>
      </w:pPr>
    </w:p>
    <w:p w14:paraId="09088A7F" w14:textId="77777777" w:rsidR="00EF402C" w:rsidRPr="00C548EC" w:rsidRDefault="00EF402C" w:rsidP="00952A85">
      <w:pPr>
        <w:pStyle w:val="ListParagraph"/>
      </w:pPr>
    </w:p>
    <w:p w14:paraId="27B5F2E5" w14:textId="77777777" w:rsidR="00EF402C" w:rsidRPr="00C548EC" w:rsidRDefault="00EF402C" w:rsidP="00952A85">
      <w:pPr>
        <w:pStyle w:val="ListParagraph"/>
      </w:pPr>
    </w:p>
    <w:p w14:paraId="0A33FCFB" w14:textId="77777777" w:rsidR="00EF402C" w:rsidRPr="00C548EC" w:rsidRDefault="00EF402C" w:rsidP="00952A85">
      <w:pPr>
        <w:pStyle w:val="ListParagraph"/>
      </w:pPr>
    </w:p>
    <w:p w14:paraId="077CEF18" w14:textId="77777777" w:rsidR="00EF402C" w:rsidRPr="00C548EC" w:rsidRDefault="00EF402C" w:rsidP="00952A85">
      <w:pPr>
        <w:pStyle w:val="ListParagraph"/>
      </w:pPr>
    </w:p>
    <w:p w14:paraId="5EED3140" w14:textId="77777777" w:rsidR="00EF402C" w:rsidRPr="00C548EC" w:rsidRDefault="00EF402C" w:rsidP="00952A85">
      <w:pPr>
        <w:pStyle w:val="ListParagraph"/>
      </w:pPr>
    </w:p>
    <w:p w14:paraId="4C8753AB" w14:textId="77777777" w:rsidR="00EF402C" w:rsidRPr="00C548EC" w:rsidRDefault="00EF402C" w:rsidP="00952A85">
      <w:pPr>
        <w:pStyle w:val="ListParagraph"/>
      </w:pPr>
    </w:p>
    <w:p w14:paraId="7EA1A4C7" w14:textId="77777777" w:rsidR="00EF402C" w:rsidRPr="00C548EC" w:rsidRDefault="00EF402C" w:rsidP="00952A85">
      <w:pPr>
        <w:pStyle w:val="ListParagraph"/>
      </w:pPr>
    </w:p>
    <w:p w14:paraId="1A3B6872" w14:textId="77777777" w:rsidR="00EF402C" w:rsidRPr="00C548EC" w:rsidRDefault="00EF402C" w:rsidP="00952A85">
      <w:pPr>
        <w:pStyle w:val="ListParagraph"/>
      </w:pPr>
    </w:p>
    <w:p w14:paraId="7422A485" w14:textId="77777777" w:rsidR="00EF402C" w:rsidRPr="00C548EC" w:rsidRDefault="00EF402C" w:rsidP="00952A85">
      <w:pPr>
        <w:pStyle w:val="ListParagraph"/>
      </w:pPr>
    </w:p>
    <w:p w14:paraId="700E6A9D" w14:textId="77777777" w:rsidR="00EF402C" w:rsidRPr="00C548EC" w:rsidRDefault="00EF402C" w:rsidP="00952A85">
      <w:pPr>
        <w:pStyle w:val="ListParagraph"/>
      </w:pPr>
    </w:p>
    <w:p w14:paraId="741D033E" w14:textId="77777777" w:rsidR="00EF402C" w:rsidRPr="00C548EC" w:rsidRDefault="00EF402C" w:rsidP="00952A85">
      <w:pPr>
        <w:pStyle w:val="ListParagraph"/>
      </w:pPr>
    </w:p>
    <w:p w14:paraId="18124541" w14:textId="77777777" w:rsidR="00EF402C" w:rsidRPr="00C548EC" w:rsidRDefault="00EF402C" w:rsidP="00952A85">
      <w:pPr>
        <w:pStyle w:val="ListParagraph"/>
      </w:pPr>
    </w:p>
    <w:p w14:paraId="0FF79F77" w14:textId="77777777" w:rsidR="00EF402C" w:rsidRPr="00C548EC" w:rsidRDefault="00EF402C" w:rsidP="00952A85">
      <w:pPr>
        <w:pStyle w:val="ListParagraph"/>
      </w:pPr>
    </w:p>
    <w:p w14:paraId="29AD4B55" w14:textId="77777777" w:rsidR="00EF402C" w:rsidRPr="00C548EC" w:rsidRDefault="00EF402C" w:rsidP="00952A85">
      <w:pPr>
        <w:pStyle w:val="ListParagraph"/>
      </w:pPr>
    </w:p>
    <w:p w14:paraId="782FD112" w14:textId="77777777" w:rsidR="00EF402C" w:rsidRPr="00C548EC" w:rsidRDefault="00EF402C" w:rsidP="00952A85">
      <w:pPr>
        <w:pStyle w:val="ListParagraph"/>
      </w:pPr>
    </w:p>
    <w:p w14:paraId="5D748D88" w14:textId="77777777" w:rsidR="00EF402C" w:rsidRPr="00C548EC" w:rsidRDefault="00EF402C" w:rsidP="00952A85">
      <w:pPr>
        <w:pStyle w:val="ListParagraph"/>
      </w:pPr>
    </w:p>
    <w:p w14:paraId="5B668D1F" w14:textId="77777777" w:rsidR="00EF402C" w:rsidRPr="00C548EC" w:rsidRDefault="00EF402C" w:rsidP="00952A85">
      <w:pPr>
        <w:pStyle w:val="ListParagraph"/>
      </w:pPr>
    </w:p>
    <w:p w14:paraId="0840BBA0" w14:textId="77777777" w:rsidR="00EF402C" w:rsidRPr="00C548EC" w:rsidRDefault="00EF402C" w:rsidP="00952A85">
      <w:pPr>
        <w:pStyle w:val="ListParagraph"/>
      </w:pPr>
    </w:p>
    <w:p w14:paraId="366AA90A" w14:textId="77777777" w:rsidR="00EF402C" w:rsidRPr="00C548EC" w:rsidRDefault="00EF402C" w:rsidP="00952A85">
      <w:pPr>
        <w:pStyle w:val="ListParagraph"/>
      </w:pPr>
    </w:p>
    <w:p w14:paraId="34E3BC26" w14:textId="77777777" w:rsidR="00EF402C" w:rsidRPr="00C548EC" w:rsidRDefault="00EF402C" w:rsidP="00952A85">
      <w:pPr>
        <w:pStyle w:val="ListParagraph"/>
      </w:pPr>
    </w:p>
    <w:p w14:paraId="1FB5DDA4" w14:textId="77777777" w:rsidR="00EF402C" w:rsidRPr="00C548EC" w:rsidRDefault="00EF402C" w:rsidP="00952A85">
      <w:pPr>
        <w:pStyle w:val="ListParagraph"/>
      </w:pPr>
    </w:p>
    <w:p w14:paraId="1F049C45" w14:textId="77777777" w:rsidR="00EF402C" w:rsidRPr="00C548EC" w:rsidRDefault="00EF402C" w:rsidP="00952A85">
      <w:pPr>
        <w:pStyle w:val="ListParagraph"/>
      </w:pPr>
    </w:p>
    <w:p w14:paraId="0EEBC5AE" w14:textId="77777777" w:rsidR="00EF402C" w:rsidRPr="00C548EC" w:rsidRDefault="00EF402C" w:rsidP="00952A85">
      <w:pPr>
        <w:pStyle w:val="ListParagraph"/>
      </w:pPr>
    </w:p>
    <w:p w14:paraId="060B6A0C" w14:textId="77777777" w:rsidR="00EF402C" w:rsidRPr="00C548EC" w:rsidRDefault="00EF402C" w:rsidP="00952A85">
      <w:pPr>
        <w:pStyle w:val="ListParagraph"/>
      </w:pPr>
    </w:p>
    <w:p w14:paraId="4A03A161" w14:textId="77777777" w:rsidR="00E05F34" w:rsidRPr="00C548EC" w:rsidRDefault="00E05F34" w:rsidP="00E05F34">
      <w:pPr>
        <w:pStyle w:val="ListParagraph"/>
      </w:pPr>
    </w:p>
    <w:p w14:paraId="21EA74DE" w14:textId="77777777" w:rsidR="00EF402C" w:rsidRPr="00C548EC" w:rsidRDefault="00EF402C" w:rsidP="00E05F34">
      <w:pPr>
        <w:pStyle w:val="ListParagraph"/>
      </w:pPr>
    </w:p>
    <w:p w14:paraId="3A9225F1" w14:textId="77777777" w:rsidR="00EF402C" w:rsidRPr="00C548EC" w:rsidRDefault="00EF402C" w:rsidP="00E05F34">
      <w:pPr>
        <w:pStyle w:val="ListParagraph"/>
      </w:pPr>
    </w:p>
    <w:p w14:paraId="1678ACC9" w14:textId="73D211C4" w:rsidR="00EF402C" w:rsidRPr="00C548EC" w:rsidRDefault="00EF402C" w:rsidP="00EF402C">
      <w:r w:rsidRPr="00C548EC">
        <w:rPr>
          <w:noProof/>
        </w:rPr>
        <w:drawing>
          <wp:inline distT="0" distB="0" distL="0" distR="0" wp14:anchorId="07A4472F" wp14:editId="5B6F2A6E">
            <wp:extent cx="5484802" cy="1942899"/>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0" cy="1943465"/>
                    </a:xfrm>
                    <a:prstGeom prst="rect">
                      <a:avLst/>
                    </a:prstGeom>
                    <a:noFill/>
                    <a:ln>
                      <a:noFill/>
                    </a:ln>
                  </pic:spPr>
                </pic:pic>
              </a:graphicData>
            </a:graphic>
          </wp:inline>
        </w:drawing>
      </w:r>
    </w:p>
    <w:p w14:paraId="3B3871AD" w14:textId="76B820D8" w:rsidR="00EF402C" w:rsidRPr="00C548EC" w:rsidRDefault="00EF402C" w:rsidP="00EF402C">
      <w:r w:rsidRPr="00C548EC">
        <w:rPr>
          <w:noProof/>
        </w:rPr>
        <w:drawing>
          <wp:inline distT="0" distB="0" distL="0" distR="0" wp14:anchorId="2D5BBB86" wp14:editId="6B0E8522">
            <wp:extent cx="6286071" cy="5941695"/>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87253" cy="5942812"/>
                    </a:xfrm>
                    <a:prstGeom prst="rect">
                      <a:avLst/>
                    </a:prstGeom>
                    <a:noFill/>
                    <a:ln>
                      <a:noFill/>
                    </a:ln>
                  </pic:spPr>
                </pic:pic>
              </a:graphicData>
            </a:graphic>
          </wp:inline>
        </w:drawing>
      </w:r>
    </w:p>
    <w:p w14:paraId="4E158BEE" w14:textId="77777777" w:rsidR="00A86671" w:rsidRPr="00C548EC" w:rsidRDefault="00A86671" w:rsidP="00EF402C"/>
    <w:p w14:paraId="2BA603E7" w14:textId="15434C76" w:rsidR="00A86671" w:rsidRPr="00C548EC" w:rsidRDefault="00A86671" w:rsidP="00EF402C">
      <w:pPr>
        <w:rPr>
          <w:b/>
        </w:rPr>
      </w:pPr>
      <w:r w:rsidRPr="00C548EC">
        <w:rPr>
          <w:b/>
        </w:rPr>
        <w:t>Key points:</w:t>
      </w:r>
    </w:p>
    <w:p w14:paraId="10C2311B" w14:textId="77777777" w:rsidR="009B4C3A" w:rsidRPr="00C548EC" w:rsidRDefault="009B4C3A" w:rsidP="008F2FE7">
      <w:pPr>
        <w:widowControl w:val="0"/>
        <w:autoSpaceDE w:val="0"/>
        <w:autoSpaceDN w:val="0"/>
        <w:adjustRightInd w:val="0"/>
        <w:spacing w:after="240"/>
        <w:rPr>
          <w:rFonts w:cs="Times"/>
        </w:rPr>
      </w:pPr>
    </w:p>
    <w:p w14:paraId="401B7A23" w14:textId="77777777" w:rsidR="009B4C3A" w:rsidRPr="00C548EC" w:rsidRDefault="009B4C3A" w:rsidP="009C63F7">
      <w:pPr>
        <w:pStyle w:val="ListParagraph"/>
        <w:widowControl w:val="0"/>
        <w:numPr>
          <w:ilvl w:val="0"/>
          <w:numId w:val="3"/>
        </w:numPr>
        <w:autoSpaceDE w:val="0"/>
        <w:autoSpaceDN w:val="0"/>
        <w:adjustRightInd w:val="0"/>
        <w:spacing w:after="240"/>
        <w:rPr>
          <w:rFonts w:cs="Times"/>
        </w:rPr>
      </w:pPr>
      <w:r w:rsidRPr="00C548EC">
        <w:rPr>
          <w:rFonts w:cs="Times"/>
        </w:rPr>
        <w:t xml:space="preserve">Total and free circulating cortisol levels were consistently higher in the patients than in controls, whereas </w:t>
      </w:r>
      <w:proofErr w:type="spellStart"/>
      <w:r w:rsidRPr="00C548EC">
        <w:rPr>
          <w:rFonts w:cs="Times"/>
        </w:rPr>
        <w:t>corticotropin</w:t>
      </w:r>
      <w:proofErr w:type="spellEnd"/>
      <w:r w:rsidRPr="00C548EC">
        <w:rPr>
          <w:rFonts w:cs="Times"/>
        </w:rPr>
        <w:t xml:space="preserve"> levels were lower</w:t>
      </w:r>
    </w:p>
    <w:p w14:paraId="73B4DC39" w14:textId="77777777" w:rsidR="009B4C3A" w:rsidRPr="00C548EC" w:rsidRDefault="009B4C3A" w:rsidP="009C63F7">
      <w:pPr>
        <w:pStyle w:val="ListParagraph"/>
        <w:widowControl w:val="0"/>
        <w:numPr>
          <w:ilvl w:val="0"/>
          <w:numId w:val="3"/>
        </w:numPr>
        <w:autoSpaceDE w:val="0"/>
        <w:autoSpaceDN w:val="0"/>
        <w:adjustRightInd w:val="0"/>
        <w:spacing w:after="240"/>
        <w:rPr>
          <w:rFonts w:cs="Times"/>
        </w:rPr>
      </w:pPr>
      <w:r w:rsidRPr="00C548EC">
        <w:rPr>
          <w:rFonts w:cs="Times"/>
        </w:rPr>
        <w:t xml:space="preserve">Cortisol production was 83% higher in the patients. </w:t>
      </w:r>
    </w:p>
    <w:p w14:paraId="04E280AD" w14:textId="289532D6" w:rsidR="009B4C3A" w:rsidRPr="00C548EC" w:rsidRDefault="009B4C3A" w:rsidP="009C63F7">
      <w:pPr>
        <w:pStyle w:val="ListParagraph"/>
        <w:widowControl w:val="0"/>
        <w:numPr>
          <w:ilvl w:val="0"/>
          <w:numId w:val="3"/>
        </w:numPr>
        <w:autoSpaceDE w:val="0"/>
        <w:autoSpaceDN w:val="0"/>
        <w:adjustRightInd w:val="0"/>
        <w:spacing w:after="240"/>
        <w:rPr>
          <w:rFonts w:cs="Times"/>
        </w:rPr>
      </w:pPr>
      <w:r w:rsidRPr="00C548EC">
        <w:rPr>
          <w:rFonts w:cs="Times"/>
        </w:rPr>
        <w:t>There was a reduction of more than 50% in cortisol clearance during tracer infusion and after the administration of 100 mg of hydrocortisone in the patients</w:t>
      </w:r>
    </w:p>
    <w:p w14:paraId="48574EF2" w14:textId="52C1B232" w:rsidR="005E213D" w:rsidRPr="00C548EC" w:rsidRDefault="005E213D" w:rsidP="009C63F7">
      <w:pPr>
        <w:pStyle w:val="ListParagraph"/>
        <w:widowControl w:val="0"/>
        <w:numPr>
          <w:ilvl w:val="0"/>
          <w:numId w:val="3"/>
        </w:numPr>
        <w:autoSpaceDE w:val="0"/>
        <w:autoSpaceDN w:val="0"/>
        <w:adjustRightInd w:val="0"/>
        <w:spacing w:after="240"/>
        <w:rPr>
          <w:rFonts w:cs="Times"/>
        </w:rPr>
      </w:pPr>
      <w:r w:rsidRPr="00C548EC">
        <w:rPr>
          <w:rFonts w:cs="Times"/>
        </w:rPr>
        <w:t>All these factors accounted for an increase by a factor of 3.5 in plasma cortisol levels in the patients, as compared with controls</w:t>
      </w:r>
    </w:p>
    <w:p w14:paraId="72110D26" w14:textId="3ECED43C" w:rsidR="008F2FE7" w:rsidRPr="00C548EC" w:rsidRDefault="008F2FE7" w:rsidP="009C63F7">
      <w:pPr>
        <w:pStyle w:val="ListParagraph"/>
        <w:widowControl w:val="0"/>
        <w:numPr>
          <w:ilvl w:val="0"/>
          <w:numId w:val="3"/>
        </w:numPr>
        <w:autoSpaceDE w:val="0"/>
        <w:autoSpaceDN w:val="0"/>
        <w:adjustRightInd w:val="0"/>
        <w:spacing w:after="240"/>
        <w:rPr>
          <w:rFonts w:cs="Times"/>
        </w:rPr>
      </w:pPr>
      <w:r w:rsidRPr="00C548EC">
        <w:rPr>
          <w:rFonts w:cs="Times"/>
        </w:rPr>
        <w:t>Urinary excretion of cortisol was elevated in the critically ill patients, but corti</w:t>
      </w:r>
      <w:r w:rsidR="005E213D" w:rsidRPr="00C548EC">
        <w:rPr>
          <w:rFonts w:cs="Times"/>
        </w:rPr>
        <w:t>sol metabolite levels were nor</w:t>
      </w:r>
      <w:r w:rsidRPr="00C548EC">
        <w:rPr>
          <w:rFonts w:cs="Times"/>
        </w:rPr>
        <w:t>mal or low, despite increased cortisol production</w:t>
      </w:r>
    </w:p>
    <w:p w14:paraId="1FB0D498" w14:textId="158C6ABA" w:rsidR="005E213D" w:rsidRPr="00C548EC" w:rsidRDefault="005E213D" w:rsidP="009C63F7">
      <w:pPr>
        <w:pStyle w:val="ListParagraph"/>
        <w:widowControl w:val="0"/>
        <w:numPr>
          <w:ilvl w:val="0"/>
          <w:numId w:val="3"/>
        </w:numPr>
        <w:autoSpaceDE w:val="0"/>
        <w:autoSpaceDN w:val="0"/>
        <w:adjustRightInd w:val="0"/>
        <w:spacing w:after="240"/>
        <w:rPr>
          <w:rFonts w:cs="Times"/>
        </w:rPr>
      </w:pPr>
      <w:r w:rsidRPr="00C548EC">
        <w:rPr>
          <w:rFonts w:cs="Times"/>
        </w:rPr>
        <w:t xml:space="preserve">Impaired cortisol clearance also correlated with a lower cortisol response to </w:t>
      </w:r>
      <w:proofErr w:type="spellStart"/>
      <w:r w:rsidRPr="00C548EC">
        <w:rPr>
          <w:rFonts w:cs="Times"/>
        </w:rPr>
        <w:t>corticotropin</w:t>
      </w:r>
      <w:proofErr w:type="spellEnd"/>
      <w:r w:rsidRPr="00C548EC">
        <w:rPr>
          <w:rFonts w:cs="Times"/>
        </w:rPr>
        <w:t xml:space="preserve"> stimulation.</w:t>
      </w:r>
    </w:p>
    <w:p w14:paraId="706F6677" w14:textId="246F9C38" w:rsidR="00B95DD1" w:rsidRPr="00C548EC" w:rsidRDefault="00CE1A8F" w:rsidP="009C63F7">
      <w:pPr>
        <w:pStyle w:val="ListParagraph"/>
        <w:widowControl w:val="0"/>
        <w:numPr>
          <w:ilvl w:val="0"/>
          <w:numId w:val="3"/>
        </w:numPr>
        <w:autoSpaceDE w:val="0"/>
        <w:autoSpaceDN w:val="0"/>
        <w:adjustRightInd w:val="0"/>
        <w:spacing w:after="240"/>
        <w:rPr>
          <w:rFonts w:cs="Times"/>
        </w:rPr>
      </w:pPr>
      <w:r w:rsidRPr="00C548EC">
        <w:rPr>
          <w:rFonts w:cs="Times"/>
        </w:rPr>
        <w:t xml:space="preserve">The ratios of urinary cortisol metabolites suggested reduced activity of the A-ring </w:t>
      </w:r>
      <w:proofErr w:type="spellStart"/>
      <w:r w:rsidRPr="00C548EC">
        <w:rPr>
          <w:rFonts w:cs="Times"/>
        </w:rPr>
        <w:t>reductases</w:t>
      </w:r>
      <w:proofErr w:type="spellEnd"/>
      <w:r w:rsidRPr="00C548EC">
        <w:rPr>
          <w:rFonts w:cs="Times"/>
        </w:rPr>
        <w:t xml:space="preserve"> in the critically ill patients and a net suppression of cortisol-to-cortisone conversion.</w:t>
      </w:r>
      <w:r w:rsidR="00B95DD1" w:rsidRPr="00C548EC">
        <w:rPr>
          <w:rFonts w:cs="Times"/>
        </w:rPr>
        <w:t xml:space="preserve"> This interpretation was corroborated by low mRNA and protein levels and low activity of the A-ring </w:t>
      </w:r>
      <w:proofErr w:type="spellStart"/>
      <w:r w:rsidR="00B95DD1" w:rsidRPr="00C548EC">
        <w:rPr>
          <w:rFonts w:cs="Times"/>
        </w:rPr>
        <w:t>reductases</w:t>
      </w:r>
      <w:proofErr w:type="spellEnd"/>
      <w:r w:rsidR="00B95DD1" w:rsidRPr="00C548EC">
        <w:rPr>
          <w:rFonts w:cs="Times"/>
        </w:rPr>
        <w:t xml:space="preserve"> in liver-biopsy samples.</w:t>
      </w:r>
    </w:p>
    <w:p w14:paraId="7901A17A" w14:textId="6BF9DDF7" w:rsidR="00B95DD1" w:rsidRPr="00C548EC" w:rsidRDefault="00B95DD1" w:rsidP="009C63F7">
      <w:pPr>
        <w:pStyle w:val="ListParagraph"/>
        <w:widowControl w:val="0"/>
        <w:numPr>
          <w:ilvl w:val="0"/>
          <w:numId w:val="3"/>
        </w:numPr>
        <w:autoSpaceDE w:val="0"/>
        <w:autoSpaceDN w:val="0"/>
        <w:adjustRightInd w:val="0"/>
        <w:spacing w:after="240"/>
        <w:rPr>
          <w:rFonts w:cs="Times"/>
        </w:rPr>
      </w:pPr>
      <w:r w:rsidRPr="00C548EC">
        <w:rPr>
          <w:rFonts w:cs="Times"/>
        </w:rPr>
        <w:t xml:space="preserve">The negative correlation between the expression and activity of the A-ring </w:t>
      </w:r>
      <w:proofErr w:type="spellStart"/>
      <w:r w:rsidRPr="00C548EC">
        <w:rPr>
          <w:rFonts w:cs="Times"/>
        </w:rPr>
        <w:t>reductases</w:t>
      </w:r>
      <w:proofErr w:type="spellEnd"/>
      <w:r w:rsidRPr="00C548EC">
        <w:rPr>
          <w:rFonts w:cs="Times"/>
        </w:rPr>
        <w:t xml:space="preserve"> and circulating bile acid levels suggests that elevated levels of bile acids may reduce cortisol metabolism in critically ill patients</w:t>
      </w:r>
    </w:p>
    <w:p w14:paraId="746E4693" w14:textId="77777777" w:rsidR="009C63F7" w:rsidRPr="00C548EC" w:rsidRDefault="009C63F7" w:rsidP="009C63F7">
      <w:pPr>
        <w:pStyle w:val="ListParagraph"/>
        <w:widowControl w:val="0"/>
        <w:numPr>
          <w:ilvl w:val="0"/>
          <w:numId w:val="3"/>
        </w:numPr>
        <w:autoSpaceDE w:val="0"/>
        <w:autoSpaceDN w:val="0"/>
        <w:adjustRightInd w:val="0"/>
        <w:spacing w:after="240"/>
        <w:rPr>
          <w:rFonts w:cs="Times"/>
        </w:rPr>
      </w:pPr>
      <w:r w:rsidRPr="00C548EC">
        <w:rPr>
          <w:rFonts w:cs="Times"/>
        </w:rPr>
        <w:t>Reduced cortisol metabolism was associated with reduced inactivation of cortisol in the liver and kidney, as suggested by urinary steroid ratios, tracer kinetics, and assessment of liver-biopsy samples</w:t>
      </w:r>
    </w:p>
    <w:p w14:paraId="0B57B684" w14:textId="77777777" w:rsidR="00A86671" w:rsidRPr="00C548EC" w:rsidRDefault="00A86671" w:rsidP="00EF402C"/>
    <w:p w14:paraId="1AF0719D" w14:textId="51D8F5BA" w:rsidR="00A86671" w:rsidRPr="00C548EC" w:rsidRDefault="00A86671" w:rsidP="00EF402C">
      <w:r w:rsidRPr="00C548EC">
        <w:rPr>
          <w:b/>
        </w:rPr>
        <w:t>Questions</w:t>
      </w:r>
      <w:r w:rsidRPr="00C548EC">
        <w:t>:</w:t>
      </w:r>
    </w:p>
    <w:p w14:paraId="076196FF" w14:textId="77777777" w:rsidR="004F3892" w:rsidRPr="00C548EC" w:rsidRDefault="004F3892" w:rsidP="00EF402C"/>
    <w:p w14:paraId="45EA66C4" w14:textId="698B6E36" w:rsidR="004F3892" w:rsidRPr="00C548EC" w:rsidRDefault="004F3892" w:rsidP="00E958B0">
      <w:pPr>
        <w:pStyle w:val="ListParagraph"/>
        <w:widowControl w:val="0"/>
        <w:numPr>
          <w:ilvl w:val="0"/>
          <w:numId w:val="5"/>
        </w:numPr>
        <w:autoSpaceDE w:val="0"/>
        <w:autoSpaceDN w:val="0"/>
        <w:adjustRightInd w:val="0"/>
        <w:spacing w:after="240"/>
        <w:rPr>
          <w:rFonts w:cs="Times"/>
        </w:rPr>
      </w:pPr>
      <w:r w:rsidRPr="00C548EC">
        <w:rPr>
          <w:rFonts w:cs="Times"/>
        </w:rPr>
        <w:t xml:space="preserve">Total and free circulating cortisol levels were consistently higher in the patients than in controls, whereas </w:t>
      </w:r>
      <w:proofErr w:type="spellStart"/>
      <w:r w:rsidRPr="00C548EC">
        <w:rPr>
          <w:rFonts w:cs="Times"/>
        </w:rPr>
        <w:t>corticotropin</w:t>
      </w:r>
      <w:proofErr w:type="spellEnd"/>
      <w:r w:rsidRPr="00C548EC">
        <w:rPr>
          <w:rFonts w:cs="Times"/>
        </w:rPr>
        <w:t xml:space="preserve"> levels were lower</w:t>
      </w:r>
      <w:r w:rsidR="00E958B0" w:rsidRPr="00C548EC">
        <w:rPr>
          <w:rFonts w:cs="Times"/>
        </w:rPr>
        <w:t>. T or F?</w:t>
      </w:r>
    </w:p>
    <w:p w14:paraId="7B040CA1" w14:textId="65656589" w:rsidR="00E958B0" w:rsidRPr="00C548EC" w:rsidRDefault="00E958B0" w:rsidP="00E958B0">
      <w:pPr>
        <w:pStyle w:val="ListParagraph"/>
        <w:widowControl w:val="0"/>
        <w:autoSpaceDE w:val="0"/>
        <w:autoSpaceDN w:val="0"/>
        <w:adjustRightInd w:val="0"/>
        <w:spacing w:after="240"/>
        <w:rPr>
          <w:rFonts w:cs="Times"/>
        </w:rPr>
      </w:pPr>
      <w:r w:rsidRPr="00C548EC">
        <w:rPr>
          <w:rFonts w:cs="Times"/>
          <w:b/>
        </w:rPr>
        <w:t>Answer:</w:t>
      </w:r>
      <w:r w:rsidRPr="00C548EC">
        <w:rPr>
          <w:rFonts w:cs="Times"/>
        </w:rPr>
        <w:t xml:space="preserve"> True</w:t>
      </w:r>
    </w:p>
    <w:p w14:paraId="0DFF0397" w14:textId="77777777" w:rsidR="009A1B68" w:rsidRPr="00C548EC" w:rsidRDefault="009A1B68" w:rsidP="00E958B0">
      <w:pPr>
        <w:pStyle w:val="ListParagraph"/>
        <w:widowControl w:val="0"/>
        <w:autoSpaceDE w:val="0"/>
        <w:autoSpaceDN w:val="0"/>
        <w:adjustRightInd w:val="0"/>
        <w:spacing w:after="240"/>
        <w:rPr>
          <w:rFonts w:cs="Times"/>
        </w:rPr>
      </w:pPr>
    </w:p>
    <w:p w14:paraId="0B396138" w14:textId="5822F325" w:rsidR="009A1B68" w:rsidRPr="00C548EC" w:rsidRDefault="00E958B0" w:rsidP="009A1B68">
      <w:pPr>
        <w:pStyle w:val="ListParagraph"/>
        <w:widowControl w:val="0"/>
        <w:numPr>
          <w:ilvl w:val="0"/>
          <w:numId w:val="5"/>
        </w:numPr>
        <w:autoSpaceDE w:val="0"/>
        <w:autoSpaceDN w:val="0"/>
        <w:adjustRightInd w:val="0"/>
        <w:spacing w:after="240"/>
        <w:rPr>
          <w:rFonts w:cs="Times"/>
        </w:rPr>
      </w:pPr>
      <w:r w:rsidRPr="00C548EC">
        <w:rPr>
          <w:rFonts w:cs="Times"/>
        </w:rPr>
        <w:t xml:space="preserve">Impaired cortisol clearance also correlated with a lower cortisol response to </w:t>
      </w:r>
      <w:proofErr w:type="spellStart"/>
      <w:r w:rsidRPr="00C548EC">
        <w:rPr>
          <w:rFonts w:cs="Times"/>
        </w:rPr>
        <w:t>corticotropin</w:t>
      </w:r>
      <w:proofErr w:type="spellEnd"/>
      <w:r w:rsidRPr="00C548EC">
        <w:rPr>
          <w:rFonts w:cs="Times"/>
        </w:rPr>
        <w:t xml:space="preserve"> stimulation. T or F?</w:t>
      </w:r>
    </w:p>
    <w:p w14:paraId="7B90214B" w14:textId="635A3C05" w:rsidR="00E958B0" w:rsidRPr="00C548EC" w:rsidRDefault="00E958B0" w:rsidP="00E958B0">
      <w:pPr>
        <w:pStyle w:val="ListParagraph"/>
        <w:widowControl w:val="0"/>
        <w:autoSpaceDE w:val="0"/>
        <w:autoSpaceDN w:val="0"/>
        <w:adjustRightInd w:val="0"/>
        <w:spacing w:after="240"/>
        <w:rPr>
          <w:rFonts w:cs="Times"/>
        </w:rPr>
      </w:pPr>
      <w:r w:rsidRPr="00C548EC">
        <w:rPr>
          <w:rFonts w:cs="Times"/>
          <w:b/>
        </w:rPr>
        <w:t>Answer:</w:t>
      </w:r>
      <w:r w:rsidRPr="00C548EC">
        <w:rPr>
          <w:rFonts w:cs="Times"/>
        </w:rPr>
        <w:t xml:space="preserve"> True</w:t>
      </w:r>
    </w:p>
    <w:p w14:paraId="4FD6AD41" w14:textId="77777777" w:rsidR="009A1B68" w:rsidRPr="00C548EC" w:rsidRDefault="009A1B68" w:rsidP="00E958B0">
      <w:pPr>
        <w:pStyle w:val="ListParagraph"/>
        <w:widowControl w:val="0"/>
        <w:autoSpaceDE w:val="0"/>
        <w:autoSpaceDN w:val="0"/>
        <w:adjustRightInd w:val="0"/>
        <w:spacing w:after="240"/>
        <w:rPr>
          <w:rFonts w:cs="Times"/>
        </w:rPr>
      </w:pPr>
    </w:p>
    <w:p w14:paraId="0DE5F856" w14:textId="05A6C099" w:rsidR="00E958B0" w:rsidRPr="00C548EC" w:rsidRDefault="00A56593" w:rsidP="00E958B0">
      <w:pPr>
        <w:pStyle w:val="ListParagraph"/>
        <w:widowControl w:val="0"/>
        <w:numPr>
          <w:ilvl w:val="0"/>
          <w:numId w:val="5"/>
        </w:numPr>
        <w:autoSpaceDE w:val="0"/>
        <w:autoSpaceDN w:val="0"/>
        <w:adjustRightInd w:val="0"/>
        <w:spacing w:after="240"/>
        <w:rPr>
          <w:rFonts w:cs="Times"/>
        </w:rPr>
      </w:pPr>
      <w:r w:rsidRPr="00C548EC">
        <w:rPr>
          <w:rFonts w:cs="Times"/>
        </w:rPr>
        <w:t>Reduced cortisol metabolism was associated with reduced inactivation of cortisol in the liver and kidney, as suggested by urinary steroid ratios, tracer kinetics, and assessment of liver-biopsy samples. T or F?</w:t>
      </w:r>
    </w:p>
    <w:p w14:paraId="49BA283E" w14:textId="69375A89" w:rsidR="00A56593" w:rsidRPr="00C548EC" w:rsidRDefault="00A56593" w:rsidP="00A56593">
      <w:pPr>
        <w:pStyle w:val="ListParagraph"/>
        <w:widowControl w:val="0"/>
        <w:autoSpaceDE w:val="0"/>
        <w:autoSpaceDN w:val="0"/>
        <w:adjustRightInd w:val="0"/>
        <w:spacing w:after="240"/>
        <w:rPr>
          <w:rFonts w:cs="Times"/>
        </w:rPr>
      </w:pPr>
      <w:r w:rsidRPr="00C548EC">
        <w:rPr>
          <w:rFonts w:cs="Times"/>
          <w:b/>
        </w:rPr>
        <w:t>Answer</w:t>
      </w:r>
      <w:r w:rsidRPr="00C548EC">
        <w:rPr>
          <w:rFonts w:cs="Times"/>
        </w:rPr>
        <w:t>: True</w:t>
      </w:r>
    </w:p>
    <w:p w14:paraId="0BD2BDC5" w14:textId="77777777" w:rsidR="0017584B" w:rsidRPr="00C548EC" w:rsidRDefault="0017584B" w:rsidP="0017584B">
      <w:pPr>
        <w:widowControl w:val="0"/>
        <w:autoSpaceDE w:val="0"/>
        <w:autoSpaceDN w:val="0"/>
        <w:adjustRightInd w:val="0"/>
        <w:spacing w:after="240"/>
        <w:rPr>
          <w:rFonts w:cs="Times"/>
        </w:rPr>
      </w:pPr>
    </w:p>
    <w:p w14:paraId="19FCED56" w14:textId="77777777" w:rsidR="0017584B" w:rsidRPr="00C548EC" w:rsidRDefault="0017584B" w:rsidP="0017584B">
      <w:pPr>
        <w:widowControl w:val="0"/>
        <w:autoSpaceDE w:val="0"/>
        <w:autoSpaceDN w:val="0"/>
        <w:adjustRightInd w:val="0"/>
        <w:spacing w:after="240"/>
        <w:rPr>
          <w:rFonts w:cs="Times"/>
        </w:rPr>
      </w:pPr>
    </w:p>
    <w:p w14:paraId="18F14DE7" w14:textId="77777777" w:rsidR="0017584B" w:rsidRPr="00C548EC" w:rsidRDefault="0017584B" w:rsidP="0017584B">
      <w:pPr>
        <w:widowControl w:val="0"/>
        <w:autoSpaceDE w:val="0"/>
        <w:autoSpaceDN w:val="0"/>
        <w:adjustRightInd w:val="0"/>
        <w:spacing w:after="240"/>
        <w:rPr>
          <w:rFonts w:cs="Times"/>
          <w:u w:val="single"/>
        </w:rPr>
      </w:pPr>
      <w:r w:rsidRPr="00C548EC">
        <w:rPr>
          <w:rFonts w:cs="Helvetica"/>
          <w:b/>
          <w:bCs/>
          <w:u w:val="single"/>
        </w:rPr>
        <w:t xml:space="preserve">Partnership on Rotational </w:t>
      </w:r>
      <w:proofErr w:type="spellStart"/>
      <w:r w:rsidRPr="00C548EC">
        <w:rPr>
          <w:rFonts w:cs="Helvetica"/>
          <w:b/>
          <w:bCs/>
          <w:u w:val="single"/>
        </w:rPr>
        <w:t>ViscoElastic</w:t>
      </w:r>
      <w:proofErr w:type="spellEnd"/>
      <w:r w:rsidRPr="00C548EC">
        <w:rPr>
          <w:rFonts w:cs="Helvetica"/>
          <w:b/>
          <w:bCs/>
          <w:u w:val="single"/>
        </w:rPr>
        <w:t xml:space="preserve"> Test Standardization (PROVETS): Evidence-based guidelines on rotational viscoelastic assays in veterinary medicine</w:t>
      </w:r>
    </w:p>
    <w:p w14:paraId="7C465302" w14:textId="77777777" w:rsidR="0017584B" w:rsidRPr="00C548EC" w:rsidRDefault="0017584B" w:rsidP="0017584B">
      <w:pPr>
        <w:widowControl w:val="0"/>
        <w:autoSpaceDE w:val="0"/>
        <w:autoSpaceDN w:val="0"/>
        <w:adjustRightInd w:val="0"/>
        <w:spacing w:after="240"/>
        <w:rPr>
          <w:rFonts w:cs="Times"/>
        </w:rPr>
      </w:pPr>
      <w:r w:rsidRPr="00C548EC">
        <w:rPr>
          <w:rFonts w:cs="Palatino"/>
        </w:rPr>
        <w:t xml:space="preserve">Robert </w:t>
      </w:r>
      <w:proofErr w:type="spellStart"/>
      <w:r w:rsidRPr="00C548EC">
        <w:rPr>
          <w:rFonts w:cs="Palatino"/>
        </w:rPr>
        <w:t>Goggs</w:t>
      </w:r>
      <w:proofErr w:type="spellEnd"/>
      <w:r w:rsidRPr="00C548EC">
        <w:rPr>
          <w:rFonts w:cs="Palatino"/>
        </w:rPr>
        <w:t xml:space="preserve">, </w:t>
      </w:r>
      <w:proofErr w:type="spellStart"/>
      <w:r w:rsidRPr="00C548EC">
        <w:rPr>
          <w:rFonts w:cs="Palatino"/>
        </w:rPr>
        <w:t>BVSc</w:t>
      </w:r>
      <w:proofErr w:type="spellEnd"/>
      <w:r w:rsidRPr="00C548EC">
        <w:rPr>
          <w:rFonts w:cs="Palatino"/>
        </w:rPr>
        <w:t xml:space="preserve">, DACVECC, PhD, MRCVS; Benjamin </w:t>
      </w:r>
      <w:proofErr w:type="spellStart"/>
      <w:r w:rsidRPr="00C548EC">
        <w:rPr>
          <w:rFonts w:cs="Palatino"/>
        </w:rPr>
        <w:t>Brainard</w:t>
      </w:r>
      <w:proofErr w:type="spellEnd"/>
      <w:r w:rsidRPr="00C548EC">
        <w:rPr>
          <w:rFonts w:cs="Palatino"/>
        </w:rPr>
        <w:t>, VMD, DACVA, DACVECC</w:t>
      </w:r>
      <w:r w:rsidRPr="00C548EC">
        <w:rPr>
          <w:rFonts w:cs="Monaco"/>
          <w:position w:val="10"/>
        </w:rPr>
        <w:t>∗</w:t>
      </w:r>
      <w:r w:rsidRPr="00C548EC">
        <w:rPr>
          <w:rFonts w:cs="Palatino"/>
        </w:rPr>
        <w:t xml:space="preserve">; </w:t>
      </w:r>
      <w:proofErr w:type="spellStart"/>
      <w:r w:rsidRPr="00C548EC">
        <w:rPr>
          <w:rFonts w:cs="Palatino"/>
        </w:rPr>
        <w:t>Armelle</w:t>
      </w:r>
      <w:proofErr w:type="spellEnd"/>
      <w:r w:rsidRPr="00C548EC">
        <w:rPr>
          <w:rFonts w:cs="Palatino"/>
        </w:rPr>
        <w:t xml:space="preserve"> M. de </w:t>
      </w:r>
      <w:proofErr w:type="spellStart"/>
      <w:r w:rsidRPr="00C548EC">
        <w:rPr>
          <w:rFonts w:cs="Palatino"/>
        </w:rPr>
        <w:t>Laforcade</w:t>
      </w:r>
      <w:proofErr w:type="spellEnd"/>
      <w:r w:rsidRPr="00C548EC">
        <w:rPr>
          <w:rFonts w:cs="Palatino"/>
        </w:rPr>
        <w:t>, DVM, DACVECC</w:t>
      </w:r>
      <w:r w:rsidRPr="00C548EC">
        <w:rPr>
          <w:rFonts w:cs="Monaco"/>
          <w:position w:val="10"/>
        </w:rPr>
        <w:t>∗</w:t>
      </w:r>
      <w:r w:rsidRPr="00C548EC">
        <w:rPr>
          <w:rFonts w:cs="Palatino"/>
        </w:rPr>
        <w:t xml:space="preserve">; </w:t>
      </w:r>
      <w:proofErr w:type="spellStart"/>
      <w:r w:rsidRPr="00C548EC">
        <w:rPr>
          <w:rFonts w:cs="Palatino"/>
        </w:rPr>
        <w:t>Bente</w:t>
      </w:r>
      <w:proofErr w:type="spellEnd"/>
      <w:r w:rsidRPr="00C548EC">
        <w:rPr>
          <w:rFonts w:cs="Palatino"/>
        </w:rPr>
        <w:t xml:space="preserve"> Flatland, DVM, MS, DACVIM, DACVP</w:t>
      </w:r>
      <w:r w:rsidRPr="00C548EC">
        <w:rPr>
          <w:rFonts w:cs="Monaco"/>
          <w:position w:val="10"/>
        </w:rPr>
        <w:t>∗</w:t>
      </w:r>
      <w:r w:rsidRPr="00C548EC">
        <w:rPr>
          <w:rFonts w:cs="Palatino"/>
        </w:rPr>
        <w:t xml:space="preserve">; Rita </w:t>
      </w:r>
      <w:proofErr w:type="spellStart"/>
      <w:r w:rsidRPr="00C548EC">
        <w:rPr>
          <w:rFonts w:cs="Palatino"/>
        </w:rPr>
        <w:t>Hanel</w:t>
      </w:r>
      <w:proofErr w:type="spellEnd"/>
      <w:r w:rsidRPr="00C548EC">
        <w:rPr>
          <w:rFonts w:cs="Palatino"/>
        </w:rPr>
        <w:t>, DVM, DACVIM, DACVECC</w:t>
      </w:r>
      <w:r w:rsidRPr="00C548EC">
        <w:rPr>
          <w:rFonts w:cs="Monaco"/>
          <w:position w:val="10"/>
        </w:rPr>
        <w:t>∗</w:t>
      </w:r>
      <w:r w:rsidRPr="00C548EC">
        <w:rPr>
          <w:rFonts w:cs="Palatino"/>
        </w:rPr>
        <w:t>; Maureen McMichael, DVM, DACVECC</w:t>
      </w:r>
      <w:r w:rsidRPr="00C548EC">
        <w:rPr>
          <w:rFonts w:cs="Monaco"/>
          <w:position w:val="10"/>
        </w:rPr>
        <w:t>∗</w:t>
      </w:r>
      <w:r w:rsidRPr="00C548EC">
        <w:rPr>
          <w:rFonts w:cs="Times"/>
          <w:position w:val="10"/>
        </w:rPr>
        <w:t xml:space="preserve"> </w:t>
      </w:r>
      <w:r w:rsidRPr="00C548EC">
        <w:rPr>
          <w:rFonts w:cs="Palatino"/>
        </w:rPr>
        <w:t xml:space="preserve">and Bo </w:t>
      </w:r>
      <w:proofErr w:type="spellStart"/>
      <w:r w:rsidRPr="00C548EC">
        <w:rPr>
          <w:rFonts w:cs="Palatino"/>
        </w:rPr>
        <w:t>Wiinberg</w:t>
      </w:r>
      <w:proofErr w:type="spellEnd"/>
      <w:r w:rsidRPr="00C548EC">
        <w:rPr>
          <w:rFonts w:cs="Palatino"/>
        </w:rPr>
        <w:t>, DVM, PhD</w:t>
      </w:r>
    </w:p>
    <w:p w14:paraId="3D4CD77B" w14:textId="77777777" w:rsidR="00EB51ED" w:rsidRPr="00C548EC" w:rsidRDefault="00EB51ED" w:rsidP="00EB51ED">
      <w:pPr>
        <w:widowControl w:val="0"/>
        <w:autoSpaceDE w:val="0"/>
        <w:autoSpaceDN w:val="0"/>
        <w:adjustRightInd w:val="0"/>
        <w:spacing w:after="240"/>
        <w:rPr>
          <w:rFonts w:cs="Times"/>
        </w:rPr>
      </w:pPr>
      <w:r w:rsidRPr="00C548EC">
        <w:rPr>
          <w:rFonts w:cs="Helvetica"/>
        </w:rPr>
        <w:t xml:space="preserve">Journal of Veterinary Emergency and Critical Care </w:t>
      </w:r>
      <w:r w:rsidRPr="00C548EC">
        <w:rPr>
          <w:rFonts w:cs="Helvetica"/>
          <w:b/>
          <w:bCs/>
        </w:rPr>
        <w:t>24</w:t>
      </w:r>
      <w:r w:rsidRPr="00C548EC">
        <w:rPr>
          <w:rFonts w:cs="Helvetica"/>
        </w:rPr>
        <w:t xml:space="preserve">(1) 2014, </w:t>
      </w:r>
      <w:proofErr w:type="spellStart"/>
      <w:r w:rsidRPr="00C548EC">
        <w:rPr>
          <w:rFonts w:cs="Helvetica"/>
        </w:rPr>
        <w:t>pp</w:t>
      </w:r>
      <w:proofErr w:type="spellEnd"/>
      <w:r w:rsidRPr="00C548EC">
        <w:rPr>
          <w:rFonts w:cs="Helvetica"/>
        </w:rPr>
        <w:t xml:space="preserve"> 1–22</w:t>
      </w:r>
    </w:p>
    <w:p w14:paraId="32E45CF6" w14:textId="77777777" w:rsidR="009A69F0" w:rsidRPr="00C548EC" w:rsidRDefault="009A69F0" w:rsidP="009A69F0">
      <w:pPr>
        <w:widowControl w:val="0"/>
        <w:autoSpaceDE w:val="0"/>
        <w:autoSpaceDN w:val="0"/>
        <w:adjustRightInd w:val="0"/>
        <w:spacing w:after="240"/>
        <w:rPr>
          <w:rFonts w:cs="Times"/>
        </w:rPr>
      </w:pPr>
      <w:r w:rsidRPr="00C548EC">
        <w:rPr>
          <w:rFonts w:cs="Helvetica"/>
          <w:b/>
          <w:bCs/>
        </w:rPr>
        <w:t>Abstract</w:t>
      </w:r>
    </w:p>
    <w:p w14:paraId="3B1B94A0" w14:textId="77777777" w:rsidR="009A69F0" w:rsidRPr="00C548EC" w:rsidRDefault="009A69F0" w:rsidP="009A69F0">
      <w:pPr>
        <w:widowControl w:val="0"/>
        <w:autoSpaceDE w:val="0"/>
        <w:autoSpaceDN w:val="0"/>
        <w:adjustRightInd w:val="0"/>
        <w:spacing w:after="240"/>
        <w:rPr>
          <w:rFonts w:cs="Palatino"/>
        </w:rPr>
      </w:pPr>
      <w:r w:rsidRPr="00C548EC">
        <w:rPr>
          <w:rFonts w:cs="Palatino"/>
          <w:b/>
          <w:bCs/>
        </w:rPr>
        <w:t xml:space="preserve">Objective </w:t>
      </w:r>
      <w:r w:rsidRPr="00C548EC">
        <w:rPr>
          <w:rFonts w:cs="Palatino"/>
        </w:rPr>
        <w:t>– To systematically examine the evidence relating to the performance of rotational viscoelastic testing in companion animals, to develop assay guidelines, and to identify knowledge gaps. </w:t>
      </w:r>
    </w:p>
    <w:p w14:paraId="7DCF13EB" w14:textId="2C218861" w:rsidR="009A69F0" w:rsidRPr="00C548EC" w:rsidRDefault="009A69F0" w:rsidP="009A69F0">
      <w:pPr>
        <w:widowControl w:val="0"/>
        <w:autoSpaceDE w:val="0"/>
        <w:autoSpaceDN w:val="0"/>
        <w:adjustRightInd w:val="0"/>
        <w:spacing w:after="240"/>
        <w:rPr>
          <w:rFonts w:cs="Times"/>
        </w:rPr>
      </w:pPr>
      <w:r w:rsidRPr="00C548EC">
        <w:rPr>
          <w:rFonts w:cs="Palatino"/>
          <w:b/>
          <w:bCs/>
        </w:rPr>
        <w:t xml:space="preserve">Design </w:t>
      </w:r>
      <w:r w:rsidRPr="00C548EC">
        <w:rPr>
          <w:rFonts w:cs="Palatino"/>
        </w:rPr>
        <w:t>– Multiple questions were considered within 5 parent domains, specifically system comparability, sample handling, assay activation and test protocol, definitions and data reporting, and nonstandard assays. Standardized, systematic evaluation of the literature was performed. Relevant articles were categorized ac- cording to level of evidence and assessed for quality. Consensus was developed regarding conclusions for application of concepts to clinical practice.</w:t>
      </w:r>
    </w:p>
    <w:p w14:paraId="77E3F0F0" w14:textId="77777777" w:rsidR="009A69F0" w:rsidRPr="00C548EC" w:rsidRDefault="009A69F0" w:rsidP="009A69F0">
      <w:pPr>
        <w:widowControl w:val="0"/>
        <w:autoSpaceDE w:val="0"/>
        <w:autoSpaceDN w:val="0"/>
        <w:adjustRightInd w:val="0"/>
        <w:spacing w:after="240"/>
        <w:rPr>
          <w:rFonts w:cs="Palatino"/>
        </w:rPr>
      </w:pPr>
      <w:r w:rsidRPr="00C548EC">
        <w:rPr>
          <w:rFonts w:cs="Palatino"/>
          <w:b/>
          <w:bCs/>
        </w:rPr>
        <w:t xml:space="preserve">Setting </w:t>
      </w:r>
      <w:r w:rsidRPr="00C548EC">
        <w:rPr>
          <w:rFonts w:cs="Palatino"/>
        </w:rPr>
        <w:t>– Academic and referral veterinary medical centers. </w:t>
      </w:r>
    </w:p>
    <w:p w14:paraId="1D79CB4E" w14:textId="77777777" w:rsidR="009A69F0" w:rsidRPr="00C548EC" w:rsidRDefault="009A69F0" w:rsidP="009A69F0">
      <w:pPr>
        <w:widowControl w:val="0"/>
        <w:autoSpaceDE w:val="0"/>
        <w:autoSpaceDN w:val="0"/>
        <w:adjustRightInd w:val="0"/>
        <w:spacing w:after="240"/>
        <w:rPr>
          <w:rFonts w:cs="Palatino"/>
        </w:rPr>
      </w:pPr>
      <w:r w:rsidRPr="00C548EC">
        <w:rPr>
          <w:rFonts w:cs="Palatino"/>
          <w:b/>
          <w:bCs/>
        </w:rPr>
        <w:t xml:space="preserve">Results </w:t>
      </w:r>
      <w:r w:rsidRPr="00C548EC">
        <w:rPr>
          <w:rFonts w:cs="Palatino"/>
        </w:rPr>
        <w:t xml:space="preserve">– Databases searched included Medline, Commonwealth Agricultural </w:t>
      </w:r>
      <w:proofErr w:type="spellStart"/>
      <w:r w:rsidRPr="00C548EC">
        <w:rPr>
          <w:rFonts w:cs="Palatino"/>
        </w:rPr>
        <w:t>Bureaux</w:t>
      </w:r>
      <w:proofErr w:type="spellEnd"/>
      <w:r w:rsidRPr="00C548EC">
        <w:rPr>
          <w:rFonts w:cs="Palatino"/>
        </w:rPr>
        <w:t xml:space="preserve"> abstracts, and Google Scholar. Worksheets were prepared evaluating 28 questions across the 5 domains and generating 84 assay guidelines. </w:t>
      </w:r>
    </w:p>
    <w:p w14:paraId="0C3C1450" w14:textId="64792F8C" w:rsidR="009A69F0" w:rsidRPr="00C548EC" w:rsidRDefault="009A69F0" w:rsidP="009A69F0">
      <w:pPr>
        <w:widowControl w:val="0"/>
        <w:autoSpaceDE w:val="0"/>
        <w:autoSpaceDN w:val="0"/>
        <w:adjustRightInd w:val="0"/>
        <w:spacing w:after="240"/>
        <w:rPr>
          <w:rFonts w:cs="Times"/>
        </w:rPr>
      </w:pPr>
      <w:r w:rsidRPr="00C548EC">
        <w:rPr>
          <w:rFonts w:cs="Palatino"/>
          <w:b/>
          <w:bCs/>
        </w:rPr>
        <w:t xml:space="preserve">Conclusions </w:t>
      </w:r>
      <w:r w:rsidRPr="00C548EC">
        <w:rPr>
          <w:rFonts w:cs="Palatino"/>
        </w:rPr>
        <w:t xml:space="preserve">– Evidence-based guidelines for the performance of </w:t>
      </w:r>
      <w:proofErr w:type="spellStart"/>
      <w:r w:rsidRPr="00C548EC">
        <w:rPr>
          <w:rFonts w:cs="Palatino"/>
        </w:rPr>
        <w:t>thromboelastography</w:t>
      </w:r>
      <w:proofErr w:type="spellEnd"/>
      <w:r w:rsidRPr="00C548EC">
        <w:rPr>
          <w:rFonts w:cs="Palatino"/>
        </w:rPr>
        <w:t xml:space="preserve"> in companion animals were generated through this process. Some of these guidelines are well supported while others will benefit from additional evidence. Many knowledge gaps were identified and future work should be directed to address these gaps and to objectively evaluate the impact of these guidelines on assay comparability within and between centers.</w:t>
      </w:r>
    </w:p>
    <w:p w14:paraId="1729C2D4" w14:textId="5654DC99" w:rsidR="0017584B" w:rsidRPr="00C548EC" w:rsidRDefault="00DA0D0A" w:rsidP="0017584B">
      <w:pPr>
        <w:widowControl w:val="0"/>
        <w:autoSpaceDE w:val="0"/>
        <w:autoSpaceDN w:val="0"/>
        <w:adjustRightInd w:val="0"/>
        <w:spacing w:after="240"/>
        <w:rPr>
          <w:rFonts w:cs="Times"/>
        </w:rPr>
      </w:pPr>
      <w:r w:rsidRPr="00C548EC">
        <w:rPr>
          <w:rFonts w:cs="Times"/>
          <w:b/>
        </w:rPr>
        <w:t>Key Points</w:t>
      </w:r>
      <w:r w:rsidRPr="00C548EC">
        <w:rPr>
          <w:rFonts w:cs="Times"/>
        </w:rPr>
        <w:t>:</w:t>
      </w:r>
    </w:p>
    <w:p w14:paraId="6B07B9F7" w14:textId="77777777" w:rsidR="00D26133" w:rsidRPr="00C548EC" w:rsidRDefault="00DA0D0A" w:rsidP="00DA0D0A">
      <w:pPr>
        <w:widowControl w:val="0"/>
        <w:autoSpaceDE w:val="0"/>
        <w:autoSpaceDN w:val="0"/>
        <w:adjustRightInd w:val="0"/>
        <w:spacing w:after="240"/>
        <w:rPr>
          <w:rFonts w:cs="Times"/>
        </w:rPr>
      </w:pPr>
      <w:r w:rsidRPr="00C548EC">
        <w:rPr>
          <w:rFonts w:cs="Helvetica"/>
          <w:b/>
          <w:bCs/>
        </w:rPr>
        <w:t>Assay Guidelines and Evidence Summaries</w:t>
      </w:r>
    </w:p>
    <w:p w14:paraId="79D33FE0" w14:textId="227633D7" w:rsidR="00DA0D0A" w:rsidRPr="00C548EC" w:rsidRDefault="00DA0D0A" w:rsidP="00DA0D0A">
      <w:pPr>
        <w:widowControl w:val="0"/>
        <w:autoSpaceDE w:val="0"/>
        <w:autoSpaceDN w:val="0"/>
        <w:adjustRightInd w:val="0"/>
        <w:spacing w:after="240"/>
        <w:rPr>
          <w:rFonts w:cs="Times"/>
          <w:u w:val="single"/>
        </w:rPr>
      </w:pPr>
      <w:r w:rsidRPr="00C548EC">
        <w:rPr>
          <w:rFonts w:cs="Palatino"/>
          <w:b/>
          <w:bCs/>
          <w:u w:val="single"/>
        </w:rPr>
        <w:t>System comparability</w:t>
      </w:r>
    </w:p>
    <w:p w14:paraId="38466BA9" w14:textId="77777777" w:rsidR="00DA0D0A" w:rsidRPr="00C548EC" w:rsidRDefault="00DA0D0A" w:rsidP="00DA0D0A">
      <w:pPr>
        <w:widowControl w:val="0"/>
        <w:autoSpaceDE w:val="0"/>
        <w:autoSpaceDN w:val="0"/>
        <w:adjustRightInd w:val="0"/>
        <w:spacing w:after="240"/>
        <w:rPr>
          <w:rFonts w:cs="Times"/>
        </w:rPr>
      </w:pPr>
      <w:r w:rsidRPr="00C548EC">
        <w:rPr>
          <w:rFonts w:cs="Palatino"/>
          <w:i/>
          <w:iCs/>
        </w:rPr>
        <w:t>PICO questions</w:t>
      </w:r>
    </w:p>
    <w:p w14:paraId="009D12D5" w14:textId="77777777" w:rsidR="00DA0D0A" w:rsidRPr="00C548EC" w:rsidRDefault="00DA0D0A" w:rsidP="00DA0D0A">
      <w:pPr>
        <w:widowControl w:val="0"/>
        <w:autoSpaceDE w:val="0"/>
        <w:autoSpaceDN w:val="0"/>
        <w:adjustRightInd w:val="0"/>
        <w:spacing w:after="240"/>
        <w:rPr>
          <w:rFonts w:cs="Times"/>
        </w:rPr>
      </w:pPr>
      <w:r w:rsidRPr="00C548EC">
        <w:rPr>
          <w:rFonts w:cs="Palatino"/>
        </w:rPr>
        <w:t>In companion animals with hemostatic abnormalities (P), does the use of a TEG (I) compared with the use of a ROTEM (C) alter testing results (O)?</w:t>
      </w:r>
    </w:p>
    <w:p w14:paraId="24E82017" w14:textId="77777777" w:rsidR="00DA0D0A" w:rsidRPr="00C548EC" w:rsidRDefault="00DA0D0A" w:rsidP="00DA0D0A">
      <w:pPr>
        <w:widowControl w:val="0"/>
        <w:autoSpaceDE w:val="0"/>
        <w:autoSpaceDN w:val="0"/>
        <w:adjustRightInd w:val="0"/>
        <w:spacing w:after="240"/>
        <w:rPr>
          <w:rFonts w:cs="Times"/>
        </w:rPr>
      </w:pPr>
      <w:r w:rsidRPr="00C548EC">
        <w:rPr>
          <w:rFonts w:cs="Palatino"/>
          <w:i/>
          <w:iCs/>
        </w:rPr>
        <w:t>Guideline recommendation</w:t>
      </w:r>
      <w:r w:rsidRPr="00C548EC">
        <w:rPr>
          <w:rFonts w:cs="Palatino"/>
        </w:rPr>
        <w:t>s</w:t>
      </w:r>
    </w:p>
    <w:p w14:paraId="7823DA5C" w14:textId="0E5790F9" w:rsidR="00DA0D0A" w:rsidRPr="00C548EC" w:rsidRDefault="00DA0D0A" w:rsidP="00F952E4">
      <w:pPr>
        <w:pStyle w:val="ListParagraph"/>
        <w:widowControl w:val="0"/>
        <w:numPr>
          <w:ilvl w:val="0"/>
          <w:numId w:val="6"/>
        </w:numPr>
        <w:autoSpaceDE w:val="0"/>
        <w:autoSpaceDN w:val="0"/>
        <w:adjustRightInd w:val="0"/>
        <w:spacing w:after="240"/>
        <w:rPr>
          <w:rFonts w:cs="Times"/>
        </w:rPr>
      </w:pPr>
      <w:r w:rsidRPr="00C548EC">
        <w:rPr>
          <w:rFonts w:cs="Palatino"/>
        </w:rPr>
        <w:t>We recommend that platform-specific guidelines be used for specific TEG/ROTEM assays.</w:t>
      </w:r>
    </w:p>
    <w:p w14:paraId="127CF61F" w14:textId="77777777" w:rsidR="00DA0D0A" w:rsidRPr="00C548EC" w:rsidRDefault="00DA0D0A" w:rsidP="00F952E4">
      <w:pPr>
        <w:pStyle w:val="ListParagraph"/>
        <w:widowControl w:val="0"/>
        <w:numPr>
          <w:ilvl w:val="0"/>
          <w:numId w:val="6"/>
        </w:numPr>
        <w:autoSpaceDE w:val="0"/>
        <w:autoSpaceDN w:val="0"/>
        <w:adjustRightInd w:val="0"/>
        <w:spacing w:after="240"/>
        <w:rPr>
          <w:rFonts w:cs="Times"/>
        </w:rPr>
      </w:pPr>
      <w:r w:rsidRPr="00C548EC">
        <w:rPr>
          <w:rFonts w:cs="Palatino"/>
        </w:rPr>
        <w:t>We recommend that guidelines aimed at reducing pre- analytical variation be standardized across both plat- forms.</w:t>
      </w:r>
    </w:p>
    <w:p w14:paraId="0CAB6607" w14:textId="77777777" w:rsidR="001354BF" w:rsidRPr="00C548EC" w:rsidRDefault="001354BF" w:rsidP="001354BF">
      <w:pPr>
        <w:widowControl w:val="0"/>
        <w:autoSpaceDE w:val="0"/>
        <w:autoSpaceDN w:val="0"/>
        <w:adjustRightInd w:val="0"/>
        <w:spacing w:after="240"/>
        <w:rPr>
          <w:rFonts w:cs="Palatino"/>
          <w:i/>
          <w:iCs/>
        </w:rPr>
      </w:pPr>
    </w:p>
    <w:p w14:paraId="0F1E791B" w14:textId="77777777" w:rsidR="001354BF" w:rsidRPr="00C548EC" w:rsidRDefault="001354BF" w:rsidP="001354BF">
      <w:pPr>
        <w:widowControl w:val="0"/>
        <w:autoSpaceDE w:val="0"/>
        <w:autoSpaceDN w:val="0"/>
        <w:adjustRightInd w:val="0"/>
        <w:spacing w:after="240"/>
        <w:rPr>
          <w:rFonts w:cs="Times"/>
        </w:rPr>
      </w:pPr>
      <w:r w:rsidRPr="00C548EC">
        <w:rPr>
          <w:rFonts w:cs="Palatino"/>
          <w:i/>
          <w:iCs/>
        </w:rPr>
        <w:t>PICO question</w:t>
      </w:r>
    </w:p>
    <w:p w14:paraId="1F18CA51" w14:textId="77777777" w:rsidR="001354BF" w:rsidRPr="00C548EC" w:rsidRDefault="001354BF" w:rsidP="001354BF">
      <w:pPr>
        <w:widowControl w:val="0"/>
        <w:autoSpaceDE w:val="0"/>
        <w:autoSpaceDN w:val="0"/>
        <w:adjustRightInd w:val="0"/>
        <w:spacing w:after="240"/>
        <w:rPr>
          <w:rFonts w:cs="Times"/>
        </w:rPr>
      </w:pPr>
      <w:r w:rsidRPr="00C548EC">
        <w:rPr>
          <w:rFonts w:cs="Palatino"/>
        </w:rPr>
        <w:t>In companion animals with hemostatic abnormalities (P), is use of a TEG (I) compared with the use of a ROTEM (C) equivalent in cost terms (O)?</w:t>
      </w:r>
    </w:p>
    <w:p w14:paraId="1516402C" w14:textId="77777777" w:rsidR="001354BF" w:rsidRPr="00C548EC" w:rsidRDefault="001354BF" w:rsidP="001354BF">
      <w:pPr>
        <w:widowControl w:val="0"/>
        <w:autoSpaceDE w:val="0"/>
        <w:autoSpaceDN w:val="0"/>
        <w:adjustRightInd w:val="0"/>
        <w:spacing w:after="240"/>
        <w:rPr>
          <w:rFonts w:cs="Times"/>
        </w:rPr>
      </w:pPr>
      <w:r w:rsidRPr="00C548EC">
        <w:rPr>
          <w:rFonts w:cs="Palatino"/>
          <w:i/>
          <w:iCs/>
        </w:rPr>
        <w:t>Guideline recommendations</w:t>
      </w:r>
    </w:p>
    <w:p w14:paraId="11A89B0C" w14:textId="10AE6027" w:rsidR="001354BF" w:rsidRPr="00C548EC" w:rsidRDefault="001354BF" w:rsidP="001354BF">
      <w:pPr>
        <w:pStyle w:val="ListParagraph"/>
        <w:widowControl w:val="0"/>
        <w:numPr>
          <w:ilvl w:val="0"/>
          <w:numId w:val="7"/>
        </w:numPr>
        <w:autoSpaceDE w:val="0"/>
        <w:autoSpaceDN w:val="0"/>
        <w:adjustRightInd w:val="0"/>
        <w:spacing w:after="240"/>
        <w:rPr>
          <w:rFonts w:cs="Times"/>
        </w:rPr>
      </w:pPr>
      <w:r w:rsidRPr="00C548EC">
        <w:rPr>
          <w:rFonts w:cs="Palatino"/>
        </w:rPr>
        <w:t>We suggest local comparisons of start-up and consumable costs should be performed.</w:t>
      </w:r>
    </w:p>
    <w:p w14:paraId="0C50E4A5" w14:textId="77777777" w:rsidR="001354BF" w:rsidRPr="00C548EC" w:rsidRDefault="001354BF" w:rsidP="001354BF">
      <w:pPr>
        <w:pStyle w:val="ListParagraph"/>
        <w:widowControl w:val="0"/>
        <w:numPr>
          <w:ilvl w:val="0"/>
          <w:numId w:val="7"/>
        </w:numPr>
        <w:autoSpaceDE w:val="0"/>
        <w:autoSpaceDN w:val="0"/>
        <w:adjustRightInd w:val="0"/>
        <w:spacing w:after="240"/>
        <w:rPr>
          <w:rFonts w:cs="Times"/>
        </w:rPr>
      </w:pPr>
      <w:r w:rsidRPr="00C548EC">
        <w:rPr>
          <w:rFonts w:cs="Palatino"/>
        </w:rPr>
        <w:t>We suggest decisions be made based on the expected use of the machine including if multiple operators will be required to operate it.</w:t>
      </w:r>
    </w:p>
    <w:p w14:paraId="0C2043B6" w14:textId="77777777" w:rsidR="001354BF" w:rsidRPr="00C548EC" w:rsidRDefault="001354BF" w:rsidP="001354BF">
      <w:pPr>
        <w:widowControl w:val="0"/>
        <w:autoSpaceDE w:val="0"/>
        <w:autoSpaceDN w:val="0"/>
        <w:adjustRightInd w:val="0"/>
        <w:spacing w:after="240"/>
        <w:rPr>
          <w:rFonts w:cs="Palatino"/>
          <w:b/>
          <w:bCs/>
        </w:rPr>
      </w:pPr>
    </w:p>
    <w:p w14:paraId="3E977ABB" w14:textId="77777777" w:rsidR="001354BF" w:rsidRPr="00C548EC" w:rsidRDefault="001354BF" w:rsidP="001354BF">
      <w:pPr>
        <w:widowControl w:val="0"/>
        <w:autoSpaceDE w:val="0"/>
        <w:autoSpaceDN w:val="0"/>
        <w:adjustRightInd w:val="0"/>
        <w:spacing w:after="240"/>
        <w:rPr>
          <w:rFonts w:cs="Times"/>
          <w:u w:val="single"/>
        </w:rPr>
      </w:pPr>
      <w:r w:rsidRPr="00C548EC">
        <w:rPr>
          <w:rFonts w:cs="Palatino"/>
          <w:b/>
          <w:bCs/>
          <w:u w:val="single"/>
        </w:rPr>
        <w:t>Sample collection and handling</w:t>
      </w:r>
    </w:p>
    <w:p w14:paraId="544C2EC6" w14:textId="77777777" w:rsidR="001354BF" w:rsidRPr="00C548EC" w:rsidRDefault="001354BF" w:rsidP="001354BF">
      <w:pPr>
        <w:widowControl w:val="0"/>
        <w:autoSpaceDE w:val="0"/>
        <w:autoSpaceDN w:val="0"/>
        <w:adjustRightInd w:val="0"/>
        <w:spacing w:after="240"/>
        <w:rPr>
          <w:rFonts w:cs="Times"/>
        </w:rPr>
      </w:pPr>
      <w:r w:rsidRPr="00C548EC">
        <w:rPr>
          <w:rFonts w:cs="Palatino"/>
          <w:i/>
          <w:iCs/>
        </w:rPr>
        <w:t>PICO question</w:t>
      </w:r>
    </w:p>
    <w:p w14:paraId="09AB4FC7" w14:textId="77777777" w:rsidR="001354BF" w:rsidRPr="00C548EC" w:rsidRDefault="001354BF" w:rsidP="001354BF">
      <w:pPr>
        <w:widowControl w:val="0"/>
        <w:autoSpaceDE w:val="0"/>
        <w:autoSpaceDN w:val="0"/>
        <w:adjustRightInd w:val="0"/>
        <w:spacing w:after="240"/>
        <w:rPr>
          <w:rFonts w:cs="Palatino"/>
        </w:rPr>
      </w:pPr>
      <w:r w:rsidRPr="00C548EC">
        <w:rPr>
          <w:rFonts w:cs="Palatino"/>
        </w:rPr>
        <w:t>In companion animals with hemostatic abnormalities (P), does the use of one blood vessel for sample collection (I) compared with another (C) alter testing results (O)?</w:t>
      </w:r>
    </w:p>
    <w:p w14:paraId="0133CE5B" w14:textId="40C60399" w:rsidR="00202119" w:rsidRPr="00C548EC" w:rsidRDefault="00202119" w:rsidP="001354BF">
      <w:pPr>
        <w:widowControl w:val="0"/>
        <w:autoSpaceDE w:val="0"/>
        <w:autoSpaceDN w:val="0"/>
        <w:adjustRightInd w:val="0"/>
        <w:spacing w:after="240"/>
        <w:rPr>
          <w:rFonts w:cs="Times"/>
        </w:rPr>
      </w:pPr>
      <w:r w:rsidRPr="00C548EC">
        <w:rPr>
          <w:rFonts w:cs="Palatino"/>
          <w:i/>
          <w:iCs/>
        </w:rPr>
        <w:t>Guideline recommendations</w:t>
      </w:r>
    </w:p>
    <w:p w14:paraId="37AC7EE2" w14:textId="36B752FD" w:rsidR="00202119" w:rsidRPr="00C548EC" w:rsidRDefault="00202119" w:rsidP="00223DC2">
      <w:pPr>
        <w:pStyle w:val="ListParagraph"/>
        <w:widowControl w:val="0"/>
        <w:numPr>
          <w:ilvl w:val="0"/>
          <w:numId w:val="8"/>
        </w:numPr>
        <w:autoSpaceDE w:val="0"/>
        <w:autoSpaceDN w:val="0"/>
        <w:adjustRightInd w:val="0"/>
        <w:spacing w:after="240"/>
        <w:rPr>
          <w:rFonts w:cs="Times"/>
        </w:rPr>
      </w:pPr>
      <w:r w:rsidRPr="00C548EC">
        <w:rPr>
          <w:rFonts w:cs="Palatino"/>
        </w:rPr>
        <w:t>We recommend that jugular venipuncture be used for</w:t>
      </w:r>
      <w:r w:rsidRPr="00C548EC">
        <w:rPr>
          <w:rFonts w:cs="Times"/>
          <w:position w:val="-22"/>
        </w:rPr>
        <w:t xml:space="preserve"> </w:t>
      </w:r>
      <w:r w:rsidRPr="00C548EC">
        <w:rPr>
          <w:rFonts w:cs="Palatino"/>
        </w:rPr>
        <w:t>TEG/ROTEM assays in horses.</w:t>
      </w:r>
    </w:p>
    <w:p w14:paraId="6F8C6E5A" w14:textId="77777777" w:rsidR="00202119" w:rsidRPr="00C548EC" w:rsidRDefault="00202119" w:rsidP="00223DC2">
      <w:pPr>
        <w:pStyle w:val="ListParagraph"/>
        <w:widowControl w:val="0"/>
        <w:numPr>
          <w:ilvl w:val="0"/>
          <w:numId w:val="8"/>
        </w:numPr>
        <w:autoSpaceDE w:val="0"/>
        <w:autoSpaceDN w:val="0"/>
        <w:adjustRightInd w:val="0"/>
        <w:spacing w:after="240"/>
        <w:rPr>
          <w:rFonts w:cs="Times"/>
        </w:rPr>
      </w:pPr>
      <w:r w:rsidRPr="00C548EC">
        <w:rPr>
          <w:rFonts w:cs="Palatino"/>
        </w:rPr>
        <w:t>We suggest that jugular venipuncture be used for TEG/ROTEM assays in small animals.</w:t>
      </w:r>
    </w:p>
    <w:p w14:paraId="3A462F97" w14:textId="6CFCAB94" w:rsidR="004C2193" w:rsidRPr="00C548EC" w:rsidRDefault="004C2193" w:rsidP="00223DC2">
      <w:pPr>
        <w:pStyle w:val="ListParagraph"/>
        <w:widowControl w:val="0"/>
        <w:numPr>
          <w:ilvl w:val="0"/>
          <w:numId w:val="8"/>
        </w:numPr>
        <w:autoSpaceDE w:val="0"/>
        <w:autoSpaceDN w:val="0"/>
        <w:adjustRightInd w:val="0"/>
        <w:spacing w:after="240"/>
        <w:rPr>
          <w:rFonts w:cs="Times"/>
        </w:rPr>
      </w:pPr>
      <w:r w:rsidRPr="00C548EC">
        <w:rPr>
          <w:rFonts w:cs="Palatino"/>
        </w:rPr>
        <w:t>We suggest using a consistent venipuncture site if results of serial samples from a patient are to be compared.</w:t>
      </w:r>
    </w:p>
    <w:p w14:paraId="336714BC" w14:textId="77777777" w:rsidR="00223DC2" w:rsidRPr="00C548EC" w:rsidRDefault="00223DC2" w:rsidP="00223DC2">
      <w:pPr>
        <w:widowControl w:val="0"/>
        <w:autoSpaceDE w:val="0"/>
        <w:autoSpaceDN w:val="0"/>
        <w:adjustRightInd w:val="0"/>
        <w:spacing w:after="240"/>
        <w:rPr>
          <w:rFonts w:cs="Times"/>
        </w:rPr>
      </w:pPr>
    </w:p>
    <w:p w14:paraId="41B92D8E" w14:textId="77777777" w:rsidR="00223DC2" w:rsidRPr="00C548EC" w:rsidRDefault="00223DC2" w:rsidP="00223DC2">
      <w:pPr>
        <w:widowControl w:val="0"/>
        <w:autoSpaceDE w:val="0"/>
        <w:autoSpaceDN w:val="0"/>
        <w:adjustRightInd w:val="0"/>
        <w:spacing w:after="240"/>
        <w:rPr>
          <w:rFonts w:cs="Times"/>
        </w:rPr>
      </w:pPr>
      <w:r w:rsidRPr="00C548EC">
        <w:rPr>
          <w:rFonts w:cs="Palatino"/>
          <w:i/>
          <w:iCs/>
        </w:rPr>
        <w:t>PICO question</w:t>
      </w:r>
    </w:p>
    <w:p w14:paraId="0AFC3E0D" w14:textId="6A70FFFE" w:rsidR="00223DC2" w:rsidRPr="00C548EC" w:rsidRDefault="00223DC2" w:rsidP="00223DC2">
      <w:pPr>
        <w:widowControl w:val="0"/>
        <w:autoSpaceDE w:val="0"/>
        <w:autoSpaceDN w:val="0"/>
        <w:adjustRightInd w:val="0"/>
        <w:spacing w:after="240"/>
        <w:rPr>
          <w:rFonts w:cs="Times"/>
        </w:rPr>
      </w:pPr>
      <w:r w:rsidRPr="00C548EC">
        <w:rPr>
          <w:rFonts w:cs="Palatino"/>
        </w:rPr>
        <w:t>In companion animals with hemostatic abnormalities (P), does the use of one blood collection system (I) compared with another (C) alter testing results (O)?</w:t>
      </w:r>
    </w:p>
    <w:p w14:paraId="09E52E26" w14:textId="77777777" w:rsidR="00223DC2" w:rsidRPr="00C548EC" w:rsidRDefault="00223DC2" w:rsidP="00223DC2">
      <w:pPr>
        <w:widowControl w:val="0"/>
        <w:autoSpaceDE w:val="0"/>
        <w:autoSpaceDN w:val="0"/>
        <w:adjustRightInd w:val="0"/>
        <w:spacing w:after="240"/>
        <w:rPr>
          <w:rFonts w:cs="Times"/>
        </w:rPr>
      </w:pPr>
      <w:r w:rsidRPr="00C548EC">
        <w:rPr>
          <w:rFonts w:cs="Palatino"/>
          <w:i/>
          <w:iCs/>
        </w:rPr>
        <w:t>Guideline recommendations</w:t>
      </w:r>
    </w:p>
    <w:p w14:paraId="3834A506" w14:textId="43F56F1E" w:rsidR="00223DC2" w:rsidRPr="00C548EC" w:rsidRDefault="00223DC2" w:rsidP="00482F07">
      <w:pPr>
        <w:pStyle w:val="ListParagraph"/>
        <w:widowControl w:val="0"/>
        <w:numPr>
          <w:ilvl w:val="0"/>
          <w:numId w:val="9"/>
        </w:numPr>
        <w:autoSpaceDE w:val="0"/>
        <w:autoSpaceDN w:val="0"/>
        <w:adjustRightInd w:val="0"/>
        <w:spacing w:after="240"/>
        <w:rPr>
          <w:rFonts w:cs="Palatino"/>
        </w:rPr>
      </w:pPr>
      <w:r w:rsidRPr="00C548EC">
        <w:rPr>
          <w:rFonts w:cs="Palatino"/>
        </w:rPr>
        <w:t>There is insufficient evidence to recommend universal use of a specific blood collection system for</w:t>
      </w:r>
      <w:r w:rsidR="00482F07" w:rsidRPr="00C548EC">
        <w:rPr>
          <w:rFonts w:cs="Palatino"/>
        </w:rPr>
        <w:t xml:space="preserve"> </w:t>
      </w:r>
      <w:r w:rsidRPr="00C548EC">
        <w:rPr>
          <w:rFonts w:cs="Palatino"/>
        </w:rPr>
        <w:t>TEG/ROTEM assays. </w:t>
      </w:r>
    </w:p>
    <w:p w14:paraId="102B6F0D" w14:textId="77777777" w:rsidR="00223DC2" w:rsidRPr="00C548EC" w:rsidRDefault="00223DC2" w:rsidP="00482F07">
      <w:pPr>
        <w:pStyle w:val="ListParagraph"/>
        <w:widowControl w:val="0"/>
        <w:numPr>
          <w:ilvl w:val="0"/>
          <w:numId w:val="9"/>
        </w:numPr>
        <w:autoSpaceDE w:val="0"/>
        <w:autoSpaceDN w:val="0"/>
        <w:adjustRightInd w:val="0"/>
        <w:spacing w:after="240"/>
        <w:rPr>
          <w:rFonts w:cs="Palatino"/>
        </w:rPr>
      </w:pPr>
      <w:r w:rsidRPr="00C548EC">
        <w:rPr>
          <w:rFonts w:cs="Palatino"/>
        </w:rPr>
        <w:t>We recommend that TEG/ROTEM results should be interpreted against reference intervals generated using the specific methods used to collect patient samples. </w:t>
      </w:r>
    </w:p>
    <w:p w14:paraId="48E6EC5C" w14:textId="77777777" w:rsidR="00223DC2" w:rsidRPr="00C548EC" w:rsidRDefault="00223DC2" w:rsidP="00482F07">
      <w:pPr>
        <w:pStyle w:val="ListParagraph"/>
        <w:widowControl w:val="0"/>
        <w:numPr>
          <w:ilvl w:val="0"/>
          <w:numId w:val="9"/>
        </w:numPr>
        <w:autoSpaceDE w:val="0"/>
        <w:autoSpaceDN w:val="0"/>
        <w:adjustRightInd w:val="0"/>
        <w:spacing w:after="240"/>
        <w:rPr>
          <w:rFonts w:cs="Palatino"/>
        </w:rPr>
      </w:pPr>
      <w:r w:rsidRPr="00C548EC">
        <w:rPr>
          <w:rFonts w:cs="Palatino"/>
        </w:rPr>
        <w:t>We recommend that individual centers standardize TEG/ROTEM blood collection methods for their patient population. </w:t>
      </w:r>
    </w:p>
    <w:p w14:paraId="7CD22AD4" w14:textId="77777777" w:rsidR="00223DC2" w:rsidRPr="00C548EC" w:rsidRDefault="00223DC2" w:rsidP="00482F07">
      <w:pPr>
        <w:pStyle w:val="ListParagraph"/>
        <w:widowControl w:val="0"/>
        <w:numPr>
          <w:ilvl w:val="0"/>
          <w:numId w:val="9"/>
        </w:numPr>
        <w:autoSpaceDE w:val="0"/>
        <w:autoSpaceDN w:val="0"/>
        <w:adjustRightInd w:val="0"/>
        <w:spacing w:after="240"/>
        <w:rPr>
          <w:rFonts w:cs="Palatino"/>
        </w:rPr>
      </w:pPr>
      <w:r w:rsidRPr="00C548EC">
        <w:rPr>
          <w:rFonts w:cs="Palatino"/>
        </w:rPr>
        <w:t>We suggest using an evacuated tube to minimize delay in anticoagulation and for ease of standardizing the</w:t>
      </w:r>
      <w:r w:rsidRPr="00C548EC">
        <w:rPr>
          <w:rFonts w:cs="Times"/>
        </w:rPr>
        <w:t xml:space="preserve"> </w:t>
      </w:r>
      <w:r w:rsidRPr="00C548EC">
        <w:rPr>
          <w:rFonts w:cs="Palatino"/>
        </w:rPr>
        <w:t>anticoagulant to blood ratio. </w:t>
      </w:r>
    </w:p>
    <w:p w14:paraId="2B0DDF88" w14:textId="25C1F799" w:rsidR="00223DC2" w:rsidRPr="00C548EC" w:rsidRDefault="00223DC2" w:rsidP="00482F07">
      <w:pPr>
        <w:pStyle w:val="ListParagraph"/>
        <w:widowControl w:val="0"/>
        <w:numPr>
          <w:ilvl w:val="0"/>
          <w:numId w:val="9"/>
        </w:numPr>
        <w:autoSpaceDE w:val="0"/>
        <w:autoSpaceDN w:val="0"/>
        <w:adjustRightInd w:val="0"/>
        <w:spacing w:after="240"/>
        <w:rPr>
          <w:rFonts w:cs="Times"/>
        </w:rPr>
      </w:pPr>
      <w:r w:rsidRPr="00C548EC">
        <w:rPr>
          <w:rFonts w:cs="Palatino"/>
        </w:rPr>
        <w:t>We suggest using 21-Ga or larger needles to obtain samples for TEG/ROTEM testing.</w:t>
      </w:r>
    </w:p>
    <w:p w14:paraId="0FF3E09D" w14:textId="77777777" w:rsidR="00842696" w:rsidRPr="00C548EC" w:rsidRDefault="00842696" w:rsidP="00482F07">
      <w:pPr>
        <w:pStyle w:val="ListParagraph"/>
        <w:widowControl w:val="0"/>
        <w:numPr>
          <w:ilvl w:val="0"/>
          <w:numId w:val="9"/>
        </w:numPr>
        <w:autoSpaceDE w:val="0"/>
        <w:autoSpaceDN w:val="0"/>
        <w:adjustRightInd w:val="0"/>
        <w:spacing w:after="240"/>
        <w:rPr>
          <w:rFonts w:cs="Times"/>
        </w:rPr>
      </w:pPr>
      <w:r w:rsidRPr="00C548EC">
        <w:rPr>
          <w:rFonts w:cs="Palatino"/>
        </w:rPr>
        <w:t>We suggest that samples drawn from intravenous catheters can be used for clinical whole-blood TEG/ROTEM assays.</w:t>
      </w:r>
    </w:p>
    <w:p w14:paraId="59ACA22D" w14:textId="77777777" w:rsidR="00482F07" w:rsidRPr="00C548EC" w:rsidRDefault="00482F07" w:rsidP="0017584B">
      <w:pPr>
        <w:widowControl w:val="0"/>
        <w:autoSpaceDE w:val="0"/>
        <w:autoSpaceDN w:val="0"/>
        <w:adjustRightInd w:val="0"/>
        <w:spacing w:after="240"/>
        <w:rPr>
          <w:rFonts w:cs="Palatino"/>
          <w:i/>
          <w:iCs/>
        </w:rPr>
      </w:pPr>
    </w:p>
    <w:p w14:paraId="64601D67" w14:textId="7BADE810" w:rsidR="00DA0D0A" w:rsidRPr="00C548EC" w:rsidRDefault="00482F07" w:rsidP="0017584B">
      <w:pPr>
        <w:widowControl w:val="0"/>
        <w:autoSpaceDE w:val="0"/>
        <w:autoSpaceDN w:val="0"/>
        <w:adjustRightInd w:val="0"/>
        <w:spacing w:after="240"/>
        <w:rPr>
          <w:rFonts w:cs="Times"/>
        </w:rPr>
      </w:pPr>
      <w:r w:rsidRPr="00C548EC">
        <w:rPr>
          <w:rFonts w:cs="Palatino"/>
          <w:i/>
          <w:iCs/>
        </w:rPr>
        <w:t>PICO question</w:t>
      </w:r>
    </w:p>
    <w:p w14:paraId="04D4441E" w14:textId="77777777" w:rsidR="00482F07" w:rsidRPr="00C548EC" w:rsidRDefault="00482F07" w:rsidP="00482F07">
      <w:pPr>
        <w:widowControl w:val="0"/>
        <w:autoSpaceDE w:val="0"/>
        <w:autoSpaceDN w:val="0"/>
        <w:adjustRightInd w:val="0"/>
        <w:spacing w:after="240"/>
        <w:rPr>
          <w:rFonts w:cs="Times"/>
        </w:rPr>
      </w:pPr>
      <w:r w:rsidRPr="00C548EC">
        <w:rPr>
          <w:rFonts w:cs="Palatino"/>
        </w:rPr>
        <w:t>In companion animals with hemostatic abnormalities (P), does the use of one citrate concentration (I) com- pared with another (C) alter testing results (O)?</w:t>
      </w:r>
    </w:p>
    <w:p w14:paraId="5E45F0F0" w14:textId="77777777" w:rsidR="00482F07" w:rsidRPr="00C548EC" w:rsidRDefault="00482F07" w:rsidP="00482F07">
      <w:pPr>
        <w:widowControl w:val="0"/>
        <w:autoSpaceDE w:val="0"/>
        <w:autoSpaceDN w:val="0"/>
        <w:adjustRightInd w:val="0"/>
        <w:spacing w:after="240"/>
        <w:rPr>
          <w:rFonts w:cs="Times"/>
        </w:rPr>
      </w:pPr>
      <w:r w:rsidRPr="00C548EC">
        <w:rPr>
          <w:rFonts w:cs="Palatino"/>
          <w:i/>
          <w:iCs/>
        </w:rPr>
        <w:t>Guideline recommendations</w:t>
      </w:r>
    </w:p>
    <w:p w14:paraId="729F6B64" w14:textId="11A69A93" w:rsidR="00F511B3" w:rsidRPr="00C548EC" w:rsidRDefault="00F511B3" w:rsidP="00E146C2">
      <w:pPr>
        <w:pStyle w:val="ListParagraph"/>
        <w:widowControl w:val="0"/>
        <w:numPr>
          <w:ilvl w:val="0"/>
          <w:numId w:val="10"/>
        </w:numPr>
        <w:autoSpaceDE w:val="0"/>
        <w:autoSpaceDN w:val="0"/>
        <w:adjustRightInd w:val="0"/>
        <w:spacing w:after="240"/>
        <w:rPr>
          <w:rFonts w:cs="Times"/>
        </w:rPr>
      </w:pPr>
      <w:r w:rsidRPr="00C548EC">
        <w:rPr>
          <w:rFonts w:cs="Palatino"/>
        </w:rPr>
        <w:t>There is insufficient evidence to recommend a universal citrate concentration for TEG/ROTEM assays.</w:t>
      </w:r>
    </w:p>
    <w:p w14:paraId="68E7DD67" w14:textId="77777777" w:rsidR="00F511B3" w:rsidRPr="00C548EC" w:rsidRDefault="00F511B3" w:rsidP="00E146C2">
      <w:pPr>
        <w:pStyle w:val="ListParagraph"/>
        <w:widowControl w:val="0"/>
        <w:numPr>
          <w:ilvl w:val="0"/>
          <w:numId w:val="10"/>
        </w:numPr>
        <w:autoSpaceDE w:val="0"/>
        <w:autoSpaceDN w:val="0"/>
        <w:adjustRightInd w:val="0"/>
        <w:spacing w:after="240"/>
        <w:rPr>
          <w:rFonts w:cs="Palatino"/>
        </w:rPr>
      </w:pPr>
      <w:r w:rsidRPr="00C548EC">
        <w:rPr>
          <w:rFonts w:cs="Palatino"/>
        </w:rPr>
        <w:t xml:space="preserve">We suggest that blood samples for TEG/ROTEM should be </w:t>
      </w:r>
      <w:proofErr w:type="spellStart"/>
      <w:r w:rsidRPr="00C548EC">
        <w:rPr>
          <w:rFonts w:cs="Palatino"/>
        </w:rPr>
        <w:t>anticoagulated</w:t>
      </w:r>
      <w:proofErr w:type="spellEnd"/>
      <w:r w:rsidRPr="00C548EC">
        <w:rPr>
          <w:rFonts w:cs="Palatino"/>
        </w:rPr>
        <w:t xml:space="preserve"> using 3.2% buffered sodium citrate in a strict 1:9 ratio (final concentration 10.8 </w:t>
      </w:r>
      <w:proofErr w:type="spellStart"/>
      <w:r w:rsidRPr="00C548EC">
        <w:rPr>
          <w:rFonts w:cs="Palatino"/>
        </w:rPr>
        <w:t>mM</w:t>
      </w:r>
      <w:proofErr w:type="spellEnd"/>
      <w:r w:rsidRPr="00C548EC">
        <w:rPr>
          <w:rFonts w:cs="Palatino"/>
        </w:rPr>
        <w:t xml:space="preserve"> citrate).</w:t>
      </w:r>
    </w:p>
    <w:p w14:paraId="35E66A71" w14:textId="77777777" w:rsidR="00E146C2" w:rsidRPr="00C548EC" w:rsidRDefault="00E146C2" w:rsidP="00F511B3">
      <w:pPr>
        <w:widowControl w:val="0"/>
        <w:autoSpaceDE w:val="0"/>
        <w:autoSpaceDN w:val="0"/>
        <w:adjustRightInd w:val="0"/>
        <w:spacing w:after="240"/>
        <w:rPr>
          <w:rFonts w:cs="Palatino"/>
        </w:rPr>
      </w:pPr>
    </w:p>
    <w:p w14:paraId="638E3AEE" w14:textId="215D932E" w:rsidR="00E146C2" w:rsidRPr="00C548EC" w:rsidRDefault="00E146C2" w:rsidP="00F511B3">
      <w:pPr>
        <w:widowControl w:val="0"/>
        <w:autoSpaceDE w:val="0"/>
        <w:autoSpaceDN w:val="0"/>
        <w:adjustRightInd w:val="0"/>
        <w:spacing w:after="240"/>
        <w:rPr>
          <w:rFonts w:cs="Times"/>
        </w:rPr>
      </w:pPr>
      <w:r w:rsidRPr="00C548EC">
        <w:rPr>
          <w:rFonts w:cs="Palatino"/>
          <w:i/>
          <w:iCs/>
        </w:rPr>
        <w:t>PICO question</w:t>
      </w:r>
    </w:p>
    <w:p w14:paraId="237273DB" w14:textId="77777777" w:rsidR="00E146C2" w:rsidRPr="00C548EC" w:rsidRDefault="00E146C2" w:rsidP="00E146C2">
      <w:pPr>
        <w:widowControl w:val="0"/>
        <w:autoSpaceDE w:val="0"/>
        <w:autoSpaceDN w:val="0"/>
        <w:adjustRightInd w:val="0"/>
        <w:spacing w:after="240"/>
        <w:rPr>
          <w:rFonts w:cs="Times"/>
        </w:rPr>
      </w:pPr>
      <w:r w:rsidRPr="00C548EC">
        <w:rPr>
          <w:rFonts w:cs="Palatino"/>
        </w:rPr>
        <w:t>In companion animals with hemostatic abnormalities (P), does use of a discard tube (I) compared with no discard tube (C) alter TEG/ROTEM testing results (O)?</w:t>
      </w:r>
    </w:p>
    <w:p w14:paraId="78D360C9" w14:textId="77777777" w:rsidR="00E146C2" w:rsidRPr="00C548EC" w:rsidRDefault="00E146C2" w:rsidP="00E146C2">
      <w:pPr>
        <w:widowControl w:val="0"/>
        <w:autoSpaceDE w:val="0"/>
        <w:autoSpaceDN w:val="0"/>
        <w:adjustRightInd w:val="0"/>
        <w:spacing w:after="240"/>
        <w:rPr>
          <w:rFonts w:cs="Times"/>
        </w:rPr>
      </w:pPr>
      <w:r w:rsidRPr="00C548EC">
        <w:rPr>
          <w:rFonts w:cs="Palatino"/>
          <w:i/>
          <w:iCs/>
        </w:rPr>
        <w:t>Guideline recommendations</w:t>
      </w:r>
    </w:p>
    <w:p w14:paraId="343F5D7B" w14:textId="77777777" w:rsidR="000C4ADE" w:rsidRPr="00C548EC" w:rsidRDefault="00E146C2" w:rsidP="00E146C2">
      <w:pPr>
        <w:widowControl w:val="0"/>
        <w:autoSpaceDE w:val="0"/>
        <w:autoSpaceDN w:val="0"/>
        <w:adjustRightInd w:val="0"/>
        <w:spacing w:after="240"/>
        <w:rPr>
          <w:rFonts w:cs="Palatino"/>
        </w:rPr>
      </w:pPr>
      <w:r w:rsidRPr="00C548EC">
        <w:rPr>
          <w:rFonts w:cs="Palatino"/>
        </w:rPr>
        <w:t>We suggest a discard tube routinely be used for TEG/ROTEM assa</w:t>
      </w:r>
      <w:r w:rsidR="000C4ADE" w:rsidRPr="00C548EC">
        <w:rPr>
          <w:rFonts w:cs="Palatino"/>
        </w:rPr>
        <w:t xml:space="preserve">ys because </w:t>
      </w:r>
      <w:proofErr w:type="spellStart"/>
      <w:r w:rsidR="000C4ADE" w:rsidRPr="00C548EC">
        <w:rPr>
          <w:rFonts w:cs="Palatino"/>
        </w:rPr>
        <w:t>atraumatic</w:t>
      </w:r>
      <w:proofErr w:type="spellEnd"/>
      <w:r w:rsidR="000C4ADE" w:rsidRPr="00C548EC">
        <w:rPr>
          <w:rFonts w:cs="Palatino"/>
        </w:rPr>
        <w:t xml:space="preserve"> venipunc</w:t>
      </w:r>
      <w:r w:rsidRPr="00C548EC">
        <w:rPr>
          <w:rFonts w:cs="Palatino"/>
        </w:rPr>
        <w:t>ture is difficult to achie</w:t>
      </w:r>
      <w:r w:rsidR="000C4ADE" w:rsidRPr="00C548EC">
        <w:rPr>
          <w:rFonts w:cs="Palatino"/>
        </w:rPr>
        <w:t>ve consistently; however a dis</w:t>
      </w:r>
      <w:r w:rsidRPr="00C548EC">
        <w:rPr>
          <w:rFonts w:cs="Palatino"/>
        </w:rPr>
        <w:t>card tube is not required for TEG/ROTEM assays if clean venipuncture is achieved or if a clot tube (fo</w:t>
      </w:r>
      <w:r w:rsidR="000C4ADE" w:rsidRPr="00C548EC">
        <w:rPr>
          <w:rFonts w:cs="Palatino"/>
        </w:rPr>
        <w:t xml:space="preserve">r </w:t>
      </w:r>
      <w:r w:rsidRPr="00C548EC">
        <w:rPr>
          <w:rFonts w:cs="Palatino"/>
        </w:rPr>
        <w:t>serum sample) is obtained first in the same draw.</w:t>
      </w:r>
    </w:p>
    <w:p w14:paraId="66D76C61" w14:textId="77777777" w:rsidR="000C4ADE" w:rsidRPr="00C548EC" w:rsidRDefault="00E146C2" w:rsidP="00E146C2">
      <w:pPr>
        <w:widowControl w:val="0"/>
        <w:autoSpaceDE w:val="0"/>
        <w:autoSpaceDN w:val="0"/>
        <w:adjustRightInd w:val="0"/>
        <w:spacing w:after="240"/>
        <w:rPr>
          <w:rFonts w:cs="Palatino"/>
        </w:rPr>
      </w:pPr>
      <w:r w:rsidRPr="00C548EC">
        <w:rPr>
          <w:rFonts w:cs="Palatino"/>
        </w:rPr>
        <w:t xml:space="preserve"> We recommend that the first tube not be used for TEG/ROTEM assays to </w:t>
      </w:r>
      <w:r w:rsidR="000C4ADE" w:rsidRPr="00C548EC">
        <w:rPr>
          <w:rFonts w:cs="Palatino"/>
        </w:rPr>
        <w:t>minimize the effect of subopti</w:t>
      </w:r>
      <w:r w:rsidRPr="00C548EC">
        <w:rPr>
          <w:rFonts w:cs="Palatino"/>
        </w:rPr>
        <w:t>mal venipuncture when blood is collected for multiple</w:t>
      </w:r>
      <w:r w:rsidR="000C4ADE" w:rsidRPr="00C548EC">
        <w:rPr>
          <w:rFonts w:cs="Times"/>
        </w:rPr>
        <w:t xml:space="preserve"> </w:t>
      </w:r>
      <w:r w:rsidRPr="00C548EC">
        <w:rPr>
          <w:rFonts w:cs="Palatino"/>
        </w:rPr>
        <w:t>assays including TEG/ROTEM. </w:t>
      </w:r>
    </w:p>
    <w:p w14:paraId="6EB567CF" w14:textId="387AA1EB" w:rsidR="00E146C2" w:rsidRPr="00C548EC" w:rsidRDefault="00E146C2" w:rsidP="00E146C2">
      <w:pPr>
        <w:widowControl w:val="0"/>
        <w:autoSpaceDE w:val="0"/>
        <w:autoSpaceDN w:val="0"/>
        <w:adjustRightInd w:val="0"/>
        <w:spacing w:after="240"/>
        <w:rPr>
          <w:rFonts w:cs="Palatino"/>
        </w:rPr>
      </w:pPr>
      <w:r w:rsidRPr="00C548EC">
        <w:rPr>
          <w:rFonts w:cs="Palatino"/>
        </w:rPr>
        <w:t>We suggest the following tube draw or</w:t>
      </w:r>
      <w:r w:rsidR="000C4ADE" w:rsidRPr="00C548EC">
        <w:rPr>
          <w:rFonts w:cs="Palatino"/>
        </w:rPr>
        <w:t>der be used: dis</w:t>
      </w:r>
      <w:r w:rsidRPr="00C548EC">
        <w:rPr>
          <w:rFonts w:cs="Palatino"/>
        </w:rPr>
        <w:t>card/serum, citrate,</w:t>
      </w:r>
      <w:r w:rsidR="000C4ADE" w:rsidRPr="00C548EC">
        <w:rPr>
          <w:rFonts w:cs="Palatino"/>
        </w:rPr>
        <w:t xml:space="preserve"> EDTA, heparin in order to min</w:t>
      </w:r>
      <w:r w:rsidRPr="00C548EC">
        <w:rPr>
          <w:rFonts w:cs="Palatino"/>
        </w:rPr>
        <w:t>imize heparin cont</w:t>
      </w:r>
      <w:r w:rsidR="000C4ADE" w:rsidRPr="00C548EC">
        <w:rPr>
          <w:rFonts w:cs="Palatino"/>
        </w:rPr>
        <w:t>amination of blood samples col</w:t>
      </w:r>
      <w:r w:rsidRPr="00C548EC">
        <w:rPr>
          <w:rFonts w:cs="Palatino"/>
        </w:rPr>
        <w:t>lected for TEG/ROTEM assays.</w:t>
      </w:r>
    </w:p>
    <w:p w14:paraId="09143DE9" w14:textId="77777777" w:rsidR="00557957" w:rsidRPr="00C548EC" w:rsidRDefault="00557957" w:rsidP="00E146C2">
      <w:pPr>
        <w:widowControl w:val="0"/>
        <w:autoSpaceDE w:val="0"/>
        <w:autoSpaceDN w:val="0"/>
        <w:adjustRightInd w:val="0"/>
        <w:spacing w:after="240"/>
        <w:rPr>
          <w:rFonts w:cs="Palatino"/>
          <w:i/>
          <w:iCs/>
        </w:rPr>
      </w:pPr>
    </w:p>
    <w:p w14:paraId="67F3FEC5" w14:textId="0B2E44DB" w:rsidR="00557957" w:rsidRPr="00C548EC" w:rsidRDefault="00557957" w:rsidP="00E146C2">
      <w:pPr>
        <w:widowControl w:val="0"/>
        <w:autoSpaceDE w:val="0"/>
        <w:autoSpaceDN w:val="0"/>
        <w:adjustRightInd w:val="0"/>
        <w:spacing w:after="240"/>
        <w:rPr>
          <w:rFonts w:cs="Times"/>
        </w:rPr>
      </w:pPr>
      <w:r w:rsidRPr="00C548EC">
        <w:rPr>
          <w:rFonts w:cs="Palatino"/>
          <w:i/>
          <w:iCs/>
        </w:rPr>
        <w:t>PICO question</w:t>
      </w:r>
    </w:p>
    <w:p w14:paraId="2C879C90" w14:textId="77777777" w:rsidR="00557957" w:rsidRPr="00C548EC" w:rsidRDefault="00557957" w:rsidP="00557957">
      <w:pPr>
        <w:widowControl w:val="0"/>
        <w:autoSpaceDE w:val="0"/>
        <w:autoSpaceDN w:val="0"/>
        <w:adjustRightInd w:val="0"/>
        <w:spacing w:after="240"/>
        <w:rPr>
          <w:rFonts w:cs="Times"/>
        </w:rPr>
      </w:pPr>
      <w:r w:rsidRPr="00C548EC">
        <w:rPr>
          <w:rFonts w:cs="Palatino"/>
        </w:rPr>
        <w:t>In companion animals with hemostatic abnormalities (P), does prolonged sample storage (I) compared with short storage time (C) alter TEG/ROTEM testing results (O)?</w:t>
      </w:r>
    </w:p>
    <w:p w14:paraId="698E131B" w14:textId="77777777" w:rsidR="00557957" w:rsidRPr="00C548EC" w:rsidRDefault="00557957" w:rsidP="00557957">
      <w:pPr>
        <w:widowControl w:val="0"/>
        <w:autoSpaceDE w:val="0"/>
        <w:autoSpaceDN w:val="0"/>
        <w:adjustRightInd w:val="0"/>
        <w:spacing w:after="240"/>
        <w:rPr>
          <w:rFonts w:cs="Times"/>
        </w:rPr>
      </w:pPr>
      <w:r w:rsidRPr="00C548EC">
        <w:rPr>
          <w:rFonts w:cs="Palatino"/>
          <w:i/>
          <w:iCs/>
        </w:rPr>
        <w:t>Guideline recommendation</w:t>
      </w:r>
    </w:p>
    <w:p w14:paraId="0B15B42B" w14:textId="77777777" w:rsidR="00EC593F" w:rsidRPr="00C548EC" w:rsidRDefault="00EC593F" w:rsidP="006F73E1">
      <w:pPr>
        <w:pStyle w:val="ListParagraph"/>
        <w:widowControl w:val="0"/>
        <w:numPr>
          <w:ilvl w:val="0"/>
          <w:numId w:val="11"/>
        </w:numPr>
        <w:autoSpaceDE w:val="0"/>
        <w:autoSpaceDN w:val="0"/>
        <w:adjustRightInd w:val="0"/>
        <w:spacing w:after="240"/>
        <w:rPr>
          <w:rFonts w:cs="Times"/>
        </w:rPr>
      </w:pPr>
      <w:r w:rsidRPr="00C548EC">
        <w:rPr>
          <w:rFonts w:cs="Palatino"/>
        </w:rPr>
        <w:t>We recommend citrated blood samples for TEG/ROTEM analysis are held for 30 minutes prior to analysis.</w:t>
      </w:r>
    </w:p>
    <w:p w14:paraId="2AB7651F" w14:textId="77777777" w:rsidR="006F73E1" w:rsidRPr="00C548EC" w:rsidRDefault="006F73E1" w:rsidP="006F73E1">
      <w:pPr>
        <w:widowControl w:val="0"/>
        <w:autoSpaceDE w:val="0"/>
        <w:autoSpaceDN w:val="0"/>
        <w:adjustRightInd w:val="0"/>
        <w:spacing w:after="240"/>
        <w:rPr>
          <w:rFonts w:cs="Palatino"/>
          <w:i/>
          <w:iCs/>
        </w:rPr>
      </w:pPr>
    </w:p>
    <w:p w14:paraId="4CE5D25A" w14:textId="77777777" w:rsidR="006F73E1" w:rsidRPr="00C548EC" w:rsidRDefault="006F73E1" w:rsidP="006F73E1">
      <w:pPr>
        <w:widowControl w:val="0"/>
        <w:autoSpaceDE w:val="0"/>
        <w:autoSpaceDN w:val="0"/>
        <w:adjustRightInd w:val="0"/>
        <w:spacing w:after="240"/>
        <w:rPr>
          <w:rFonts w:cs="Times"/>
        </w:rPr>
      </w:pPr>
      <w:r w:rsidRPr="00C548EC">
        <w:rPr>
          <w:rFonts w:cs="Palatino"/>
          <w:i/>
          <w:iCs/>
        </w:rPr>
        <w:t>PICO question</w:t>
      </w:r>
    </w:p>
    <w:p w14:paraId="27C39FA3" w14:textId="77777777" w:rsidR="006F73E1" w:rsidRPr="00C548EC" w:rsidRDefault="006F73E1" w:rsidP="00CA4685">
      <w:pPr>
        <w:widowControl w:val="0"/>
        <w:autoSpaceDE w:val="0"/>
        <w:autoSpaceDN w:val="0"/>
        <w:adjustRightInd w:val="0"/>
        <w:spacing w:after="240"/>
        <w:rPr>
          <w:rFonts w:cs="Times"/>
        </w:rPr>
      </w:pPr>
      <w:r w:rsidRPr="00C548EC">
        <w:rPr>
          <w:rFonts w:cs="Palatino"/>
        </w:rPr>
        <w:t>In companion animals with hemostatic abnormalities (P), does sample storage at 37</w:t>
      </w:r>
      <w:r w:rsidRPr="00C548EC">
        <w:rPr>
          <w:rFonts w:ascii="Times New Roman" w:hAnsi="Times New Roman" w:cs="Times New Roman"/>
          <w:position w:val="8"/>
        </w:rPr>
        <w:t>◦</w:t>
      </w:r>
      <w:r w:rsidRPr="00C548EC">
        <w:rPr>
          <w:rFonts w:cs="Palatino"/>
        </w:rPr>
        <w:t>C (I) compared with sample storage at room temperature (20</w:t>
      </w:r>
      <w:r w:rsidRPr="00C548EC">
        <w:rPr>
          <w:rFonts w:ascii="Times New Roman" w:hAnsi="Times New Roman" w:cs="Times New Roman"/>
          <w:position w:val="8"/>
        </w:rPr>
        <w:t>◦</w:t>
      </w:r>
      <w:r w:rsidRPr="00C548EC">
        <w:rPr>
          <w:rFonts w:cs="Palatino"/>
        </w:rPr>
        <w:t>C, C) alter TEG/ROTEM testing results (O)?</w:t>
      </w:r>
    </w:p>
    <w:p w14:paraId="16CFFAFF" w14:textId="77777777" w:rsidR="006F73E1" w:rsidRPr="00C548EC" w:rsidRDefault="006F73E1" w:rsidP="00CA4685">
      <w:pPr>
        <w:widowControl w:val="0"/>
        <w:autoSpaceDE w:val="0"/>
        <w:autoSpaceDN w:val="0"/>
        <w:adjustRightInd w:val="0"/>
        <w:spacing w:after="240"/>
        <w:rPr>
          <w:rFonts w:cs="Times"/>
        </w:rPr>
      </w:pPr>
      <w:r w:rsidRPr="00C548EC">
        <w:rPr>
          <w:rFonts w:cs="Palatino"/>
          <w:i/>
          <w:iCs/>
        </w:rPr>
        <w:t>Guideline recommendations</w:t>
      </w:r>
    </w:p>
    <w:p w14:paraId="19857159" w14:textId="77777777" w:rsidR="006F73E1" w:rsidRPr="00C548EC" w:rsidRDefault="006F73E1" w:rsidP="00AB02E1">
      <w:pPr>
        <w:pStyle w:val="ListParagraph"/>
        <w:widowControl w:val="0"/>
        <w:numPr>
          <w:ilvl w:val="0"/>
          <w:numId w:val="11"/>
        </w:numPr>
        <w:autoSpaceDE w:val="0"/>
        <w:autoSpaceDN w:val="0"/>
        <w:adjustRightInd w:val="0"/>
        <w:spacing w:after="240"/>
        <w:rPr>
          <w:rFonts w:cs="Palatino"/>
        </w:rPr>
      </w:pPr>
      <w:r w:rsidRPr="00C548EC">
        <w:rPr>
          <w:rFonts w:cs="Palatino"/>
        </w:rPr>
        <w:t xml:space="preserve">We suggest whole blood samples for TEG/ROTEM should be held at room temperature prior to analysis. </w:t>
      </w:r>
    </w:p>
    <w:p w14:paraId="07C1A3D9" w14:textId="5855472D" w:rsidR="006F73E1" w:rsidRPr="00C548EC" w:rsidRDefault="006F73E1" w:rsidP="00AB02E1">
      <w:pPr>
        <w:pStyle w:val="ListParagraph"/>
        <w:widowControl w:val="0"/>
        <w:numPr>
          <w:ilvl w:val="0"/>
          <w:numId w:val="11"/>
        </w:numPr>
        <w:autoSpaceDE w:val="0"/>
        <w:autoSpaceDN w:val="0"/>
        <w:adjustRightInd w:val="0"/>
        <w:spacing w:after="240"/>
        <w:rPr>
          <w:rFonts w:cs="Times"/>
        </w:rPr>
      </w:pPr>
      <w:r w:rsidRPr="00C548EC">
        <w:rPr>
          <w:rFonts w:cs="Palatino"/>
        </w:rPr>
        <w:t>We recommend whole blood samples for TEG/ROTEM should not be refrigerated prior</w:t>
      </w:r>
      <w:r w:rsidRPr="00C548EC">
        <w:rPr>
          <w:rFonts w:cs="Times"/>
        </w:rPr>
        <w:t xml:space="preserve"> </w:t>
      </w:r>
      <w:r w:rsidRPr="00C548EC">
        <w:rPr>
          <w:rFonts w:cs="Palatino"/>
        </w:rPr>
        <w:t>to analysis.</w:t>
      </w:r>
    </w:p>
    <w:p w14:paraId="52915FDC" w14:textId="77777777" w:rsidR="00482F07" w:rsidRPr="00C548EC" w:rsidRDefault="00482F07" w:rsidP="0017584B">
      <w:pPr>
        <w:widowControl w:val="0"/>
        <w:autoSpaceDE w:val="0"/>
        <w:autoSpaceDN w:val="0"/>
        <w:adjustRightInd w:val="0"/>
        <w:spacing w:after="240"/>
        <w:rPr>
          <w:rFonts w:cs="Times"/>
        </w:rPr>
      </w:pPr>
    </w:p>
    <w:p w14:paraId="4DA5E0B4" w14:textId="77777777" w:rsidR="00AB02E1" w:rsidRPr="00C548EC" w:rsidRDefault="00AB02E1" w:rsidP="00AB02E1">
      <w:pPr>
        <w:widowControl w:val="0"/>
        <w:autoSpaceDE w:val="0"/>
        <w:autoSpaceDN w:val="0"/>
        <w:adjustRightInd w:val="0"/>
        <w:spacing w:after="240"/>
        <w:rPr>
          <w:rFonts w:cs="Times"/>
          <w:u w:val="single"/>
        </w:rPr>
      </w:pPr>
      <w:r w:rsidRPr="00C548EC">
        <w:rPr>
          <w:rFonts w:cs="Palatino"/>
          <w:b/>
          <w:bCs/>
          <w:u w:val="single"/>
        </w:rPr>
        <w:t>Assay activation and test protocol</w:t>
      </w:r>
    </w:p>
    <w:p w14:paraId="6FAA28BD" w14:textId="77777777" w:rsidR="00AB02E1" w:rsidRPr="00C548EC" w:rsidRDefault="00AB02E1" w:rsidP="00AB02E1">
      <w:pPr>
        <w:widowControl w:val="0"/>
        <w:autoSpaceDE w:val="0"/>
        <w:autoSpaceDN w:val="0"/>
        <w:adjustRightInd w:val="0"/>
        <w:spacing w:after="240"/>
        <w:rPr>
          <w:rFonts w:cs="Times"/>
        </w:rPr>
      </w:pPr>
      <w:r w:rsidRPr="00C548EC">
        <w:rPr>
          <w:rFonts w:cs="Palatino"/>
          <w:i/>
          <w:iCs/>
        </w:rPr>
        <w:t>PICO question</w:t>
      </w:r>
    </w:p>
    <w:p w14:paraId="6DE9C235" w14:textId="61E72D2B" w:rsidR="00AB02E1" w:rsidRPr="00C548EC" w:rsidRDefault="00AB02E1" w:rsidP="00AB02E1">
      <w:pPr>
        <w:widowControl w:val="0"/>
        <w:autoSpaceDE w:val="0"/>
        <w:autoSpaceDN w:val="0"/>
        <w:adjustRightInd w:val="0"/>
        <w:spacing w:after="240"/>
        <w:rPr>
          <w:rFonts w:cs="Times"/>
        </w:rPr>
      </w:pPr>
      <w:r w:rsidRPr="00C548EC">
        <w:rPr>
          <w:rFonts w:cs="Palatino"/>
        </w:rPr>
        <w:t xml:space="preserve">In companion animals with hemostatic abnormalities (P), does routine use </w:t>
      </w:r>
      <w:r w:rsidR="00B16B60" w:rsidRPr="00C548EC">
        <w:rPr>
          <w:rFonts w:cs="Palatino"/>
        </w:rPr>
        <w:t>of activators for citrated sam</w:t>
      </w:r>
      <w:r w:rsidRPr="00C548EC">
        <w:rPr>
          <w:rFonts w:cs="Palatino"/>
        </w:rPr>
        <w:t xml:space="preserve">ples (I) compared with </w:t>
      </w:r>
      <w:proofErr w:type="spellStart"/>
      <w:r w:rsidRPr="00C548EC">
        <w:rPr>
          <w:rFonts w:cs="Palatino"/>
        </w:rPr>
        <w:t>recalcification</w:t>
      </w:r>
      <w:proofErr w:type="spellEnd"/>
      <w:r w:rsidRPr="00C548EC">
        <w:rPr>
          <w:rFonts w:cs="Palatino"/>
        </w:rPr>
        <w:t xml:space="preserve"> only (C) alter TEG/ROTEM testing results (O)?</w:t>
      </w:r>
    </w:p>
    <w:p w14:paraId="1593E131" w14:textId="77777777" w:rsidR="00B16B60" w:rsidRPr="00C548EC" w:rsidRDefault="00B16B60" w:rsidP="00B16B60">
      <w:pPr>
        <w:widowControl w:val="0"/>
        <w:autoSpaceDE w:val="0"/>
        <w:autoSpaceDN w:val="0"/>
        <w:adjustRightInd w:val="0"/>
        <w:spacing w:after="240"/>
        <w:rPr>
          <w:rFonts w:cs="Times"/>
        </w:rPr>
      </w:pPr>
      <w:r w:rsidRPr="00C548EC">
        <w:rPr>
          <w:rFonts w:cs="Palatino"/>
          <w:i/>
          <w:iCs/>
        </w:rPr>
        <w:t>Guideline recommendation</w:t>
      </w:r>
    </w:p>
    <w:p w14:paraId="6532C26E" w14:textId="6759E78D" w:rsidR="00B16B60" w:rsidRPr="00C548EC" w:rsidRDefault="00B16B60" w:rsidP="00B16B60">
      <w:pPr>
        <w:pStyle w:val="ListParagraph"/>
        <w:widowControl w:val="0"/>
        <w:numPr>
          <w:ilvl w:val="0"/>
          <w:numId w:val="13"/>
        </w:numPr>
        <w:autoSpaceDE w:val="0"/>
        <w:autoSpaceDN w:val="0"/>
        <w:adjustRightInd w:val="0"/>
        <w:spacing w:after="240"/>
        <w:rPr>
          <w:rFonts w:cs="Times"/>
        </w:rPr>
      </w:pPr>
      <w:r w:rsidRPr="00C548EC">
        <w:rPr>
          <w:rFonts w:cs="Palatino"/>
        </w:rPr>
        <w:t>We recommend routine use of activators for TEG/ROTEM assays in companion animals.</w:t>
      </w:r>
    </w:p>
    <w:p w14:paraId="686C68A2" w14:textId="77777777" w:rsidR="00B16B60" w:rsidRPr="00C548EC" w:rsidRDefault="00B16B60" w:rsidP="00B16B60">
      <w:pPr>
        <w:widowControl w:val="0"/>
        <w:autoSpaceDE w:val="0"/>
        <w:autoSpaceDN w:val="0"/>
        <w:adjustRightInd w:val="0"/>
        <w:spacing w:after="240"/>
        <w:rPr>
          <w:rFonts w:cs="Times"/>
        </w:rPr>
      </w:pPr>
      <w:r w:rsidRPr="00C548EC">
        <w:rPr>
          <w:rFonts w:cs="Palatino"/>
          <w:i/>
          <w:iCs/>
        </w:rPr>
        <w:t>PICO questions</w:t>
      </w:r>
    </w:p>
    <w:p w14:paraId="21F70A30" w14:textId="5924EAFA" w:rsidR="00B16B60" w:rsidRPr="00C548EC" w:rsidRDefault="00B16B60" w:rsidP="00B16B60">
      <w:pPr>
        <w:widowControl w:val="0"/>
        <w:numPr>
          <w:ilvl w:val="0"/>
          <w:numId w:val="12"/>
        </w:numPr>
        <w:tabs>
          <w:tab w:val="left" w:pos="220"/>
          <w:tab w:val="left" w:pos="720"/>
        </w:tabs>
        <w:autoSpaceDE w:val="0"/>
        <w:autoSpaceDN w:val="0"/>
        <w:adjustRightInd w:val="0"/>
        <w:spacing w:after="240"/>
        <w:ind w:hanging="720"/>
        <w:rPr>
          <w:rFonts w:cs="Palatino"/>
        </w:rPr>
      </w:pPr>
      <w:r w:rsidRPr="00C548EC">
        <w:rPr>
          <w:rFonts w:cs="Palatino"/>
        </w:rPr>
        <w:t>In companion ani</w:t>
      </w:r>
      <w:r w:rsidR="00B8357A" w:rsidRPr="00C548EC">
        <w:rPr>
          <w:rFonts w:cs="Palatino"/>
        </w:rPr>
        <w:t>mals with hemostatic abnormali</w:t>
      </w:r>
      <w:r w:rsidRPr="00C548EC">
        <w:rPr>
          <w:rFonts w:cs="Palatino"/>
        </w:rPr>
        <w:t xml:space="preserve">ties (P), does use of </w:t>
      </w:r>
      <w:r w:rsidR="00B8357A" w:rsidRPr="00C548EC">
        <w:rPr>
          <w:rFonts w:cs="Palatino"/>
        </w:rPr>
        <w:t>one activator for citrated sam</w:t>
      </w:r>
      <w:r w:rsidRPr="00C548EC">
        <w:rPr>
          <w:rFonts w:cs="Palatino"/>
        </w:rPr>
        <w:t xml:space="preserve">ples (I) compared with another activator (C) alter TEG/ROTEM testing results (O)? </w:t>
      </w:r>
    </w:p>
    <w:p w14:paraId="1D4E862B" w14:textId="4B5B146D" w:rsidR="00B16B60" w:rsidRPr="00C548EC" w:rsidRDefault="00B16B60" w:rsidP="00B16B60">
      <w:pPr>
        <w:widowControl w:val="0"/>
        <w:numPr>
          <w:ilvl w:val="0"/>
          <w:numId w:val="12"/>
        </w:numPr>
        <w:tabs>
          <w:tab w:val="left" w:pos="220"/>
          <w:tab w:val="left" w:pos="720"/>
        </w:tabs>
        <w:autoSpaceDE w:val="0"/>
        <w:autoSpaceDN w:val="0"/>
        <w:adjustRightInd w:val="0"/>
        <w:spacing w:after="240"/>
        <w:ind w:hanging="720"/>
        <w:rPr>
          <w:rFonts w:cs="Palatino"/>
        </w:rPr>
      </w:pPr>
      <w:r w:rsidRPr="00C548EC">
        <w:rPr>
          <w:rFonts w:cs="Palatino"/>
        </w:rPr>
        <w:t xml:space="preserve">In companion animals with hemostatic abnormalities (P), does use of an </w:t>
      </w:r>
      <w:r w:rsidR="00B8357A" w:rsidRPr="00C548EC">
        <w:rPr>
          <w:rFonts w:cs="Palatino"/>
        </w:rPr>
        <w:t>activator at a given concentra</w:t>
      </w:r>
      <w:r w:rsidRPr="00C548EC">
        <w:rPr>
          <w:rFonts w:cs="Palatino"/>
        </w:rPr>
        <w:t xml:space="preserve">tion (I) compared with another concentration (C) alter TEG/ROTEM testing results (O)? </w:t>
      </w:r>
    </w:p>
    <w:p w14:paraId="687DD1F9" w14:textId="77777777" w:rsidR="00B16B60" w:rsidRPr="00C548EC" w:rsidRDefault="00B16B60" w:rsidP="00B16B60">
      <w:pPr>
        <w:widowControl w:val="0"/>
        <w:autoSpaceDE w:val="0"/>
        <w:autoSpaceDN w:val="0"/>
        <w:adjustRightInd w:val="0"/>
        <w:spacing w:after="240"/>
        <w:rPr>
          <w:rFonts w:cs="Times"/>
        </w:rPr>
      </w:pPr>
      <w:r w:rsidRPr="00C548EC">
        <w:rPr>
          <w:rFonts w:cs="Palatino"/>
          <w:i/>
          <w:iCs/>
        </w:rPr>
        <w:t>Guideline recommendations</w:t>
      </w:r>
    </w:p>
    <w:p w14:paraId="3DED19B2" w14:textId="410F7C93" w:rsidR="00B16B60" w:rsidRPr="00C548EC" w:rsidRDefault="00B16B60" w:rsidP="00407AA2">
      <w:pPr>
        <w:pStyle w:val="ListParagraph"/>
        <w:widowControl w:val="0"/>
        <w:numPr>
          <w:ilvl w:val="0"/>
          <w:numId w:val="13"/>
        </w:numPr>
        <w:autoSpaceDE w:val="0"/>
        <w:autoSpaceDN w:val="0"/>
        <w:adjustRightInd w:val="0"/>
        <w:spacing w:after="240"/>
        <w:rPr>
          <w:rFonts w:cs="Times"/>
        </w:rPr>
      </w:pPr>
      <w:r w:rsidRPr="00C548EC">
        <w:rPr>
          <w:rFonts w:cs="Palatino"/>
        </w:rPr>
        <w:t>We recommend standardization of activators for TEG/ROTEM assays in companion animals.</w:t>
      </w:r>
    </w:p>
    <w:p w14:paraId="25B0300D" w14:textId="4A5919FA" w:rsidR="00B16B60" w:rsidRPr="00C548EC" w:rsidRDefault="00B16B60" w:rsidP="00407AA2">
      <w:pPr>
        <w:pStyle w:val="ListParagraph"/>
        <w:widowControl w:val="0"/>
        <w:numPr>
          <w:ilvl w:val="0"/>
          <w:numId w:val="13"/>
        </w:numPr>
        <w:autoSpaceDE w:val="0"/>
        <w:autoSpaceDN w:val="0"/>
        <w:adjustRightInd w:val="0"/>
        <w:spacing w:after="240"/>
        <w:rPr>
          <w:rFonts w:cs="Times"/>
        </w:rPr>
      </w:pPr>
      <w:r w:rsidRPr="00C548EC">
        <w:rPr>
          <w:rFonts w:cs="Palatino"/>
        </w:rPr>
        <w:t>We suggest that 2 or more TEG/ROTEM assays be</w:t>
      </w:r>
      <w:r w:rsidR="00B8357A" w:rsidRPr="00C548EC">
        <w:rPr>
          <w:rFonts w:cs="Times"/>
        </w:rPr>
        <w:t xml:space="preserve"> </w:t>
      </w:r>
      <w:r w:rsidRPr="00C548EC">
        <w:rPr>
          <w:rFonts w:cs="Palatino"/>
        </w:rPr>
        <w:t>used to completely evaluate a patient’s coagulation system.</w:t>
      </w:r>
    </w:p>
    <w:p w14:paraId="16DED38E" w14:textId="13584CE2" w:rsidR="00B16B60" w:rsidRPr="00C548EC" w:rsidRDefault="00B16B60" w:rsidP="00407AA2">
      <w:pPr>
        <w:pStyle w:val="ListParagraph"/>
        <w:widowControl w:val="0"/>
        <w:numPr>
          <w:ilvl w:val="0"/>
          <w:numId w:val="13"/>
        </w:numPr>
        <w:autoSpaceDE w:val="0"/>
        <w:autoSpaceDN w:val="0"/>
        <w:adjustRightInd w:val="0"/>
        <w:spacing w:after="240"/>
        <w:rPr>
          <w:rFonts w:cs="Times"/>
        </w:rPr>
      </w:pPr>
      <w:r w:rsidRPr="00C548EC">
        <w:rPr>
          <w:rFonts w:cs="Palatino"/>
        </w:rPr>
        <w:t>For contact-pathway evaluation in companion animals using TEG, we recommend use of proprietary</w:t>
      </w:r>
      <w:r w:rsidRPr="00C548EC">
        <w:rPr>
          <w:rFonts w:cs="Times"/>
          <w:position w:val="-22"/>
        </w:rPr>
        <w:t xml:space="preserve"> </w:t>
      </w:r>
      <w:r w:rsidRPr="00C548EC">
        <w:rPr>
          <w:rFonts w:cs="Palatino"/>
        </w:rPr>
        <w:t>kaolin tubes.</w:t>
      </w:r>
    </w:p>
    <w:p w14:paraId="7D66B371" w14:textId="779EE879" w:rsidR="00B16B60" w:rsidRPr="00C548EC" w:rsidRDefault="00B16B60" w:rsidP="00407AA2">
      <w:pPr>
        <w:pStyle w:val="ListParagraph"/>
        <w:widowControl w:val="0"/>
        <w:numPr>
          <w:ilvl w:val="0"/>
          <w:numId w:val="13"/>
        </w:numPr>
        <w:autoSpaceDE w:val="0"/>
        <w:autoSpaceDN w:val="0"/>
        <w:adjustRightInd w:val="0"/>
        <w:spacing w:after="240"/>
        <w:rPr>
          <w:rFonts w:cs="Times"/>
        </w:rPr>
      </w:pPr>
      <w:r w:rsidRPr="00C548EC">
        <w:rPr>
          <w:rFonts w:cs="Palatino"/>
        </w:rPr>
        <w:t xml:space="preserve">For evaluation of the TF pathway in horses using TEG, we suggest using diluted </w:t>
      </w:r>
      <w:proofErr w:type="spellStart"/>
      <w:r w:rsidRPr="00C548EC">
        <w:rPr>
          <w:rFonts w:cs="Palatino"/>
        </w:rPr>
        <w:t>Innovin</w:t>
      </w:r>
      <w:proofErr w:type="spellEnd"/>
      <w:r w:rsidRPr="00C548EC">
        <w:rPr>
          <w:rFonts w:cs="Palatino"/>
        </w:rPr>
        <w:t xml:space="preserve"> 1:3,600.</w:t>
      </w:r>
    </w:p>
    <w:p w14:paraId="3ACF9238" w14:textId="3B16D883" w:rsidR="00B16B60" w:rsidRPr="00C548EC" w:rsidRDefault="00B16B60" w:rsidP="00407AA2">
      <w:pPr>
        <w:pStyle w:val="ListParagraph"/>
        <w:widowControl w:val="0"/>
        <w:numPr>
          <w:ilvl w:val="0"/>
          <w:numId w:val="13"/>
        </w:numPr>
        <w:autoSpaceDE w:val="0"/>
        <w:autoSpaceDN w:val="0"/>
        <w:adjustRightInd w:val="0"/>
        <w:spacing w:after="240"/>
        <w:rPr>
          <w:rFonts w:cs="Times"/>
        </w:rPr>
      </w:pPr>
      <w:r w:rsidRPr="00C548EC">
        <w:rPr>
          <w:rFonts w:cs="Palatino"/>
        </w:rPr>
        <w:t>For evaluation of the TF pathway in small animals</w:t>
      </w:r>
      <w:r w:rsidR="00B8357A" w:rsidRPr="00C548EC">
        <w:rPr>
          <w:rFonts w:cs="Times"/>
        </w:rPr>
        <w:t xml:space="preserve"> </w:t>
      </w:r>
      <w:r w:rsidRPr="00C548EC">
        <w:rPr>
          <w:rFonts w:cs="Palatino"/>
        </w:rPr>
        <w:t xml:space="preserve">we suggest using diluted </w:t>
      </w:r>
      <w:proofErr w:type="spellStart"/>
      <w:r w:rsidRPr="00C548EC">
        <w:rPr>
          <w:rFonts w:cs="Palatino"/>
        </w:rPr>
        <w:t>Innovin</w:t>
      </w:r>
      <w:proofErr w:type="spellEnd"/>
      <w:r w:rsidRPr="00C548EC">
        <w:rPr>
          <w:rFonts w:cs="Palatino"/>
        </w:rPr>
        <w:t xml:space="preserve"> at both 1:3,600 and 1:50,000.</w:t>
      </w:r>
    </w:p>
    <w:p w14:paraId="482954B2" w14:textId="77777777" w:rsidR="00B16B60" w:rsidRPr="00C548EC" w:rsidRDefault="00B16B60" w:rsidP="00407AA2">
      <w:pPr>
        <w:pStyle w:val="ListParagraph"/>
        <w:widowControl w:val="0"/>
        <w:numPr>
          <w:ilvl w:val="0"/>
          <w:numId w:val="13"/>
        </w:numPr>
        <w:autoSpaceDE w:val="0"/>
        <w:autoSpaceDN w:val="0"/>
        <w:adjustRightInd w:val="0"/>
        <w:spacing w:after="240"/>
        <w:rPr>
          <w:rFonts w:cs="Times"/>
        </w:rPr>
      </w:pPr>
      <w:r w:rsidRPr="00C548EC">
        <w:rPr>
          <w:rFonts w:cs="Palatino"/>
        </w:rPr>
        <w:t>We recommend use of proprietary In-TEM and Ex- TEM reagents with the ROTEM system.</w:t>
      </w:r>
    </w:p>
    <w:p w14:paraId="0A8231C9" w14:textId="77777777" w:rsidR="00407AA2" w:rsidRPr="00C548EC" w:rsidRDefault="00407AA2" w:rsidP="00407AA2">
      <w:pPr>
        <w:widowControl w:val="0"/>
        <w:autoSpaceDE w:val="0"/>
        <w:autoSpaceDN w:val="0"/>
        <w:adjustRightInd w:val="0"/>
        <w:spacing w:after="240"/>
        <w:rPr>
          <w:rFonts w:cs="Palatino"/>
          <w:i/>
          <w:iCs/>
        </w:rPr>
      </w:pPr>
    </w:p>
    <w:p w14:paraId="1367789C" w14:textId="77777777" w:rsidR="00407AA2" w:rsidRPr="00C548EC" w:rsidRDefault="00407AA2" w:rsidP="00407AA2">
      <w:pPr>
        <w:widowControl w:val="0"/>
        <w:autoSpaceDE w:val="0"/>
        <w:autoSpaceDN w:val="0"/>
        <w:adjustRightInd w:val="0"/>
        <w:spacing w:after="240"/>
        <w:rPr>
          <w:rFonts w:cs="Times"/>
        </w:rPr>
      </w:pPr>
      <w:r w:rsidRPr="00C548EC">
        <w:rPr>
          <w:rFonts w:cs="Palatino"/>
          <w:i/>
          <w:iCs/>
        </w:rPr>
        <w:t>PICO question</w:t>
      </w:r>
    </w:p>
    <w:p w14:paraId="038ABB70" w14:textId="77777777" w:rsidR="00407AA2" w:rsidRPr="00C548EC" w:rsidRDefault="00407AA2" w:rsidP="00407AA2">
      <w:pPr>
        <w:widowControl w:val="0"/>
        <w:autoSpaceDE w:val="0"/>
        <w:autoSpaceDN w:val="0"/>
        <w:adjustRightInd w:val="0"/>
        <w:spacing w:after="240"/>
        <w:rPr>
          <w:rFonts w:cs="Times"/>
        </w:rPr>
      </w:pPr>
      <w:r w:rsidRPr="00C548EC">
        <w:rPr>
          <w:rFonts w:cs="Palatino"/>
        </w:rPr>
        <w:t>In companion animals with hemostatic abnormalities (P), does use of quality controls (I) compared with no quality control (C) alter TEG/ROTEM testing results (O)?</w:t>
      </w:r>
    </w:p>
    <w:p w14:paraId="7FD027AA" w14:textId="77777777" w:rsidR="00407AA2" w:rsidRPr="00C548EC" w:rsidRDefault="00407AA2" w:rsidP="00407AA2">
      <w:pPr>
        <w:widowControl w:val="0"/>
        <w:autoSpaceDE w:val="0"/>
        <w:autoSpaceDN w:val="0"/>
        <w:adjustRightInd w:val="0"/>
        <w:spacing w:after="240"/>
        <w:rPr>
          <w:rFonts w:cs="Times"/>
        </w:rPr>
      </w:pPr>
      <w:r w:rsidRPr="00C548EC">
        <w:rPr>
          <w:rFonts w:cs="Palatino"/>
          <w:i/>
          <w:iCs/>
        </w:rPr>
        <w:t>Guideline recommendation</w:t>
      </w:r>
    </w:p>
    <w:p w14:paraId="0D442669" w14:textId="4F247A10" w:rsidR="00407AA2" w:rsidRPr="00C548EC" w:rsidRDefault="00407AA2" w:rsidP="00EA4FEF">
      <w:pPr>
        <w:pStyle w:val="ListParagraph"/>
        <w:widowControl w:val="0"/>
        <w:numPr>
          <w:ilvl w:val="0"/>
          <w:numId w:val="14"/>
        </w:numPr>
        <w:autoSpaceDE w:val="0"/>
        <w:autoSpaceDN w:val="0"/>
        <w:adjustRightInd w:val="0"/>
        <w:spacing w:after="240"/>
        <w:rPr>
          <w:rFonts w:cs="Times"/>
        </w:rPr>
      </w:pPr>
      <w:r w:rsidRPr="00C548EC">
        <w:rPr>
          <w:rFonts w:cs="Palatino"/>
        </w:rPr>
        <w:t>We recommend manufacturer’s guidelines regarding routine use of quality controls be followed.</w:t>
      </w:r>
    </w:p>
    <w:p w14:paraId="5E10B79D" w14:textId="77777777" w:rsidR="00EA4FEF" w:rsidRPr="00C548EC" w:rsidRDefault="00EA4FEF" w:rsidP="00EA4FEF">
      <w:pPr>
        <w:widowControl w:val="0"/>
        <w:autoSpaceDE w:val="0"/>
        <w:autoSpaceDN w:val="0"/>
        <w:adjustRightInd w:val="0"/>
        <w:spacing w:after="240"/>
        <w:rPr>
          <w:rFonts w:cs="Times"/>
        </w:rPr>
      </w:pPr>
      <w:r w:rsidRPr="00C548EC">
        <w:rPr>
          <w:rFonts w:cs="Palatino"/>
          <w:i/>
          <w:iCs/>
        </w:rPr>
        <w:t>PICO question</w:t>
      </w:r>
    </w:p>
    <w:p w14:paraId="4260DDD3" w14:textId="62E8F30F" w:rsidR="00EA4FEF" w:rsidRPr="00C548EC" w:rsidRDefault="00EA4FEF" w:rsidP="00EA4FEF">
      <w:pPr>
        <w:widowControl w:val="0"/>
        <w:autoSpaceDE w:val="0"/>
        <w:autoSpaceDN w:val="0"/>
        <w:adjustRightInd w:val="0"/>
        <w:spacing w:after="240"/>
        <w:rPr>
          <w:rFonts w:cs="Palatino"/>
        </w:rPr>
      </w:pPr>
      <w:r w:rsidRPr="00C548EC">
        <w:rPr>
          <w:rFonts w:cs="Palatino"/>
        </w:rPr>
        <w:t>In companion animals with hemostatic abnormalities (P), does use of manua</w:t>
      </w:r>
      <w:r w:rsidR="009315AA" w:rsidRPr="00C548EC">
        <w:rPr>
          <w:rFonts w:cs="Palatino"/>
        </w:rPr>
        <w:t>l pipetting (I) compared to au</w:t>
      </w:r>
      <w:r w:rsidRPr="00C548EC">
        <w:rPr>
          <w:rFonts w:cs="Palatino"/>
        </w:rPr>
        <w:t>tomatic pipetting (C) alter TEG/ROTEM testing results (O)?</w:t>
      </w:r>
    </w:p>
    <w:p w14:paraId="272AF79B" w14:textId="144DF5B4" w:rsidR="004E0BD4" w:rsidRPr="00C548EC" w:rsidRDefault="004E0BD4" w:rsidP="00EA4FEF">
      <w:pPr>
        <w:widowControl w:val="0"/>
        <w:autoSpaceDE w:val="0"/>
        <w:autoSpaceDN w:val="0"/>
        <w:adjustRightInd w:val="0"/>
        <w:spacing w:after="240"/>
        <w:rPr>
          <w:rFonts w:cs="Times"/>
        </w:rPr>
      </w:pPr>
      <w:r w:rsidRPr="00C548EC">
        <w:rPr>
          <w:rFonts w:cs="Palatino"/>
          <w:i/>
          <w:iCs/>
        </w:rPr>
        <w:t>Guideline recommendation</w:t>
      </w:r>
    </w:p>
    <w:p w14:paraId="5BBBA2E0" w14:textId="77777777" w:rsidR="004E0BD4" w:rsidRPr="00C548EC" w:rsidRDefault="004E0BD4" w:rsidP="009315AA">
      <w:pPr>
        <w:pStyle w:val="ListParagraph"/>
        <w:widowControl w:val="0"/>
        <w:numPr>
          <w:ilvl w:val="0"/>
          <w:numId w:val="14"/>
        </w:numPr>
        <w:autoSpaceDE w:val="0"/>
        <w:autoSpaceDN w:val="0"/>
        <w:adjustRightInd w:val="0"/>
        <w:spacing w:after="240"/>
        <w:rPr>
          <w:rFonts w:cs="Times"/>
        </w:rPr>
      </w:pPr>
      <w:r w:rsidRPr="00C548EC">
        <w:rPr>
          <w:rFonts w:cs="Palatino"/>
        </w:rPr>
        <w:t>There is insufficient evidence to conclude that one pipetting technique is superior to the other.</w:t>
      </w:r>
    </w:p>
    <w:p w14:paraId="486454F3" w14:textId="6B245841" w:rsidR="004E0BD4" w:rsidRPr="00C548EC" w:rsidRDefault="004E0BD4" w:rsidP="009315AA">
      <w:pPr>
        <w:pStyle w:val="ListParagraph"/>
        <w:widowControl w:val="0"/>
        <w:numPr>
          <w:ilvl w:val="0"/>
          <w:numId w:val="14"/>
        </w:numPr>
        <w:autoSpaceDE w:val="0"/>
        <w:autoSpaceDN w:val="0"/>
        <w:adjustRightInd w:val="0"/>
        <w:spacing w:after="240"/>
        <w:rPr>
          <w:rFonts w:cs="Times"/>
        </w:rPr>
      </w:pPr>
      <w:r w:rsidRPr="00C548EC">
        <w:rPr>
          <w:rFonts w:cs="Palatino"/>
        </w:rPr>
        <w:t>We suggest careful manual pipetting be used for TEG assays.</w:t>
      </w:r>
    </w:p>
    <w:p w14:paraId="4C1BC57E" w14:textId="6B494F59" w:rsidR="004E0BD4" w:rsidRPr="00C548EC" w:rsidRDefault="004E0BD4" w:rsidP="009315AA">
      <w:pPr>
        <w:pStyle w:val="ListParagraph"/>
        <w:widowControl w:val="0"/>
        <w:numPr>
          <w:ilvl w:val="0"/>
          <w:numId w:val="14"/>
        </w:numPr>
        <w:autoSpaceDE w:val="0"/>
        <w:autoSpaceDN w:val="0"/>
        <w:adjustRightInd w:val="0"/>
        <w:spacing w:after="240"/>
        <w:rPr>
          <w:rFonts w:cs="Times"/>
        </w:rPr>
      </w:pPr>
      <w:r w:rsidRPr="00C548EC">
        <w:rPr>
          <w:rFonts w:cs="Palatino"/>
        </w:rPr>
        <w:t>We suggest automatic pipetting be used for ROTEM assays.</w:t>
      </w:r>
    </w:p>
    <w:p w14:paraId="22DC29CB" w14:textId="77777777" w:rsidR="009315AA" w:rsidRPr="00C548EC" w:rsidRDefault="009315AA" w:rsidP="009315AA">
      <w:pPr>
        <w:widowControl w:val="0"/>
        <w:autoSpaceDE w:val="0"/>
        <w:autoSpaceDN w:val="0"/>
        <w:adjustRightInd w:val="0"/>
        <w:spacing w:after="240"/>
        <w:rPr>
          <w:rFonts w:cs="Palatino"/>
          <w:i/>
          <w:iCs/>
        </w:rPr>
      </w:pPr>
    </w:p>
    <w:p w14:paraId="0AA92CD2" w14:textId="77777777" w:rsidR="009315AA" w:rsidRPr="00C548EC" w:rsidRDefault="009315AA" w:rsidP="009315AA">
      <w:pPr>
        <w:widowControl w:val="0"/>
        <w:autoSpaceDE w:val="0"/>
        <w:autoSpaceDN w:val="0"/>
        <w:adjustRightInd w:val="0"/>
        <w:spacing w:after="240"/>
        <w:rPr>
          <w:rFonts w:cs="Times"/>
        </w:rPr>
      </w:pPr>
      <w:r w:rsidRPr="00C548EC">
        <w:rPr>
          <w:rFonts w:cs="Palatino"/>
          <w:i/>
          <w:iCs/>
        </w:rPr>
        <w:t>PICO question</w:t>
      </w:r>
    </w:p>
    <w:p w14:paraId="17292AC4" w14:textId="77777777" w:rsidR="009315AA" w:rsidRPr="00C548EC" w:rsidRDefault="009315AA" w:rsidP="009315AA">
      <w:pPr>
        <w:widowControl w:val="0"/>
        <w:autoSpaceDE w:val="0"/>
        <w:autoSpaceDN w:val="0"/>
        <w:adjustRightInd w:val="0"/>
        <w:spacing w:after="240"/>
        <w:rPr>
          <w:rFonts w:cs="Times"/>
        </w:rPr>
      </w:pPr>
      <w:r w:rsidRPr="00C548EC">
        <w:rPr>
          <w:rFonts w:cs="Palatino"/>
        </w:rPr>
        <w:t>When should reagents and the sample be mixed prior to introduction of the pin?</w:t>
      </w:r>
    </w:p>
    <w:p w14:paraId="215A56B4" w14:textId="77777777" w:rsidR="009315AA" w:rsidRPr="00C548EC" w:rsidRDefault="009315AA" w:rsidP="009315AA">
      <w:pPr>
        <w:widowControl w:val="0"/>
        <w:autoSpaceDE w:val="0"/>
        <w:autoSpaceDN w:val="0"/>
        <w:adjustRightInd w:val="0"/>
        <w:spacing w:after="240"/>
        <w:rPr>
          <w:rFonts w:cs="Times"/>
        </w:rPr>
      </w:pPr>
      <w:r w:rsidRPr="00C548EC">
        <w:rPr>
          <w:rFonts w:cs="Palatino"/>
          <w:i/>
          <w:iCs/>
        </w:rPr>
        <w:t>Guideline recommendations</w:t>
      </w:r>
    </w:p>
    <w:p w14:paraId="21BD0565" w14:textId="784E55BC" w:rsidR="009315AA" w:rsidRPr="00C548EC" w:rsidRDefault="009315AA" w:rsidP="001A0B8F">
      <w:pPr>
        <w:pStyle w:val="ListParagraph"/>
        <w:widowControl w:val="0"/>
        <w:numPr>
          <w:ilvl w:val="0"/>
          <w:numId w:val="15"/>
        </w:numPr>
        <w:autoSpaceDE w:val="0"/>
        <w:autoSpaceDN w:val="0"/>
        <w:adjustRightInd w:val="0"/>
        <w:spacing w:after="240"/>
        <w:rPr>
          <w:rFonts w:cs="Times"/>
        </w:rPr>
      </w:pPr>
      <w:r w:rsidRPr="00C548EC">
        <w:rPr>
          <w:rFonts w:cs="Palatino"/>
        </w:rPr>
        <w:t>There is insufficie</w:t>
      </w:r>
      <w:r w:rsidR="00A35F74" w:rsidRPr="00C548EC">
        <w:rPr>
          <w:rFonts w:cs="Palatino"/>
        </w:rPr>
        <w:t>nt evidence to make recommenda</w:t>
      </w:r>
      <w:r w:rsidRPr="00C548EC">
        <w:rPr>
          <w:rFonts w:cs="Palatino"/>
        </w:rPr>
        <w:t>tions regarding mixing of samples and reagents for TEG.</w:t>
      </w:r>
    </w:p>
    <w:p w14:paraId="6B84AA89" w14:textId="476F20D2" w:rsidR="009315AA" w:rsidRPr="00C548EC" w:rsidRDefault="009315AA" w:rsidP="001A0B8F">
      <w:pPr>
        <w:pStyle w:val="ListParagraph"/>
        <w:widowControl w:val="0"/>
        <w:numPr>
          <w:ilvl w:val="0"/>
          <w:numId w:val="15"/>
        </w:numPr>
        <w:autoSpaceDE w:val="0"/>
        <w:autoSpaceDN w:val="0"/>
        <w:adjustRightInd w:val="0"/>
        <w:spacing w:after="240"/>
        <w:rPr>
          <w:rFonts w:cs="Times"/>
        </w:rPr>
      </w:pPr>
      <w:r w:rsidRPr="00C548EC">
        <w:rPr>
          <w:rFonts w:cs="Palatino"/>
        </w:rPr>
        <w:t>For both TEG and ROTEM, we suggest that blood samples be added to reagents (</w:t>
      </w:r>
      <w:proofErr w:type="spellStart"/>
      <w:r w:rsidRPr="00C548EC">
        <w:rPr>
          <w:rFonts w:cs="Palatino"/>
        </w:rPr>
        <w:t>eg</w:t>
      </w:r>
      <w:proofErr w:type="spellEnd"/>
      <w:r w:rsidRPr="00C548EC">
        <w:rPr>
          <w:rFonts w:cs="Palatino"/>
        </w:rPr>
        <w:t>, calcium chloride [</w:t>
      </w:r>
      <w:proofErr w:type="spellStart"/>
      <w:r w:rsidRPr="00C548EC">
        <w:rPr>
          <w:rFonts w:cs="Palatino"/>
        </w:rPr>
        <w:t>CaCl</w:t>
      </w:r>
      <w:proofErr w:type="spellEnd"/>
      <w:r w:rsidRPr="00C548EC">
        <w:rPr>
          <w:rFonts w:cs="Palatino"/>
          <w:position w:val="-3"/>
        </w:rPr>
        <w:t xml:space="preserve">2 </w:t>
      </w:r>
      <w:r w:rsidRPr="00C548EC">
        <w:rPr>
          <w:rFonts w:cs="Palatino"/>
        </w:rPr>
        <w:t xml:space="preserve">], </w:t>
      </w:r>
      <w:proofErr w:type="spellStart"/>
      <w:r w:rsidRPr="00C548EC">
        <w:rPr>
          <w:rFonts w:cs="Palatino"/>
        </w:rPr>
        <w:t>hR</w:t>
      </w:r>
      <w:proofErr w:type="spellEnd"/>
      <w:r w:rsidRPr="00C548EC">
        <w:rPr>
          <w:rFonts w:cs="Palatino"/>
        </w:rPr>
        <w:t xml:space="preserve">-TF) in </w:t>
      </w:r>
      <w:proofErr w:type="spellStart"/>
      <w:r w:rsidRPr="00C548EC">
        <w:rPr>
          <w:rFonts w:cs="Palatino"/>
        </w:rPr>
        <w:t>prewarmed</w:t>
      </w:r>
      <w:proofErr w:type="spellEnd"/>
      <w:r w:rsidRPr="00C548EC">
        <w:rPr>
          <w:rFonts w:cs="Palatino"/>
        </w:rPr>
        <w:t xml:space="preserve"> cups immediately prior to introduction of the</w:t>
      </w:r>
      <w:r w:rsidR="00A35F74" w:rsidRPr="00C548EC">
        <w:rPr>
          <w:rFonts w:cs="Palatino"/>
        </w:rPr>
        <w:t xml:space="preserve"> pin per the manufacturers’ in</w:t>
      </w:r>
      <w:r w:rsidRPr="00C548EC">
        <w:rPr>
          <w:rFonts w:cs="Palatino"/>
        </w:rPr>
        <w:t>structions.</w:t>
      </w:r>
    </w:p>
    <w:p w14:paraId="5B8F4879" w14:textId="132CA3BB" w:rsidR="009315AA" w:rsidRPr="00C548EC" w:rsidRDefault="009315AA" w:rsidP="001A0B8F">
      <w:pPr>
        <w:pStyle w:val="ListParagraph"/>
        <w:widowControl w:val="0"/>
        <w:numPr>
          <w:ilvl w:val="0"/>
          <w:numId w:val="15"/>
        </w:numPr>
        <w:autoSpaceDE w:val="0"/>
        <w:autoSpaceDN w:val="0"/>
        <w:adjustRightInd w:val="0"/>
        <w:spacing w:after="240"/>
        <w:rPr>
          <w:rFonts w:cs="Times"/>
        </w:rPr>
      </w:pPr>
      <w:r w:rsidRPr="00C548EC">
        <w:rPr>
          <w:rFonts w:cs="Palatino"/>
        </w:rPr>
        <w:t>For ROTEM, we suggest that reagents should be mixed using the automatic pipette per the manufacturers’ instructions.</w:t>
      </w:r>
    </w:p>
    <w:p w14:paraId="1988B940" w14:textId="77777777" w:rsidR="001A0B8F" w:rsidRPr="00C548EC" w:rsidRDefault="001A0B8F" w:rsidP="001A0B8F">
      <w:pPr>
        <w:widowControl w:val="0"/>
        <w:autoSpaceDE w:val="0"/>
        <w:autoSpaceDN w:val="0"/>
        <w:adjustRightInd w:val="0"/>
        <w:spacing w:after="240"/>
        <w:rPr>
          <w:rFonts w:cs="Times"/>
        </w:rPr>
      </w:pPr>
      <w:r w:rsidRPr="00C548EC">
        <w:rPr>
          <w:rFonts w:cs="Palatino"/>
          <w:i/>
          <w:iCs/>
        </w:rPr>
        <w:t>PICO question</w:t>
      </w:r>
    </w:p>
    <w:p w14:paraId="2D379382" w14:textId="77777777" w:rsidR="001A0B8F" w:rsidRPr="00C548EC" w:rsidRDefault="001A0B8F" w:rsidP="001A0B8F">
      <w:pPr>
        <w:widowControl w:val="0"/>
        <w:autoSpaceDE w:val="0"/>
        <w:autoSpaceDN w:val="0"/>
        <w:adjustRightInd w:val="0"/>
        <w:spacing w:after="240"/>
        <w:rPr>
          <w:rFonts w:cs="Times"/>
        </w:rPr>
      </w:pPr>
      <w:r w:rsidRPr="00C548EC">
        <w:rPr>
          <w:rFonts w:cs="Palatino"/>
        </w:rPr>
        <w:t>In companion animals with hemostatic abnormalities (P), does fixed analysis time (I) compared to variable analysis time (C) alter TEG/ROTEM testing results (O)?</w:t>
      </w:r>
    </w:p>
    <w:p w14:paraId="4822B21A" w14:textId="77777777" w:rsidR="001A0B8F" w:rsidRPr="00C548EC" w:rsidRDefault="001A0B8F" w:rsidP="001A0B8F">
      <w:pPr>
        <w:widowControl w:val="0"/>
        <w:autoSpaceDE w:val="0"/>
        <w:autoSpaceDN w:val="0"/>
        <w:adjustRightInd w:val="0"/>
        <w:spacing w:after="240"/>
        <w:rPr>
          <w:rFonts w:cs="Times"/>
        </w:rPr>
      </w:pPr>
      <w:r w:rsidRPr="00C548EC">
        <w:rPr>
          <w:rFonts w:cs="Palatino"/>
          <w:i/>
          <w:iCs/>
        </w:rPr>
        <w:t>Guideline recommendations</w:t>
      </w:r>
    </w:p>
    <w:p w14:paraId="1F0F2006" w14:textId="77777777" w:rsidR="001A0B8F" w:rsidRPr="00C548EC" w:rsidRDefault="001A0B8F" w:rsidP="00666507">
      <w:pPr>
        <w:pStyle w:val="ListParagraph"/>
        <w:widowControl w:val="0"/>
        <w:numPr>
          <w:ilvl w:val="0"/>
          <w:numId w:val="16"/>
        </w:numPr>
        <w:autoSpaceDE w:val="0"/>
        <w:autoSpaceDN w:val="0"/>
        <w:adjustRightInd w:val="0"/>
        <w:spacing w:after="240"/>
        <w:rPr>
          <w:rFonts w:cs="Palatino"/>
        </w:rPr>
      </w:pPr>
      <w:r w:rsidRPr="00C548EC">
        <w:rPr>
          <w:rFonts w:cs="Palatino"/>
        </w:rPr>
        <w:t>For routine clinical purposes, we suggest that all TEG/ROTEM assays be run until all values pertinent</w:t>
      </w:r>
      <w:r w:rsidRPr="00C548EC">
        <w:rPr>
          <w:rFonts w:cs="Times"/>
        </w:rPr>
        <w:t xml:space="preserve"> </w:t>
      </w:r>
      <w:r w:rsidRPr="00C548EC">
        <w:rPr>
          <w:rFonts w:cs="Palatino"/>
        </w:rPr>
        <w:t>to individual patients are available. </w:t>
      </w:r>
    </w:p>
    <w:p w14:paraId="790CBFC3" w14:textId="071C083C" w:rsidR="001A0B8F" w:rsidRPr="00C548EC" w:rsidRDefault="001A0B8F" w:rsidP="00666507">
      <w:pPr>
        <w:pStyle w:val="ListParagraph"/>
        <w:widowControl w:val="0"/>
        <w:numPr>
          <w:ilvl w:val="0"/>
          <w:numId w:val="16"/>
        </w:numPr>
        <w:autoSpaceDE w:val="0"/>
        <w:autoSpaceDN w:val="0"/>
        <w:adjustRightInd w:val="0"/>
        <w:spacing w:after="240"/>
        <w:rPr>
          <w:rFonts w:cs="Times"/>
        </w:rPr>
      </w:pPr>
      <w:r w:rsidRPr="00C548EC">
        <w:rPr>
          <w:rFonts w:cs="Palatino"/>
        </w:rPr>
        <w:t>For research purposes, we suggest that all TEG/ROTEM assays be run until values for fibrinolysis are available such that they may be included in related publications.</w:t>
      </w:r>
    </w:p>
    <w:p w14:paraId="7B197A86" w14:textId="77777777" w:rsidR="00865819" w:rsidRPr="00C548EC" w:rsidRDefault="00865819" w:rsidP="00666507">
      <w:pPr>
        <w:widowControl w:val="0"/>
        <w:autoSpaceDE w:val="0"/>
        <w:autoSpaceDN w:val="0"/>
        <w:adjustRightInd w:val="0"/>
        <w:spacing w:after="240"/>
        <w:rPr>
          <w:rFonts w:cs="Palatino"/>
          <w:i/>
          <w:iCs/>
        </w:rPr>
      </w:pPr>
    </w:p>
    <w:p w14:paraId="425F1EB6" w14:textId="77777777" w:rsidR="00666507" w:rsidRPr="00C548EC" w:rsidRDefault="00666507" w:rsidP="00666507">
      <w:pPr>
        <w:widowControl w:val="0"/>
        <w:autoSpaceDE w:val="0"/>
        <w:autoSpaceDN w:val="0"/>
        <w:adjustRightInd w:val="0"/>
        <w:spacing w:after="240"/>
        <w:rPr>
          <w:rFonts w:cs="Times"/>
        </w:rPr>
      </w:pPr>
      <w:r w:rsidRPr="00C548EC">
        <w:rPr>
          <w:rFonts w:cs="Palatino"/>
          <w:i/>
          <w:iCs/>
        </w:rPr>
        <w:t>PICO question</w:t>
      </w:r>
    </w:p>
    <w:p w14:paraId="562A055B" w14:textId="6CBF837B" w:rsidR="00666507" w:rsidRPr="00C548EC" w:rsidRDefault="00666507" w:rsidP="00666507">
      <w:pPr>
        <w:widowControl w:val="0"/>
        <w:autoSpaceDE w:val="0"/>
        <w:autoSpaceDN w:val="0"/>
        <w:adjustRightInd w:val="0"/>
        <w:spacing w:after="240"/>
        <w:rPr>
          <w:rFonts w:cs="Times"/>
        </w:rPr>
      </w:pPr>
      <w:r w:rsidRPr="00C548EC">
        <w:rPr>
          <w:rFonts w:cs="Palatino"/>
        </w:rPr>
        <w:t>In companion animals with hemostatic abnormalities (P), does duplicate analys</w:t>
      </w:r>
      <w:r w:rsidR="00C203AF" w:rsidRPr="00C548EC">
        <w:rPr>
          <w:rFonts w:cs="Palatino"/>
        </w:rPr>
        <w:t>is (I) compared to single anal</w:t>
      </w:r>
      <w:r w:rsidRPr="00C548EC">
        <w:rPr>
          <w:rFonts w:cs="Palatino"/>
        </w:rPr>
        <w:t>ysis (C) alter TEG/ROTEM testing results (O)?</w:t>
      </w:r>
    </w:p>
    <w:p w14:paraId="251C5AB6" w14:textId="77777777" w:rsidR="00666507" w:rsidRPr="00C548EC" w:rsidRDefault="00666507" w:rsidP="00666507">
      <w:pPr>
        <w:widowControl w:val="0"/>
        <w:autoSpaceDE w:val="0"/>
        <w:autoSpaceDN w:val="0"/>
        <w:adjustRightInd w:val="0"/>
        <w:spacing w:after="240"/>
        <w:rPr>
          <w:rFonts w:cs="Times"/>
        </w:rPr>
      </w:pPr>
      <w:r w:rsidRPr="00C548EC">
        <w:rPr>
          <w:rFonts w:cs="Palatino"/>
          <w:i/>
          <w:iCs/>
        </w:rPr>
        <w:t>Guideline recommendations</w:t>
      </w:r>
    </w:p>
    <w:p w14:paraId="4BD0CC1D" w14:textId="4A0735BB" w:rsidR="00666507" w:rsidRPr="00C548EC" w:rsidRDefault="00666507" w:rsidP="002321D4">
      <w:pPr>
        <w:pStyle w:val="ListParagraph"/>
        <w:widowControl w:val="0"/>
        <w:numPr>
          <w:ilvl w:val="0"/>
          <w:numId w:val="17"/>
        </w:numPr>
        <w:autoSpaceDE w:val="0"/>
        <w:autoSpaceDN w:val="0"/>
        <w:adjustRightInd w:val="0"/>
        <w:spacing w:after="240"/>
        <w:rPr>
          <w:rFonts w:cs="Times"/>
        </w:rPr>
      </w:pPr>
      <w:r w:rsidRPr="00C548EC">
        <w:rPr>
          <w:rFonts w:cs="Palatino"/>
        </w:rPr>
        <w:t>We suggest that duplicate assays are not required when activators are used.</w:t>
      </w:r>
    </w:p>
    <w:p w14:paraId="24333FC4" w14:textId="047FF948" w:rsidR="00666507" w:rsidRPr="00C548EC" w:rsidRDefault="00666507" w:rsidP="002321D4">
      <w:pPr>
        <w:pStyle w:val="ListParagraph"/>
        <w:widowControl w:val="0"/>
        <w:numPr>
          <w:ilvl w:val="0"/>
          <w:numId w:val="17"/>
        </w:numPr>
        <w:autoSpaceDE w:val="0"/>
        <w:autoSpaceDN w:val="0"/>
        <w:adjustRightInd w:val="0"/>
        <w:spacing w:after="240"/>
        <w:rPr>
          <w:rFonts w:cs="Times"/>
        </w:rPr>
      </w:pPr>
      <w:r w:rsidRPr="00C548EC">
        <w:rPr>
          <w:rFonts w:cs="Palatino"/>
        </w:rPr>
        <w:t xml:space="preserve">We suggest that if </w:t>
      </w:r>
      <w:proofErr w:type="spellStart"/>
      <w:r w:rsidRPr="00C548EC">
        <w:rPr>
          <w:rFonts w:cs="Palatino"/>
        </w:rPr>
        <w:t>recalcification</w:t>
      </w:r>
      <w:proofErr w:type="spellEnd"/>
      <w:r w:rsidRPr="00C548EC">
        <w:rPr>
          <w:rFonts w:cs="Palatino"/>
        </w:rPr>
        <w:t>-only assays are used, duplicate samples be performed.</w:t>
      </w:r>
    </w:p>
    <w:p w14:paraId="7CF74D91" w14:textId="7E64C654" w:rsidR="00666507" w:rsidRPr="00C548EC" w:rsidRDefault="00666507" w:rsidP="002321D4">
      <w:pPr>
        <w:pStyle w:val="ListParagraph"/>
        <w:widowControl w:val="0"/>
        <w:numPr>
          <w:ilvl w:val="0"/>
          <w:numId w:val="17"/>
        </w:numPr>
        <w:autoSpaceDE w:val="0"/>
        <w:autoSpaceDN w:val="0"/>
        <w:adjustRightInd w:val="0"/>
        <w:spacing w:after="240"/>
        <w:rPr>
          <w:rFonts w:cs="Times"/>
        </w:rPr>
      </w:pPr>
      <w:r w:rsidRPr="00C548EC">
        <w:rPr>
          <w:rFonts w:cs="Palatino"/>
        </w:rPr>
        <w:t>We recommend repeated sampling from 1 tube is</w:t>
      </w:r>
      <w:r w:rsidR="00865819" w:rsidRPr="00C548EC">
        <w:rPr>
          <w:rFonts w:cs="Times"/>
        </w:rPr>
        <w:t xml:space="preserve"> </w:t>
      </w:r>
      <w:r w:rsidRPr="00C548EC">
        <w:rPr>
          <w:rFonts w:cs="Palatino"/>
        </w:rPr>
        <w:t>avoided when duplicate assays are performed (</w:t>
      </w:r>
      <w:proofErr w:type="spellStart"/>
      <w:r w:rsidRPr="00C548EC">
        <w:rPr>
          <w:rFonts w:cs="Palatino"/>
        </w:rPr>
        <w:t>ie</w:t>
      </w:r>
      <w:proofErr w:type="spellEnd"/>
      <w:r w:rsidRPr="00C548EC">
        <w:rPr>
          <w:rFonts w:cs="Palatino"/>
        </w:rPr>
        <w:t>, 2</w:t>
      </w:r>
      <w:r w:rsidRPr="00C548EC">
        <w:rPr>
          <w:rFonts w:cs="Times"/>
          <w:position w:val="-22"/>
        </w:rPr>
        <w:t xml:space="preserve"> </w:t>
      </w:r>
      <w:r w:rsidRPr="00C548EC">
        <w:rPr>
          <w:rFonts w:cs="Palatino"/>
        </w:rPr>
        <w:t>tubes will be required).</w:t>
      </w:r>
    </w:p>
    <w:p w14:paraId="3667ABF0" w14:textId="77777777" w:rsidR="00666507" w:rsidRPr="00C548EC" w:rsidRDefault="00666507" w:rsidP="002321D4">
      <w:pPr>
        <w:pStyle w:val="ListParagraph"/>
        <w:widowControl w:val="0"/>
        <w:numPr>
          <w:ilvl w:val="0"/>
          <w:numId w:val="17"/>
        </w:numPr>
        <w:autoSpaceDE w:val="0"/>
        <w:autoSpaceDN w:val="0"/>
        <w:adjustRightInd w:val="0"/>
        <w:spacing w:after="240"/>
        <w:rPr>
          <w:rFonts w:cs="Times"/>
        </w:rPr>
      </w:pPr>
      <w:r w:rsidRPr="00C548EC">
        <w:rPr>
          <w:rFonts w:cs="Palatino"/>
        </w:rPr>
        <w:t>We suggest individual laboratories determine if/when repeat analyses of erroneous samples is required.</w:t>
      </w:r>
    </w:p>
    <w:p w14:paraId="10047452" w14:textId="77777777" w:rsidR="00127C72" w:rsidRPr="00C548EC" w:rsidRDefault="00127C72" w:rsidP="002321D4">
      <w:pPr>
        <w:widowControl w:val="0"/>
        <w:autoSpaceDE w:val="0"/>
        <w:autoSpaceDN w:val="0"/>
        <w:adjustRightInd w:val="0"/>
        <w:spacing w:after="240"/>
        <w:rPr>
          <w:rFonts w:cs="Palatino"/>
          <w:i/>
          <w:iCs/>
        </w:rPr>
      </w:pPr>
    </w:p>
    <w:p w14:paraId="33A53997" w14:textId="77777777" w:rsidR="002321D4" w:rsidRPr="00C548EC" w:rsidRDefault="002321D4" w:rsidP="002321D4">
      <w:pPr>
        <w:widowControl w:val="0"/>
        <w:autoSpaceDE w:val="0"/>
        <w:autoSpaceDN w:val="0"/>
        <w:adjustRightInd w:val="0"/>
        <w:spacing w:after="240"/>
        <w:rPr>
          <w:rFonts w:cs="Times"/>
        </w:rPr>
      </w:pPr>
      <w:r w:rsidRPr="00C548EC">
        <w:rPr>
          <w:rFonts w:cs="Palatino"/>
          <w:i/>
          <w:iCs/>
        </w:rPr>
        <w:t>PICO question</w:t>
      </w:r>
    </w:p>
    <w:p w14:paraId="649F2AE6" w14:textId="77777777" w:rsidR="002321D4" w:rsidRPr="00C548EC" w:rsidRDefault="002321D4" w:rsidP="002321D4">
      <w:pPr>
        <w:widowControl w:val="0"/>
        <w:autoSpaceDE w:val="0"/>
        <w:autoSpaceDN w:val="0"/>
        <w:adjustRightInd w:val="0"/>
        <w:spacing w:after="240"/>
        <w:rPr>
          <w:rFonts w:cs="Times"/>
        </w:rPr>
      </w:pPr>
      <w:r w:rsidRPr="00C548EC">
        <w:rPr>
          <w:rFonts w:cs="Palatino"/>
        </w:rPr>
        <w:t>In companion animals with hemostatic abnormalities (P), does use of fixed sample volume (I) compared to variable sample volume (C) alter TEG/ROTEM testing results (O)?</w:t>
      </w:r>
    </w:p>
    <w:p w14:paraId="493D999D" w14:textId="77777777" w:rsidR="002321D4" w:rsidRPr="00C548EC" w:rsidRDefault="002321D4" w:rsidP="002321D4">
      <w:pPr>
        <w:widowControl w:val="0"/>
        <w:autoSpaceDE w:val="0"/>
        <w:autoSpaceDN w:val="0"/>
        <w:adjustRightInd w:val="0"/>
        <w:spacing w:after="240"/>
        <w:rPr>
          <w:rFonts w:cs="Times"/>
        </w:rPr>
      </w:pPr>
      <w:r w:rsidRPr="00C548EC">
        <w:rPr>
          <w:rFonts w:cs="Palatino"/>
          <w:i/>
          <w:iCs/>
        </w:rPr>
        <w:t>Guideline recommendations</w:t>
      </w:r>
    </w:p>
    <w:p w14:paraId="237D6573" w14:textId="342F2753" w:rsidR="00127C72" w:rsidRPr="00C548EC" w:rsidRDefault="00127C72" w:rsidP="00543222">
      <w:pPr>
        <w:pStyle w:val="ListParagraph"/>
        <w:widowControl w:val="0"/>
        <w:numPr>
          <w:ilvl w:val="0"/>
          <w:numId w:val="18"/>
        </w:numPr>
        <w:autoSpaceDE w:val="0"/>
        <w:autoSpaceDN w:val="0"/>
        <w:adjustRightInd w:val="0"/>
        <w:spacing w:after="240"/>
        <w:rPr>
          <w:rFonts w:cs="Times"/>
        </w:rPr>
      </w:pPr>
      <w:r w:rsidRPr="00C548EC">
        <w:rPr>
          <w:rFonts w:cs="Palatino"/>
        </w:rPr>
        <w:t>There is insufficient evidence to recommend specific</w:t>
      </w:r>
      <w:r w:rsidRPr="00C548EC">
        <w:rPr>
          <w:rFonts w:cs="Times"/>
          <w:position w:val="-22"/>
        </w:rPr>
        <w:t xml:space="preserve"> </w:t>
      </w:r>
      <w:r w:rsidRPr="00C548EC">
        <w:rPr>
          <w:rFonts w:cs="Palatino"/>
        </w:rPr>
        <w:t>sample volumes for TEG/ROTEM assays.</w:t>
      </w:r>
    </w:p>
    <w:p w14:paraId="1CA9B1CA" w14:textId="77777777" w:rsidR="00127C72" w:rsidRPr="00C548EC" w:rsidRDefault="00127C72" w:rsidP="00543222">
      <w:pPr>
        <w:pStyle w:val="ListParagraph"/>
        <w:widowControl w:val="0"/>
        <w:numPr>
          <w:ilvl w:val="0"/>
          <w:numId w:val="18"/>
        </w:numPr>
        <w:autoSpaceDE w:val="0"/>
        <w:autoSpaceDN w:val="0"/>
        <w:adjustRightInd w:val="0"/>
        <w:spacing w:after="240"/>
        <w:rPr>
          <w:rFonts w:cs="Times"/>
        </w:rPr>
      </w:pPr>
      <w:r w:rsidRPr="00C548EC">
        <w:rPr>
          <w:rFonts w:cs="Palatino"/>
        </w:rPr>
        <w:t>We suggest that manufacturer’s guidelines regarding sample volumes be followed for routine assays.</w:t>
      </w:r>
    </w:p>
    <w:p w14:paraId="1A1D1F3E" w14:textId="77777777" w:rsidR="00AB02E1" w:rsidRPr="00C548EC" w:rsidRDefault="00AB02E1" w:rsidP="0017584B">
      <w:pPr>
        <w:widowControl w:val="0"/>
        <w:autoSpaceDE w:val="0"/>
        <w:autoSpaceDN w:val="0"/>
        <w:adjustRightInd w:val="0"/>
        <w:spacing w:after="240"/>
        <w:rPr>
          <w:rFonts w:cs="Times"/>
        </w:rPr>
      </w:pPr>
    </w:p>
    <w:p w14:paraId="7D38B4EC" w14:textId="77777777" w:rsidR="00543222" w:rsidRPr="00C548EC" w:rsidRDefault="00543222" w:rsidP="00543222">
      <w:pPr>
        <w:widowControl w:val="0"/>
        <w:autoSpaceDE w:val="0"/>
        <w:autoSpaceDN w:val="0"/>
        <w:adjustRightInd w:val="0"/>
        <w:spacing w:after="240"/>
        <w:rPr>
          <w:rFonts w:cs="Times"/>
        </w:rPr>
      </w:pPr>
      <w:r w:rsidRPr="00C548EC">
        <w:rPr>
          <w:rFonts w:cs="Palatino"/>
          <w:i/>
          <w:iCs/>
        </w:rPr>
        <w:t>PICO question</w:t>
      </w:r>
    </w:p>
    <w:p w14:paraId="0381C17E" w14:textId="77777777" w:rsidR="00543222" w:rsidRPr="00C548EC" w:rsidRDefault="00543222" w:rsidP="00543222">
      <w:pPr>
        <w:widowControl w:val="0"/>
        <w:autoSpaceDE w:val="0"/>
        <w:autoSpaceDN w:val="0"/>
        <w:adjustRightInd w:val="0"/>
        <w:spacing w:after="240"/>
        <w:rPr>
          <w:rFonts w:cs="Times"/>
        </w:rPr>
      </w:pPr>
      <w:r w:rsidRPr="00C548EC">
        <w:rPr>
          <w:rFonts w:cs="Palatino"/>
        </w:rPr>
        <w:t>In companion animals with hemostatic abnormalities (P), does analysis at 37</w:t>
      </w:r>
      <w:r w:rsidRPr="00C548EC">
        <w:rPr>
          <w:rFonts w:ascii="Times New Roman" w:hAnsi="Times New Roman" w:cs="Times New Roman"/>
          <w:position w:val="8"/>
        </w:rPr>
        <w:t>◦</w:t>
      </w:r>
      <w:r w:rsidRPr="00C548EC">
        <w:rPr>
          <w:rFonts w:cs="Palatino"/>
        </w:rPr>
        <w:t>C (I) compared to analysis at the patient’s body temperature (C) alter TEG/ROTEM testing results (O)?</w:t>
      </w:r>
    </w:p>
    <w:p w14:paraId="23E8A6B6" w14:textId="77777777" w:rsidR="00543222" w:rsidRPr="00C548EC" w:rsidRDefault="00543222" w:rsidP="00543222">
      <w:pPr>
        <w:widowControl w:val="0"/>
        <w:autoSpaceDE w:val="0"/>
        <w:autoSpaceDN w:val="0"/>
        <w:adjustRightInd w:val="0"/>
        <w:spacing w:after="240"/>
        <w:rPr>
          <w:rFonts w:cs="Times"/>
        </w:rPr>
      </w:pPr>
      <w:r w:rsidRPr="00C548EC">
        <w:rPr>
          <w:rFonts w:cs="Palatino"/>
          <w:i/>
          <w:iCs/>
        </w:rPr>
        <w:t>Guideline recommendations</w:t>
      </w:r>
    </w:p>
    <w:p w14:paraId="2F5066D7" w14:textId="5EE3080A" w:rsidR="00543222" w:rsidRPr="00C548EC" w:rsidRDefault="00543222" w:rsidP="00875A8F">
      <w:pPr>
        <w:pStyle w:val="ListParagraph"/>
        <w:widowControl w:val="0"/>
        <w:numPr>
          <w:ilvl w:val="0"/>
          <w:numId w:val="19"/>
        </w:numPr>
        <w:autoSpaceDE w:val="0"/>
        <w:autoSpaceDN w:val="0"/>
        <w:adjustRightInd w:val="0"/>
        <w:spacing w:after="240"/>
        <w:rPr>
          <w:rFonts w:cs="Times"/>
        </w:rPr>
      </w:pPr>
      <w:r w:rsidRPr="00C548EC">
        <w:rPr>
          <w:rFonts w:cs="Palatino"/>
        </w:rPr>
        <w:t>There is insufficient evidence to recommend use of specific temperatures for each species.</w:t>
      </w:r>
    </w:p>
    <w:p w14:paraId="3A860DF6" w14:textId="1B6530AD" w:rsidR="00543222" w:rsidRPr="00C548EC" w:rsidRDefault="00543222" w:rsidP="00875A8F">
      <w:pPr>
        <w:pStyle w:val="ListParagraph"/>
        <w:widowControl w:val="0"/>
        <w:numPr>
          <w:ilvl w:val="0"/>
          <w:numId w:val="19"/>
        </w:numPr>
        <w:autoSpaceDE w:val="0"/>
        <w:autoSpaceDN w:val="0"/>
        <w:adjustRightInd w:val="0"/>
        <w:spacing w:after="240"/>
        <w:rPr>
          <w:rFonts w:cs="Times"/>
        </w:rPr>
      </w:pPr>
      <w:r w:rsidRPr="00C548EC">
        <w:rPr>
          <w:rFonts w:cs="Palatino"/>
        </w:rPr>
        <w:t>We suggest all r</w:t>
      </w:r>
      <w:r w:rsidRPr="00C548EC">
        <w:rPr>
          <w:rFonts w:cs="Palatino"/>
        </w:rPr>
        <w:t>outine TEG/ROTEM assays are per</w:t>
      </w:r>
      <w:r w:rsidRPr="00C548EC">
        <w:rPr>
          <w:rFonts w:cs="Palatino"/>
        </w:rPr>
        <w:t>formed at 37</w:t>
      </w:r>
      <w:r w:rsidRPr="00C548EC">
        <w:rPr>
          <w:rFonts w:ascii="Times New Roman" w:hAnsi="Times New Roman" w:cs="Times New Roman"/>
          <w:position w:val="8"/>
        </w:rPr>
        <w:t>◦</w:t>
      </w:r>
      <w:r w:rsidRPr="00C548EC">
        <w:rPr>
          <w:rFonts w:cs="Palatino"/>
        </w:rPr>
        <w:t>C.</w:t>
      </w:r>
    </w:p>
    <w:p w14:paraId="43D277A0" w14:textId="77777777" w:rsidR="00543222" w:rsidRPr="00C548EC" w:rsidRDefault="00543222" w:rsidP="00875A8F">
      <w:pPr>
        <w:pStyle w:val="ListParagraph"/>
        <w:widowControl w:val="0"/>
        <w:numPr>
          <w:ilvl w:val="0"/>
          <w:numId w:val="19"/>
        </w:numPr>
        <w:autoSpaceDE w:val="0"/>
        <w:autoSpaceDN w:val="0"/>
        <w:adjustRightInd w:val="0"/>
        <w:spacing w:after="240"/>
        <w:rPr>
          <w:rFonts w:cs="Palatino"/>
        </w:rPr>
      </w:pPr>
      <w:r w:rsidRPr="00C548EC">
        <w:rPr>
          <w:rFonts w:cs="Palatino"/>
        </w:rPr>
        <w:t>In patients with marked hypo- or hyperthermia, we suggest clinicians consider evaluating TEG/ROTEM tracings performed at 37</w:t>
      </w:r>
      <w:r w:rsidRPr="00C548EC">
        <w:rPr>
          <w:rFonts w:ascii="Times New Roman" w:hAnsi="Times New Roman" w:cs="Times New Roman"/>
          <w:position w:val="8"/>
        </w:rPr>
        <w:t>◦</w:t>
      </w:r>
      <w:r w:rsidRPr="00C548EC">
        <w:rPr>
          <w:rFonts w:cs="Palatino"/>
        </w:rPr>
        <w:t>C and at the patient’s core temperature.</w:t>
      </w:r>
    </w:p>
    <w:p w14:paraId="695658F7" w14:textId="77777777" w:rsidR="00923B4D" w:rsidRPr="00C548EC" w:rsidRDefault="00923B4D" w:rsidP="00543222">
      <w:pPr>
        <w:widowControl w:val="0"/>
        <w:autoSpaceDE w:val="0"/>
        <w:autoSpaceDN w:val="0"/>
        <w:adjustRightInd w:val="0"/>
        <w:spacing w:after="240"/>
        <w:rPr>
          <w:rFonts w:cs="Times"/>
        </w:rPr>
      </w:pPr>
    </w:p>
    <w:p w14:paraId="11E8A18D" w14:textId="77777777" w:rsidR="00923B4D" w:rsidRPr="00C548EC" w:rsidRDefault="00923B4D" w:rsidP="00923B4D">
      <w:pPr>
        <w:widowControl w:val="0"/>
        <w:autoSpaceDE w:val="0"/>
        <w:autoSpaceDN w:val="0"/>
        <w:adjustRightInd w:val="0"/>
        <w:spacing w:after="240"/>
        <w:rPr>
          <w:rFonts w:cs="Times"/>
          <w:u w:val="single"/>
        </w:rPr>
      </w:pPr>
      <w:r w:rsidRPr="00C548EC">
        <w:rPr>
          <w:rFonts w:cs="Palatino"/>
          <w:b/>
          <w:bCs/>
          <w:u w:val="single"/>
        </w:rPr>
        <w:t>Definitions and data reporting</w:t>
      </w:r>
    </w:p>
    <w:p w14:paraId="248A63E8" w14:textId="77777777" w:rsidR="00923B4D" w:rsidRPr="00C548EC" w:rsidRDefault="00923B4D" w:rsidP="00923B4D">
      <w:pPr>
        <w:widowControl w:val="0"/>
        <w:autoSpaceDE w:val="0"/>
        <w:autoSpaceDN w:val="0"/>
        <w:adjustRightInd w:val="0"/>
        <w:spacing w:after="240"/>
        <w:rPr>
          <w:rFonts w:cs="Times"/>
        </w:rPr>
      </w:pPr>
      <w:r w:rsidRPr="00C548EC">
        <w:rPr>
          <w:rFonts w:cs="Palatino"/>
          <w:i/>
          <w:iCs/>
        </w:rPr>
        <w:t>PICO question</w:t>
      </w:r>
    </w:p>
    <w:p w14:paraId="6C279245" w14:textId="77777777" w:rsidR="00923B4D" w:rsidRPr="00C548EC" w:rsidRDefault="00923B4D" w:rsidP="00923B4D">
      <w:pPr>
        <w:widowControl w:val="0"/>
        <w:autoSpaceDE w:val="0"/>
        <w:autoSpaceDN w:val="0"/>
        <w:adjustRightInd w:val="0"/>
        <w:spacing w:after="240"/>
        <w:rPr>
          <w:rFonts w:cs="Times"/>
        </w:rPr>
      </w:pPr>
      <w:r w:rsidRPr="00C548EC">
        <w:rPr>
          <w:rFonts w:cs="Palatino"/>
        </w:rPr>
        <w:t xml:space="preserve">In companion animals with hemostatic abnormalities (P), does presenting the </w:t>
      </w:r>
      <w:r w:rsidRPr="00C548EC">
        <w:rPr>
          <w:rFonts w:cs="Palatino"/>
          <w:i/>
          <w:iCs/>
        </w:rPr>
        <w:t xml:space="preserve">G </w:t>
      </w:r>
      <w:r w:rsidRPr="00C548EC">
        <w:rPr>
          <w:rFonts w:cs="Palatino"/>
        </w:rPr>
        <w:t xml:space="preserve">(global clot strength [shear elastic modulus, ROTEM variable]) value (I) compared to presenting the </w:t>
      </w:r>
      <w:r w:rsidRPr="00C548EC">
        <w:rPr>
          <w:rFonts w:cs="Palatino"/>
          <w:i/>
          <w:iCs/>
        </w:rPr>
        <w:t xml:space="preserve">MA </w:t>
      </w:r>
      <w:r w:rsidRPr="00C548EC">
        <w:rPr>
          <w:rFonts w:cs="Palatino"/>
        </w:rPr>
        <w:t>value (C) alter TEG/ROTEM result interpretation (O)?</w:t>
      </w:r>
    </w:p>
    <w:p w14:paraId="45235CD9" w14:textId="77777777" w:rsidR="00923B4D" w:rsidRPr="00C548EC" w:rsidRDefault="00923B4D" w:rsidP="00923B4D">
      <w:pPr>
        <w:widowControl w:val="0"/>
        <w:autoSpaceDE w:val="0"/>
        <w:autoSpaceDN w:val="0"/>
        <w:adjustRightInd w:val="0"/>
        <w:spacing w:after="240"/>
        <w:rPr>
          <w:rFonts w:cs="Times"/>
        </w:rPr>
      </w:pPr>
      <w:r w:rsidRPr="00C548EC">
        <w:rPr>
          <w:rFonts w:cs="Palatino"/>
          <w:i/>
          <w:iCs/>
        </w:rPr>
        <w:t>Guideline recommendations</w:t>
      </w:r>
    </w:p>
    <w:p w14:paraId="3EAC7580" w14:textId="102CE024" w:rsidR="00923B4D" w:rsidRPr="00C548EC" w:rsidRDefault="00923B4D" w:rsidP="00E03DDB">
      <w:pPr>
        <w:pStyle w:val="ListParagraph"/>
        <w:widowControl w:val="0"/>
        <w:numPr>
          <w:ilvl w:val="0"/>
          <w:numId w:val="20"/>
        </w:numPr>
        <w:autoSpaceDE w:val="0"/>
        <w:autoSpaceDN w:val="0"/>
        <w:adjustRightInd w:val="0"/>
        <w:spacing w:after="240"/>
        <w:rPr>
          <w:rFonts w:cs="Times"/>
        </w:rPr>
      </w:pPr>
      <w:r w:rsidRPr="00C548EC">
        <w:rPr>
          <w:rFonts w:cs="Palatino"/>
        </w:rPr>
        <w:t>We recommend that</w:t>
      </w:r>
      <w:r w:rsidR="00E03DDB" w:rsidRPr="00C548EC">
        <w:rPr>
          <w:rFonts w:cs="Palatino"/>
        </w:rPr>
        <w:t xml:space="preserve"> all 4 standard TEG/ROTEM vari</w:t>
      </w:r>
      <w:r w:rsidRPr="00C548EC">
        <w:rPr>
          <w:rFonts w:cs="Palatino"/>
        </w:rPr>
        <w:t xml:space="preserve">ables are universally reported, enabling post hoc calculation of </w:t>
      </w:r>
      <w:r w:rsidRPr="00C548EC">
        <w:rPr>
          <w:rFonts w:cs="Palatino"/>
          <w:i/>
          <w:iCs/>
        </w:rPr>
        <w:t xml:space="preserve">G </w:t>
      </w:r>
      <w:r w:rsidRPr="00C548EC">
        <w:rPr>
          <w:rFonts w:cs="Palatino"/>
        </w:rPr>
        <w:t xml:space="preserve">if required. We suggest that authors may report </w:t>
      </w:r>
      <w:r w:rsidRPr="00C548EC">
        <w:rPr>
          <w:rFonts w:cs="Palatino"/>
          <w:i/>
          <w:iCs/>
        </w:rPr>
        <w:t xml:space="preserve">G </w:t>
      </w:r>
      <w:r w:rsidRPr="00C548EC">
        <w:rPr>
          <w:rFonts w:cs="Palatino"/>
        </w:rPr>
        <w:t xml:space="preserve">in addition to </w:t>
      </w:r>
      <w:r w:rsidRPr="00C548EC">
        <w:rPr>
          <w:rFonts w:cs="Palatino"/>
          <w:i/>
          <w:iCs/>
        </w:rPr>
        <w:t>MA</w:t>
      </w:r>
      <w:r w:rsidRPr="00C548EC">
        <w:rPr>
          <w:rFonts w:cs="Palatino"/>
        </w:rPr>
        <w:t>.</w:t>
      </w:r>
    </w:p>
    <w:p w14:paraId="0ABED028" w14:textId="77777777" w:rsidR="00E03DDB" w:rsidRPr="00C548EC" w:rsidRDefault="00E03DDB" w:rsidP="00E03DDB">
      <w:pPr>
        <w:widowControl w:val="0"/>
        <w:autoSpaceDE w:val="0"/>
        <w:autoSpaceDN w:val="0"/>
        <w:adjustRightInd w:val="0"/>
        <w:spacing w:after="240"/>
        <w:rPr>
          <w:rFonts w:cs="Palatino"/>
          <w:i/>
          <w:iCs/>
        </w:rPr>
      </w:pPr>
    </w:p>
    <w:p w14:paraId="1F48E0BA" w14:textId="68DD8851" w:rsidR="00E03DDB" w:rsidRPr="00C548EC" w:rsidRDefault="00E03DDB" w:rsidP="00E03DDB">
      <w:pPr>
        <w:widowControl w:val="0"/>
        <w:autoSpaceDE w:val="0"/>
        <w:autoSpaceDN w:val="0"/>
        <w:adjustRightInd w:val="0"/>
        <w:spacing w:after="240"/>
        <w:rPr>
          <w:rFonts w:cs="Times"/>
        </w:rPr>
      </w:pPr>
      <w:r w:rsidRPr="00C548EC">
        <w:rPr>
          <w:rFonts w:cs="Palatino"/>
          <w:i/>
          <w:iCs/>
        </w:rPr>
        <w:t>P</w:t>
      </w:r>
      <w:r w:rsidRPr="00C548EC">
        <w:rPr>
          <w:rFonts w:cs="Palatino"/>
          <w:i/>
          <w:iCs/>
        </w:rPr>
        <w:t>ICO question</w:t>
      </w:r>
    </w:p>
    <w:p w14:paraId="49E1F1FF" w14:textId="16566073" w:rsidR="00E03DDB" w:rsidRPr="00C548EC" w:rsidRDefault="00E03DDB" w:rsidP="00E03DDB">
      <w:pPr>
        <w:widowControl w:val="0"/>
        <w:autoSpaceDE w:val="0"/>
        <w:autoSpaceDN w:val="0"/>
        <w:adjustRightInd w:val="0"/>
        <w:spacing w:after="240"/>
        <w:rPr>
          <w:rFonts w:cs="Times"/>
        </w:rPr>
      </w:pPr>
      <w:r w:rsidRPr="00C548EC">
        <w:rPr>
          <w:rFonts w:cs="Palatino"/>
        </w:rPr>
        <w:t>In companion animals with hemostatic abnormalities (P), does use of one definition of hypercoagulability (I) compared with another</w:t>
      </w:r>
      <w:r w:rsidRPr="00C548EC">
        <w:rPr>
          <w:rFonts w:cs="Palatino"/>
        </w:rPr>
        <w:t xml:space="preserve"> (C) alter TEG/ROTEM result in</w:t>
      </w:r>
      <w:r w:rsidRPr="00C548EC">
        <w:rPr>
          <w:rFonts w:cs="Palatino"/>
        </w:rPr>
        <w:t>terpretation (O)?</w:t>
      </w:r>
    </w:p>
    <w:p w14:paraId="7C0DA6D7" w14:textId="77777777" w:rsidR="00E03DDB" w:rsidRPr="00C548EC" w:rsidRDefault="00E03DDB" w:rsidP="00E03DDB">
      <w:pPr>
        <w:widowControl w:val="0"/>
        <w:autoSpaceDE w:val="0"/>
        <w:autoSpaceDN w:val="0"/>
        <w:adjustRightInd w:val="0"/>
        <w:spacing w:after="240"/>
        <w:rPr>
          <w:rFonts w:cs="Times"/>
        </w:rPr>
      </w:pPr>
      <w:r w:rsidRPr="00C548EC">
        <w:rPr>
          <w:rFonts w:cs="Palatino"/>
          <w:i/>
          <w:iCs/>
        </w:rPr>
        <w:t>Guideline recommendations</w:t>
      </w:r>
    </w:p>
    <w:p w14:paraId="3FA12B92" w14:textId="77777777" w:rsidR="00E03DDB" w:rsidRPr="00C548EC" w:rsidRDefault="00E03DDB" w:rsidP="00295714">
      <w:pPr>
        <w:pStyle w:val="ListParagraph"/>
        <w:widowControl w:val="0"/>
        <w:numPr>
          <w:ilvl w:val="0"/>
          <w:numId w:val="20"/>
        </w:numPr>
        <w:autoSpaceDE w:val="0"/>
        <w:autoSpaceDN w:val="0"/>
        <w:adjustRightInd w:val="0"/>
        <w:spacing w:after="240"/>
        <w:rPr>
          <w:rFonts w:cs="Palatino"/>
        </w:rPr>
      </w:pPr>
      <w:r w:rsidRPr="00C548EC">
        <w:rPr>
          <w:rFonts w:cs="Palatino"/>
        </w:rPr>
        <w:t>There is insufficien</w:t>
      </w:r>
      <w:r w:rsidRPr="00C548EC">
        <w:rPr>
          <w:rFonts w:cs="Palatino"/>
        </w:rPr>
        <w:t>t evidence to recommend how hy</w:t>
      </w:r>
      <w:r w:rsidRPr="00C548EC">
        <w:rPr>
          <w:rFonts w:cs="Palatino"/>
        </w:rPr>
        <w:t>percoagulability should be defined in compan</w:t>
      </w:r>
      <w:r w:rsidRPr="00C548EC">
        <w:rPr>
          <w:rFonts w:cs="Palatino"/>
        </w:rPr>
        <w:t>ion ani</w:t>
      </w:r>
      <w:r w:rsidRPr="00C548EC">
        <w:rPr>
          <w:rFonts w:cs="Palatino"/>
        </w:rPr>
        <w:t xml:space="preserve">mals based on TEG/ROTEM parameters at this time. </w:t>
      </w:r>
    </w:p>
    <w:p w14:paraId="2FF3C077" w14:textId="77777777" w:rsidR="00E03DDB" w:rsidRPr="00C548EC" w:rsidRDefault="00E03DDB" w:rsidP="00295714">
      <w:pPr>
        <w:pStyle w:val="ListParagraph"/>
        <w:widowControl w:val="0"/>
        <w:numPr>
          <w:ilvl w:val="0"/>
          <w:numId w:val="20"/>
        </w:numPr>
        <w:autoSpaceDE w:val="0"/>
        <w:autoSpaceDN w:val="0"/>
        <w:adjustRightInd w:val="0"/>
        <w:spacing w:after="240"/>
        <w:rPr>
          <w:rFonts w:cs="Palatino"/>
        </w:rPr>
      </w:pPr>
      <w:r w:rsidRPr="00C548EC">
        <w:rPr>
          <w:rFonts w:cs="Palatino"/>
        </w:rPr>
        <w:t>We suggest that individual studies report sufficient data on patients and institutional controls to enable definitions of hypercoagulability to be evaluated post</w:t>
      </w:r>
      <w:r w:rsidRPr="00C548EC">
        <w:rPr>
          <w:rFonts w:cs="Times"/>
        </w:rPr>
        <w:t xml:space="preserve"> </w:t>
      </w:r>
      <w:r w:rsidRPr="00C548EC">
        <w:rPr>
          <w:rFonts w:cs="Palatino"/>
        </w:rPr>
        <w:t>hoc. </w:t>
      </w:r>
    </w:p>
    <w:p w14:paraId="3619FFD2" w14:textId="77777777" w:rsidR="00E03DDB" w:rsidRPr="00C548EC" w:rsidRDefault="00E03DDB" w:rsidP="00295714">
      <w:pPr>
        <w:pStyle w:val="ListParagraph"/>
        <w:widowControl w:val="0"/>
        <w:numPr>
          <w:ilvl w:val="0"/>
          <w:numId w:val="20"/>
        </w:numPr>
        <w:autoSpaceDE w:val="0"/>
        <w:autoSpaceDN w:val="0"/>
        <w:adjustRightInd w:val="0"/>
        <w:spacing w:after="240"/>
        <w:rPr>
          <w:rFonts w:cs="Palatino"/>
        </w:rPr>
      </w:pPr>
      <w:r w:rsidRPr="00C548EC">
        <w:rPr>
          <w:rFonts w:cs="Palatino"/>
        </w:rPr>
        <w:t>We recommend that all studies specifically report how</w:t>
      </w:r>
      <w:r w:rsidRPr="00C548EC">
        <w:rPr>
          <w:rFonts w:cs="Times"/>
          <w:position w:val="-22"/>
        </w:rPr>
        <w:t xml:space="preserve"> </w:t>
      </w:r>
      <w:r w:rsidRPr="00C548EC">
        <w:rPr>
          <w:rFonts w:cs="Palatino"/>
        </w:rPr>
        <w:t>hypercoagulability was defined. </w:t>
      </w:r>
    </w:p>
    <w:p w14:paraId="054CA834" w14:textId="6904A331" w:rsidR="00E03DDB" w:rsidRPr="00C548EC" w:rsidRDefault="00E03DDB" w:rsidP="00295714">
      <w:pPr>
        <w:pStyle w:val="ListParagraph"/>
        <w:widowControl w:val="0"/>
        <w:numPr>
          <w:ilvl w:val="0"/>
          <w:numId w:val="20"/>
        </w:numPr>
        <w:autoSpaceDE w:val="0"/>
        <w:autoSpaceDN w:val="0"/>
        <w:adjustRightInd w:val="0"/>
        <w:spacing w:after="240"/>
        <w:rPr>
          <w:rFonts w:cs="Times"/>
        </w:rPr>
      </w:pPr>
      <w:r w:rsidRPr="00C548EC">
        <w:rPr>
          <w:rFonts w:cs="Palatino"/>
        </w:rPr>
        <w:t>We recommend that</w:t>
      </w:r>
      <w:r w:rsidRPr="00C548EC">
        <w:rPr>
          <w:rFonts w:cs="Palatino"/>
        </w:rPr>
        <w:t xml:space="preserve"> all 4 standard TEG/ROTEM vari</w:t>
      </w:r>
      <w:r w:rsidRPr="00C548EC">
        <w:rPr>
          <w:rFonts w:cs="Palatino"/>
        </w:rPr>
        <w:t>ables are universally reported to enable meta-analysis to be conducted in future.</w:t>
      </w:r>
    </w:p>
    <w:p w14:paraId="49D3C5AB" w14:textId="77777777" w:rsidR="00D628E1" w:rsidRPr="00C548EC" w:rsidRDefault="00D628E1" w:rsidP="00295714">
      <w:pPr>
        <w:pStyle w:val="ListParagraph"/>
        <w:widowControl w:val="0"/>
        <w:numPr>
          <w:ilvl w:val="0"/>
          <w:numId w:val="20"/>
        </w:numPr>
        <w:autoSpaceDE w:val="0"/>
        <w:autoSpaceDN w:val="0"/>
        <w:adjustRightInd w:val="0"/>
        <w:spacing w:after="240"/>
        <w:rPr>
          <w:rFonts w:cs="Times"/>
        </w:rPr>
      </w:pPr>
      <w:r w:rsidRPr="00C548EC">
        <w:rPr>
          <w:rFonts w:cs="Palatino"/>
        </w:rPr>
        <w:t>We recommend that at minimum, contemporaneous values for hematocrit, fibrinogen concentration and platelet count be reported in addition to TEG/ROTEM results.</w:t>
      </w:r>
    </w:p>
    <w:p w14:paraId="6E7271FE" w14:textId="77777777" w:rsidR="00543222" w:rsidRPr="00C548EC" w:rsidRDefault="00543222" w:rsidP="0017584B">
      <w:pPr>
        <w:widowControl w:val="0"/>
        <w:autoSpaceDE w:val="0"/>
        <w:autoSpaceDN w:val="0"/>
        <w:adjustRightInd w:val="0"/>
        <w:spacing w:after="240"/>
        <w:rPr>
          <w:rFonts w:cs="Times"/>
        </w:rPr>
      </w:pPr>
    </w:p>
    <w:p w14:paraId="51FC576A" w14:textId="77777777" w:rsidR="00295714" w:rsidRPr="00C548EC" w:rsidRDefault="00295714" w:rsidP="00295714">
      <w:pPr>
        <w:widowControl w:val="0"/>
        <w:autoSpaceDE w:val="0"/>
        <w:autoSpaceDN w:val="0"/>
        <w:adjustRightInd w:val="0"/>
        <w:spacing w:after="240"/>
        <w:rPr>
          <w:rFonts w:cs="Times"/>
        </w:rPr>
      </w:pPr>
      <w:r w:rsidRPr="00C548EC">
        <w:rPr>
          <w:rFonts w:cs="Palatino"/>
          <w:i/>
          <w:iCs/>
        </w:rPr>
        <w:t>PICO question</w:t>
      </w:r>
    </w:p>
    <w:p w14:paraId="58B26FFF" w14:textId="453CECC8" w:rsidR="00295714" w:rsidRPr="00C548EC" w:rsidRDefault="00295714" w:rsidP="00295714">
      <w:pPr>
        <w:widowControl w:val="0"/>
        <w:autoSpaceDE w:val="0"/>
        <w:autoSpaceDN w:val="0"/>
        <w:adjustRightInd w:val="0"/>
        <w:spacing w:after="240"/>
        <w:rPr>
          <w:rFonts w:cs="Times"/>
        </w:rPr>
      </w:pPr>
      <w:r w:rsidRPr="00C548EC">
        <w:rPr>
          <w:rFonts w:cs="Palatino"/>
        </w:rPr>
        <w:t xml:space="preserve">In companion animals with hemostatic abnormalities (P), does use of one definition of </w:t>
      </w:r>
      <w:proofErr w:type="spellStart"/>
      <w:r w:rsidRPr="00C548EC">
        <w:rPr>
          <w:rFonts w:cs="Palatino"/>
        </w:rPr>
        <w:t>hypocoagulability</w:t>
      </w:r>
      <w:proofErr w:type="spellEnd"/>
      <w:r w:rsidRPr="00C548EC">
        <w:rPr>
          <w:rFonts w:cs="Palatino"/>
        </w:rPr>
        <w:t xml:space="preserve"> (I) compared with another (C) alter TEG/ROT</w:t>
      </w:r>
      <w:r w:rsidRPr="00C548EC">
        <w:rPr>
          <w:rFonts w:cs="Palatino"/>
        </w:rPr>
        <w:t>EM result in</w:t>
      </w:r>
      <w:r w:rsidRPr="00C548EC">
        <w:rPr>
          <w:rFonts w:cs="Palatino"/>
        </w:rPr>
        <w:t>terpretation (O)?</w:t>
      </w:r>
    </w:p>
    <w:p w14:paraId="22FC26C7" w14:textId="77777777" w:rsidR="006217EA" w:rsidRPr="00C548EC" w:rsidRDefault="006217EA" w:rsidP="006217EA">
      <w:pPr>
        <w:widowControl w:val="0"/>
        <w:autoSpaceDE w:val="0"/>
        <w:autoSpaceDN w:val="0"/>
        <w:adjustRightInd w:val="0"/>
        <w:spacing w:after="240"/>
        <w:rPr>
          <w:rFonts w:cs="Times"/>
        </w:rPr>
      </w:pPr>
      <w:r w:rsidRPr="00C548EC">
        <w:rPr>
          <w:rFonts w:cs="Palatino"/>
          <w:i/>
          <w:iCs/>
        </w:rPr>
        <w:t>Guideline recommendations</w:t>
      </w:r>
    </w:p>
    <w:p w14:paraId="568761CF" w14:textId="77777777" w:rsidR="006217EA" w:rsidRPr="00C548EC" w:rsidRDefault="006217EA" w:rsidP="00C10547">
      <w:pPr>
        <w:pStyle w:val="ListParagraph"/>
        <w:widowControl w:val="0"/>
        <w:numPr>
          <w:ilvl w:val="0"/>
          <w:numId w:val="21"/>
        </w:numPr>
        <w:autoSpaceDE w:val="0"/>
        <w:autoSpaceDN w:val="0"/>
        <w:adjustRightInd w:val="0"/>
        <w:spacing w:after="240"/>
        <w:rPr>
          <w:rFonts w:cs="Palatino"/>
        </w:rPr>
      </w:pPr>
      <w:r w:rsidRPr="00C548EC">
        <w:rPr>
          <w:rFonts w:cs="Palatino"/>
        </w:rPr>
        <w:t xml:space="preserve">There is insufficient evidence to recommend how </w:t>
      </w:r>
      <w:proofErr w:type="spellStart"/>
      <w:r w:rsidRPr="00C548EC">
        <w:rPr>
          <w:rFonts w:cs="Palatino"/>
        </w:rPr>
        <w:t>hypocoagulability</w:t>
      </w:r>
      <w:proofErr w:type="spellEnd"/>
      <w:r w:rsidRPr="00C548EC">
        <w:rPr>
          <w:rFonts w:cs="Palatino"/>
        </w:rPr>
        <w:t xml:space="preserve"> should be defined in companion animals based on TEG/ROTEM parameters at this</w:t>
      </w:r>
      <w:r w:rsidRPr="00C548EC">
        <w:rPr>
          <w:rFonts w:cs="Times"/>
          <w:position w:val="-22"/>
        </w:rPr>
        <w:t xml:space="preserve"> </w:t>
      </w:r>
      <w:r w:rsidRPr="00C548EC">
        <w:rPr>
          <w:rFonts w:cs="Palatino"/>
        </w:rPr>
        <w:t>time. </w:t>
      </w:r>
    </w:p>
    <w:p w14:paraId="6FFCFA65" w14:textId="77777777" w:rsidR="00927464" w:rsidRPr="00C548EC" w:rsidRDefault="006217EA" w:rsidP="00C10547">
      <w:pPr>
        <w:pStyle w:val="ListParagraph"/>
        <w:widowControl w:val="0"/>
        <w:numPr>
          <w:ilvl w:val="0"/>
          <w:numId w:val="21"/>
        </w:numPr>
        <w:autoSpaceDE w:val="0"/>
        <w:autoSpaceDN w:val="0"/>
        <w:adjustRightInd w:val="0"/>
        <w:spacing w:after="240"/>
        <w:rPr>
          <w:rFonts w:cs="Palatino"/>
        </w:rPr>
      </w:pPr>
      <w:r w:rsidRPr="00C548EC">
        <w:rPr>
          <w:rFonts w:cs="Palatino"/>
        </w:rPr>
        <w:t>We suggest that individual studies report sufficient data on patients and controls to enable definitions of</w:t>
      </w:r>
      <w:r w:rsidRPr="00C548EC">
        <w:rPr>
          <w:rFonts w:cs="Times"/>
        </w:rPr>
        <w:t xml:space="preserve"> </w:t>
      </w:r>
      <w:proofErr w:type="spellStart"/>
      <w:r w:rsidRPr="00C548EC">
        <w:rPr>
          <w:rFonts w:cs="Palatino"/>
        </w:rPr>
        <w:t>hypocoagulability</w:t>
      </w:r>
      <w:proofErr w:type="spellEnd"/>
      <w:r w:rsidRPr="00C548EC">
        <w:rPr>
          <w:rFonts w:cs="Palatino"/>
        </w:rPr>
        <w:t xml:space="preserve"> to be evaluated post hoc. </w:t>
      </w:r>
    </w:p>
    <w:p w14:paraId="33CCAE62" w14:textId="571EF232" w:rsidR="006217EA" w:rsidRPr="00C548EC" w:rsidRDefault="006217EA" w:rsidP="00C10547">
      <w:pPr>
        <w:pStyle w:val="ListParagraph"/>
        <w:widowControl w:val="0"/>
        <w:numPr>
          <w:ilvl w:val="0"/>
          <w:numId w:val="21"/>
        </w:numPr>
        <w:autoSpaceDE w:val="0"/>
        <w:autoSpaceDN w:val="0"/>
        <w:adjustRightInd w:val="0"/>
        <w:spacing w:after="240"/>
        <w:rPr>
          <w:rFonts w:cs="Palatino"/>
        </w:rPr>
      </w:pPr>
      <w:r w:rsidRPr="00C548EC">
        <w:rPr>
          <w:rFonts w:cs="Palatino"/>
        </w:rPr>
        <w:t>We recommend that all studies specifically report how</w:t>
      </w:r>
      <w:r w:rsidRPr="00C548EC">
        <w:rPr>
          <w:rFonts w:cs="Times"/>
          <w:position w:val="-22"/>
        </w:rPr>
        <w:t xml:space="preserve"> </w:t>
      </w:r>
      <w:proofErr w:type="spellStart"/>
      <w:r w:rsidRPr="00C548EC">
        <w:rPr>
          <w:rFonts w:cs="Palatino"/>
        </w:rPr>
        <w:t>hypocoagulability</w:t>
      </w:r>
      <w:proofErr w:type="spellEnd"/>
      <w:r w:rsidRPr="00C548EC">
        <w:rPr>
          <w:rFonts w:cs="Palatino"/>
        </w:rPr>
        <w:t xml:space="preserve"> was defined. </w:t>
      </w:r>
    </w:p>
    <w:p w14:paraId="593E4B98" w14:textId="77777777" w:rsidR="00927464" w:rsidRPr="00C548EC" w:rsidRDefault="006217EA" w:rsidP="00C10547">
      <w:pPr>
        <w:pStyle w:val="ListParagraph"/>
        <w:widowControl w:val="0"/>
        <w:numPr>
          <w:ilvl w:val="0"/>
          <w:numId w:val="21"/>
        </w:numPr>
        <w:autoSpaceDE w:val="0"/>
        <w:autoSpaceDN w:val="0"/>
        <w:adjustRightInd w:val="0"/>
        <w:spacing w:after="240"/>
        <w:rPr>
          <w:rFonts w:cs="Palatino"/>
        </w:rPr>
      </w:pPr>
      <w:r w:rsidRPr="00C548EC">
        <w:rPr>
          <w:rFonts w:cs="Palatino"/>
        </w:rPr>
        <w:t xml:space="preserve">We suggest that use of multiple TEG/ROTEM– derived parameters in combination may increase specificity for identification of subsets of </w:t>
      </w:r>
      <w:proofErr w:type="spellStart"/>
      <w:r w:rsidRPr="00C548EC">
        <w:rPr>
          <w:rFonts w:cs="Palatino"/>
        </w:rPr>
        <w:t>hypocoagulability</w:t>
      </w:r>
      <w:proofErr w:type="spellEnd"/>
      <w:r w:rsidRPr="00C548EC">
        <w:rPr>
          <w:rFonts w:cs="Palatino"/>
        </w:rPr>
        <w:t>. </w:t>
      </w:r>
    </w:p>
    <w:p w14:paraId="43B609E7" w14:textId="45E6E17B" w:rsidR="006217EA" w:rsidRPr="00C548EC" w:rsidRDefault="006217EA" w:rsidP="00C10547">
      <w:pPr>
        <w:pStyle w:val="ListParagraph"/>
        <w:widowControl w:val="0"/>
        <w:numPr>
          <w:ilvl w:val="0"/>
          <w:numId w:val="21"/>
        </w:numPr>
        <w:autoSpaceDE w:val="0"/>
        <w:autoSpaceDN w:val="0"/>
        <w:adjustRightInd w:val="0"/>
        <w:spacing w:after="240"/>
        <w:rPr>
          <w:rFonts w:cs="Palatino"/>
        </w:rPr>
      </w:pPr>
      <w:r w:rsidRPr="00C548EC">
        <w:rPr>
          <w:rFonts w:cs="Palatino"/>
        </w:rPr>
        <w:t>We recommend that</w:t>
      </w:r>
      <w:r w:rsidRPr="00C548EC">
        <w:rPr>
          <w:rFonts w:cs="Palatino"/>
        </w:rPr>
        <w:t xml:space="preserve"> all 4 standard TEG/ROTEM vari</w:t>
      </w:r>
      <w:r w:rsidRPr="00C548EC">
        <w:rPr>
          <w:rFonts w:cs="Palatino"/>
        </w:rPr>
        <w:t>ables are universally reported to enable meta-analysis</w:t>
      </w:r>
      <w:r w:rsidRPr="00C548EC">
        <w:rPr>
          <w:rFonts w:cs="Times"/>
        </w:rPr>
        <w:t xml:space="preserve"> </w:t>
      </w:r>
      <w:r w:rsidRPr="00C548EC">
        <w:rPr>
          <w:rFonts w:cs="Palatino"/>
        </w:rPr>
        <w:t>to be conducted in future. </w:t>
      </w:r>
    </w:p>
    <w:p w14:paraId="218B7FC4" w14:textId="49DF139E" w:rsidR="006217EA" w:rsidRPr="00C548EC" w:rsidRDefault="006217EA" w:rsidP="00C10547">
      <w:pPr>
        <w:pStyle w:val="ListParagraph"/>
        <w:widowControl w:val="0"/>
        <w:numPr>
          <w:ilvl w:val="0"/>
          <w:numId w:val="21"/>
        </w:numPr>
        <w:autoSpaceDE w:val="0"/>
        <w:autoSpaceDN w:val="0"/>
        <w:adjustRightInd w:val="0"/>
        <w:spacing w:after="240"/>
        <w:rPr>
          <w:rFonts w:cs="Times"/>
        </w:rPr>
      </w:pPr>
      <w:r w:rsidRPr="00C548EC">
        <w:rPr>
          <w:rFonts w:cs="Palatino"/>
        </w:rPr>
        <w:t>We recommend that values for hematocrit, fibrinogen concentration, and plat</w:t>
      </w:r>
      <w:r w:rsidRPr="00C548EC">
        <w:rPr>
          <w:rFonts w:cs="Palatino"/>
        </w:rPr>
        <w:t>elet count be reported in addi</w:t>
      </w:r>
      <w:r w:rsidRPr="00C548EC">
        <w:rPr>
          <w:rFonts w:cs="Palatino"/>
        </w:rPr>
        <w:t>tion to TEG/ROTEM results.</w:t>
      </w:r>
    </w:p>
    <w:p w14:paraId="57DCEEC9" w14:textId="77777777" w:rsidR="00295714" w:rsidRPr="00C548EC" w:rsidRDefault="00295714" w:rsidP="0017584B">
      <w:pPr>
        <w:widowControl w:val="0"/>
        <w:autoSpaceDE w:val="0"/>
        <w:autoSpaceDN w:val="0"/>
        <w:adjustRightInd w:val="0"/>
        <w:spacing w:after="240"/>
        <w:rPr>
          <w:rFonts w:cs="Times"/>
        </w:rPr>
      </w:pPr>
    </w:p>
    <w:p w14:paraId="36666404" w14:textId="77777777" w:rsidR="00C10547" w:rsidRPr="00C548EC" w:rsidRDefault="00C10547" w:rsidP="00C10547">
      <w:pPr>
        <w:widowControl w:val="0"/>
        <w:autoSpaceDE w:val="0"/>
        <w:autoSpaceDN w:val="0"/>
        <w:adjustRightInd w:val="0"/>
        <w:spacing w:after="240"/>
        <w:rPr>
          <w:rFonts w:cs="Times"/>
        </w:rPr>
      </w:pPr>
      <w:r w:rsidRPr="00C548EC">
        <w:rPr>
          <w:rFonts w:cs="Palatino"/>
          <w:i/>
          <w:iCs/>
        </w:rPr>
        <w:t>PICO question</w:t>
      </w:r>
    </w:p>
    <w:p w14:paraId="1117D109" w14:textId="77777777" w:rsidR="00C10547" w:rsidRPr="00C548EC" w:rsidRDefault="00C10547" w:rsidP="00C10547">
      <w:pPr>
        <w:widowControl w:val="0"/>
        <w:autoSpaceDE w:val="0"/>
        <w:autoSpaceDN w:val="0"/>
        <w:adjustRightInd w:val="0"/>
        <w:spacing w:after="240"/>
        <w:rPr>
          <w:rFonts w:cs="Times"/>
        </w:rPr>
      </w:pPr>
      <w:r w:rsidRPr="00C548EC">
        <w:rPr>
          <w:rFonts w:cs="Palatino"/>
        </w:rPr>
        <w:t>In companion animals with hemostatic abnormalities (P), does use of the coagulation index (</w:t>
      </w:r>
      <w:r w:rsidRPr="00C548EC">
        <w:rPr>
          <w:rFonts w:cs="Palatino"/>
          <w:i/>
          <w:iCs/>
        </w:rPr>
        <w:t>CI</w:t>
      </w:r>
      <w:r w:rsidRPr="00C548EC">
        <w:rPr>
          <w:rFonts w:cs="Palatino"/>
        </w:rPr>
        <w:t>, I) compared with standard parameters (C) alter TEG/ROTEM result interpretation (O)?</w:t>
      </w:r>
    </w:p>
    <w:p w14:paraId="18539CE1" w14:textId="77777777" w:rsidR="00375BCE" w:rsidRPr="00C548EC" w:rsidRDefault="00375BCE" w:rsidP="00375BCE">
      <w:pPr>
        <w:widowControl w:val="0"/>
        <w:autoSpaceDE w:val="0"/>
        <w:autoSpaceDN w:val="0"/>
        <w:adjustRightInd w:val="0"/>
        <w:spacing w:after="240"/>
        <w:rPr>
          <w:rFonts w:cs="Times"/>
        </w:rPr>
      </w:pPr>
      <w:r w:rsidRPr="00C548EC">
        <w:rPr>
          <w:rFonts w:cs="Palatino"/>
          <w:i/>
          <w:iCs/>
        </w:rPr>
        <w:t>Guideline recommendations</w:t>
      </w:r>
    </w:p>
    <w:p w14:paraId="1715859D" w14:textId="19BBCDD3" w:rsidR="00375BCE" w:rsidRPr="00C548EC" w:rsidRDefault="00375BCE" w:rsidP="001A6632">
      <w:pPr>
        <w:pStyle w:val="ListParagraph"/>
        <w:widowControl w:val="0"/>
        <w:numPr>
          <w:ilvl w:val="0"/>
          <w:numId w:val="22"/>
        </w:numPr>
        <w:autoSpaceDE w:val="0"/>
        <w:autoSpaceDN w:val="0"/>
        <w:adjustRightInd w:val="0"/>
        <w:spacing w:after="240"/>
        <w:rPr>
          <w:rFonts w:cs="Times"/>
        </w:rPr>
      </w:pPr>
      <w:r w:rsidRPr="00C548EC">
        <w:rPr>
          <w:rFonts w:cs="Palatino"/>
        </w:rPr>
        <w:t>There is currently insuffi</w:t>
      </w:r>
      <w:r w:rsidRPr="00C548EC">
        <w:rPr>
          <w:rFonts w:cs="Palatino"/>
        </w:rPr>
        <w:t>cient evidence to make a recom</w:t>
      </w:r>
      <w:r w:rsidRPr="00C548EC">
        <w:rPr>
          <w:rFonts w:cs="Palatino"/>
        </w:rPr>
        <w:t xml:space="preserve">mendation regarding use of a </w:t>
      </w:r>
      <w:r w:rsidRPr="00C548EC">
        <w:rPr>
          <w:rFonts w:cs="Palatino"/>
          <w:i/>
          <w:iCs/>
        </w:rPr>
        <w:t xml:space="preserve">CI </w:t>
      </w:r>
      <w:r w:rsidRPr="00C548EC">
        <w:rPr>
          <w:rFonts w:cs="Palatino"/>
        </w:rPr>
        <w:t>in companion animals.</w:t>
      </w:r>
    </w:p>
    <w:p w14:paraId="2FB383CB" w14:textId="3B1EDCDB" w:rsidR="00375BCE" w:rsidRPr="00C548EC" w:rsidRDefault="00375BCE" w:rsidP="001A6632">
      <w:pPr>
        <w:pStyle w:val="ListParagraph"/>
        <w:widowControl w:val="0"/>
        <w:numPr>
          <w:ilvl w:val="0"/>
          <w:numId w:val="22"/>
        </w:numPr>
        <w:autoSpaceDE w:val="0"/>
        <w:autoSpaceDN w:val="0"/>
        <w:adjustRightInd w:val="0"/>
        <w:spacing w:after="240"/>
        <w:rPr>
          <w:rFonts w:cs="Times"/>
        </w:rPr>
      </w:pPr>
      <w:r w:rsidRPr="00C548EC">
        <w:rPr>
          <w:rFonts w:cs="Palatino"/>
        </w:rPr>
        <w:t>(</w:t>
      </w:r>
      <w:r w:rsidRPr="00C548EC">
        <w:rPr>
          <w:rFonts w:cs="Palatino"/>
          <w:i/>
          <w:iCs/>
        </w:rPr>
        <w:t xml:space="preserve">CI </w:t>
      </w:r>
      <w:r w:rsidRPr="00C548EC">
        <w:rPr>
          <w:rFonts w:cs="Times"/>
        </w:rPr>
        <w:t>= −</w:t>
      </w:r>
      <w:r w:rsidRPr="00C548EC">
        <w:rPr>
          <w:rFonts w:cs="Palatino"/>
        </w:rPr>
        <w:t>0.245</w:t>
      </w:r>
      <w:r w:rsidRPr="00C548EC">
        <w:rPr>
          <w:rFonts w:cs="Palatino"/>
          <w:i/>
          <w:iCs/>
        </w:rPr>
        <w:t xml:space="preserve">R </w:t>
      </w:r>
      <w:r w:rsidRPr="00C548EC">
        <w:rPr>
          <w:rFonts w:cs="Times"/>
        </w:rPr>
        <w:t xml:space="preserve">+ </w:t>
      </w:r>
      <w:r w:rsidRPr="00C548EC">
        <w:rPr>
          <w:rFonts w:cs="Palatino"/>
        </w:rPr>
        <w:t>0.0184</w:t>
      </w:r>
      <w:r w:rsidRPr="00C548EC">
        <w:rPr>
          <w:rFonts w:cs="Palatino"/>
          <w:i/>
          <w:iCs/>
        </w:rPr>
        <w:t xml:space="preserve">K </w:t>
      </w:r>
      <w:r w:rsidRPr="00C548EC">
        <w:rPr>
          <w:rFonts w:cs="Times"/>
        </w:rPr>
        <w:t xml:space="preserve">+ </w:t>
      </w:r>
      <w:r w:rsidRPr="00C548EC">
        <w:rPr>
          <w:rFonts w:cs="Palatino"/>
        </w:rPr>
        <w:t>0.1655</w:t>
      </w:r>
      <w:r w:rsidRPr="00C548EC">
        <w:rPr>
          <w:rFonts w:cs="Palatino"/>
          <w:i/>
          <w:iCs/>
        </w:rPr>
        <w:t xml:space="preserve">MA </w:t>
      </w:r>
      <w:r w:rsidRPr="00C548EC">
        <w:rPr>
          <w:rFonts w:cs="Times"/>
        </w:rPr>
        <w:t xml:space="preserve">− </w:t>
      </w:r>
      <w:r w:rsidRPr="00C548EC">
        <w:rPr>
          <w:rFonts w:cs="Palatino"/>
        </w:rPr>
        <w:t>0.0241</w:t>
      </w:r>
      <w:r w:rsidRPr="00C548EC">
        <w:rPr>
          <w:rFonts w:cs="Times"/>
        </w:rPr>
        <w:t>][α</w:t>
      </w:r>
      <w:r w:rsidRPr="00C548EC">
        <w:rPr>
          <w:rFonts w:cs="Times"/>
        </w:rPr>
        <w:t xml:space="preserve"> − </w:t>
      </w:r>
      <w:r w:rsidRPr="00C548EC">
        <w:rPr>
          <w:rFonts w:cs="Palatino"/>
        </w:rPr>
        <w:t>5.0220) is not used for companion animals.</w:t>
      </w:r>
    </w:p>
    <w:p w14:paraId="1F3532FE" w14:textId="7B193E2E" w:rsidR="00375BCE" w:rsidRPr="00C548EC" w:rsidRDefault="00375BCE" w:rsidP="001A6632">
      <w:pPr>
        <w:pStyle w:val="ListParagraph"/>
        <w:widowControl w:val="0"/>
        <w:numPr>
          <w:ilvl w:val="0"/>
          <w:numId w:val="22"/>
        </w:numPr>
        <w:autoSpaceDE w:val="0"/>
        <w:autoSpaceDN w:val="0"/>
        <w:adjustRightInd w:val="0"/>
        <w:spacing w:after="240"/>
        <w:rPr>
          <w:rFonts w:cs="Times"/>
        </w:rPr>
      </w:pPr>
      <w:r w:rsidRPr="00C548EC">
        <w:rPr>
          <w:rFonts w:cs="Palatino"/>
        </w:rPr>
        <w:t xml:space="preserve">We suggest that the </w:t>
      </w:r>
      <w:r w:rsidRPr="00C548EC">
        <w:rPr>
          <w:rFonts w:cs="Palatino"/>
          <w:i/>
          <w:iCs/>
        </w:rPr>
        <w:t xml:space="preserve">CI </w:t>
      </w:r>
      <w:r w:rsidRPr="00C548EC">
        <w:rPr>
          <w:rFonts w:cs="Palatino"/>
        </w:rPr>
        <w:t>equation derived for dogs (</w:t>
      </w:r>
      <w:r w:rsidRPr="00C548EC">
        <w:rPr>
          <w:rFonts w:cs="Palatino"/>
          <w:i/>
          <w:iCs/>
        </w:rPr>
        <w:t>CI</w:t>
      </w:r>
      <w:r w:rsidRPr="00C548EC">
        <w:rPr>
          <w:rFonts w:cs="Times"/>
        </w:rPr>
        <w:t xml:space="preserve"> </w:t>
      </w:r>
      <w:r w:rsidRPr="00C548EC">
        <w:rPr>
          <w:rFonts w:cs="Times"/>
        </w:rPr>
        <w:t xml:space="preserve">= </w:t>
      </w:r>
      <w:r w:rsidRPr="00C548EC">
        <w:rPr>
          <w:rFonts w:cs="Palatino"/>
        </w:rPr>
        <w:t>0.1227</w:t>
      </w:r>
      <w:r w:rsidRPr="00C548EC">
        <w:rPr>
          <w:rFonts w:cs="Palatino"/>
          <w:i/>
          <w:iCs/>
        </w:rPr>
        <w:t xml:space="preserve">R </w:t>
      </w:r>
      <w:r w:rsidRPr="00C548EC">
        <w:rPr>
          <w:rFonts w:cs="Times"/>
        </w:rPr>
        <w:t xml:space="preserve">+ </w:t>
      </w:r>
      <w:r w:rsidRPr="00C548EC">
        <w:rPr>
          <w:rFonts w:cs="Palatino"/>
        </w:rPr>
        <w:t>0.0092</w:t>
      </w:r>
      <w:r w:rsidRPr="00C548EC">
        <w:rPr>
          <w:rFonts w:cs="Palatino"/>
          <w:i/>
          <w:iCs/>
        </w:rPr>
        <w:t xml:space="preserve">K </w:t>
      </w:r>
      <w:r w:rsidRPr="00C548EC">
        <w:rPr>
          <w:rFonts w:cs="Times"/>
        </w:rPr>
        <w:t xml:space="preserve">+ </w:t>
      </w:r>
      <w:r w:rsidRPr="00C548EC">
        <w:rPr>
          <w:rFonts w:cs="Palatino"/>
        </w:rPr>
        <w:t>0.1655</w:t>
      </w:r>
      <w:r w:rsidRPr="00C548EC">
        <w:rPr>
          <w:rFonts w:cs="Palatino"/>
          <w:i/>
          <w:iCs/>
        </w:rPr>
        <w:t xml:space="preserve">MA </w:t>
      </w:r>
      <w:r w:rsidRPr="00C548EC">
        <w:rPr>
          <w:rFonts w:cs="Times"/>
        </w:rPr>
        <w:t xml:space="preserve">− </w:t>
      </w:r>
      <w:r w:rsidRPr="00C548EC">
        <w:rPr>
          <w:rFonts w:cs="Palatino"/>
        </w:rPr>
        <w:t>0.0241</w:t>
      </w:r>
      <w:r w:rsidRPr="00C548EC">
        <w:rPr>
          <w:rFonts w:cs="Times"/>
        </w:rPr>
        <w:t>α</w:t>
      </w:r>
      <w:r w:rsidRPr="00C548EC">
        <w:rPr>
          <w:rFonts w:cs="Times"/>
        </w:rPr>
        <w:t xml:space="preserve"> − </w:t>
      </w:r>
      <w:r w:rsidRPr="00C548EC">
        <w:rPr>
          <w:rFonts w:cs="Palatino"/>
        </w:rPr>
        <w:t>5.0220) may be considered for use in that species.</w:t>
      </w:r>
    </w:p>
    <w:p w14:paraId="56F20846" w14:textId="256AAC51" w:rsidR="00375BCE" w:rsidRPr="00C548EC" w:rsidRDefault="00375BCE" w:rsidP="001A6632">
      <w:pPr>
        <w:pStyle w:val="ListParagraph"/>
        <w:widowControl w:val="0"/>
        <w:numPr>
          <w:ilvl w:val="0"/>
          <w:numId w:val="22"/>
        </w:numPr>
        <w:autoSpaceDE w:val="0"/>
        <w:autoSpaceDN w:val="0"/>
        <w:adjustRightInd w:val="0"/>
        <w:spacing w:after="240"/>
        <w:rPr>
          <w:rFonts w:cs="Times"/>
        </w:rPr>
      </w:pPr>
      <w:r w:rsidRPr="00C548EC">
        <w:rPr>
          <w:rFonts w:cs="Palatino"/>
        </w:rPr>
        <w:t xml:space="preserve">We recommend that all 4 standard TEG/ROTEM </w:t>
      </w:r>
      <w:proofErr w:type="spellStart"/>
      <w:r w:rsidRPr="00C548EC">
        <w:rPr>
          <w:rFonts w:cs="Palatino"/>
        </w:rPr>
        <w:t>vari</w:t>
      </w:r>
      <w:proofErr w:type="spellEnd"/>
      <w:r w:rsidRPr="00C548EC">
        <w:rPr>
          <w:rFonts w:cs="Palatino"/>
        </w:rPr>
        <w:t xml:space="preserve">- </w:t>
      </w:r>
      <w:proofErr w:type="spellStart"/>
      <w:r w:rsidRPr="00C548EC">
        <w:rPr>
          <w:rFonts w:cs="Palatino"/>
        </w:rPr>
        <w:t>ables</w:t>
      </w:r>
      <w:proofErr w:type="spellEnd"/>
      <w:r w:rsidRPr="00C548EC">
        <w:rPr>
          <w:rFonts w:cs="Palatino"/>
        </w:rPr>
        <w:t xml:space="preserve"> (</w:t>
      </w:r>
      <w:r w:rsidRPr="00C548EC">
        <w:rPr>
          <w:rFonts w:cs="Palatino"/>
          <w:i/>
          <w:iCs/>
        </w:rPr>
        <w:t>R</w:t>
      </w:r>
      <w:r w:rsidRPr="00C548EC">
        <w:rPr>
          <w:rFonts w:cs="Palatino"/>
        </w:rPr>
        <w:t xml:space="preserve">, </w:t>
      </w:r>
      <w:r w:rsidRPr="00C548EC">
        <w:rPr>
          <w:rFonts w:cs="Palatino"/>
          <w:i/>
          <w:iCs/>
        </w:rPr>
        <w:t>K</w:t>
      </w:r>
      <w:r w:rsidRPr="00C548EC">
        <w:rPr>
          <w:rFonts w:cs="Palatino"/>
        </w:rPr>
        <w:t xml:space="preserve">, </w:t>
      </w:r>
      <w:r w:rsidRPr="00C548EC">
        <w:rPr>
          <w:rFonts w:cs="Times"/>
        </w:rPr>
        <w:t>α</w:t>
      </w:r>
      <w:r w:rsidRPr="00C548EC">
        <w:rPr>
          <w:rFonts w:cs="Palatino"/>
        </w:rPr>
        <w:t xml:space="preserve">, </w:t>
      </w:r>
      <w:r w:rsidRPr="00C548EC">
        <w:rPr>
          <w:rFonts w:cs="Palatino"/>
          <w:i/>
          <w:iCs/>
        </w:rPr>
        <w:t>MA</w:t>
      </w:r>
      <w:r w:rsidRPr="00C548EC">
        <w:rPr>
          <w:rFonts w:cs="Palatino"/>
        </w:rPr>
        <w:t xml:space="preserve">/clotting time, </w:t>
      </w:r>
      <w:r w:rsidRPr="00C548EC">
        <w:rPr>
          <w:rFonts w:cs="Palatino"/>
          <w:i/>
          <w:iCs/>
        </w:rPr>
        <w:t>CFT</w:t>
      </w:r>
      <w:r w:rsidRPr="00C548EC">
        <w:rPr>
          <w:rFonts w:cs="Palatino"/>
        </w:rPr>
        <w:t xml:space="preserve">, </w:t>
      </w:r>
      <w:r w:rsidRPr="00C548EC">
        <w:rPr>
          <w:rFonts w:cs="Times"/>
        </w:rPr>
        <w:t>α</w:t>
      </w:r>
      <w:r w:rsidRPr="00C548EC">
        <w:rPr>
          <w:rFonts w:cs="Palatino"/>
        </w:rPr>
        <w:t xml:space="preserve">, </w:t>
      </w:r>
      <w:r w:rsidRPr="00C548EC">
        <w:rPr>
          <w:rFonts w:cs="Palatino"/>
          <w:i/>
          <w:iCs/>
        </w:rPr>
        <w:t>MCF</w:t>
      </w:r>
      <w:r w:rsidRPr="00C548EC">
        <w:rPr>
          <w:rFonts w:cs="Palatino"/>
        </w:rPr>
        <w:t xml:space="preserve">) are universally reported to enable calculation of a </w:t>
      </w:r>
      <w:r w:rsidRPr="00C548EC">
        <w:rPr>
          <w:rFonts w:cs="Palatino"/>
          <w:i/>
          <w:iCs/>
        </w:rPr>
        <w:t xml:space="preserve">CI </w:t>
      </w:r>
      <w:r w:rsidRPr="00C548EC">
        <w:rPr>
          <w:rFonts w:cs="Palatino"/>
        </w:rPr>
        <w:t>post hoc if required.</w:t>
      </w:r>
    </w:p>
    <w:p w14:paraId="765130BB" w14:textId="77777777" w:rsidR="00123396" w:rsidRPr="00C548EC" w:rsidRDefault="00123396" w:rsidP="00123396">
      <w:pPr>
        <w:widowControl w:val="0"/>
        <w:autoSpaceDE w:val="0"/>
        <w:autoSpaceDN w:val="0"/>
        <w:adjustRightInd w:val="0"/>
        <w:spacing w:after="240"/>
        <w:rPr>
          <w:rFonts w:cs="Palatino"/>
          <w:i/>
          <w:iCs/>
        </w:rPr>
      </w:pPr>
    </w:p>
    <w:p w14:paraId="641A6863" w14:textId="77777777" w:rsidR="00123396" w:rsidRPr="00C548EC" w:rsidRDefault="00123396" w:rsidP="00123396">
      <w:pPr>
        <w:widowControl w:val="0"/>
        <w:autoSpaceDE w:val="0"/>
        <w:autoSpaceDN w:val="0"/>
        <w:adjustRightInd w:val="0"/>
        <w:spacing w:after="240"/>
        <w:rPr>
          <w:rFonts w:cs="Times"/>
        </w:rPr>
      </w:pPr>
      <w:r w:rsidRPr="00C548EC">
        <w:rPr>
          <w:rFonts w:cs="Palatino"/>
          <w:i/>
          <w:iCs/>
        </w:rPr>
        <w:t>PICO question</w:t>
      </w:r>
    </w:p>
    <w:p w14:paraId="6423799A" w14:textId="134F4BE9" w:rsidR="00123396" w:rsidRPr="00C548EC" w:rsidRDefault="00123396" w:rsidP="00123396">
      <w:pPr>
        <w:widowControl w:val="0"/>
        <w:autoSpaceDE w:val="0"/>
        <w:autoSpaceDN w:val="0"/>
        <w:adjustRightInd w:val="0"/>
        <w:spacing w:after="240"/>
        <w:rPr>
          <w:rFonts w:cs="Times"/>
        </w:rPr>
      </w:pPr>
      <w:r w:rsidRPr="00C548EC">
        <w:rPr>
          <w:rFonts w:cs="Palatino"/>
        </w:rPr>
        <w:t xml:space="preserve">In companion animals with hemostatic abnormalities (P), does use of one definition of </w:t>
      </w:r>
      <w:proofErr w:type="spellStart"/>
      <w:r w:rsidRPr="00C548EC">
        <w:rPr>
          <w:rFonts w:cs="Palatino"/>
        </w:rPr>
        <w:t>hyperfibrinolysis</w:t>
      </w:r>
      <w:proofErr w:type="spellEnd"/>
      <w:r w:rsidRPr="00C548EC">
        <w:rPr>
          <w:rFonts w:cs="Palatino"/>
        </w:rPr>
        <w:t xml:space="preserve"> (I) compared with another</w:t>
      </w:r>
      <w:r w:rsidRPr="00C548EC">
        <w:rPr>
          <w:rFonts w:cs="Palatino"/>
        </w:rPr>
        <w:t xml:space="preserve"> (C) alter TEG/ROTEM result in</w:t>
      </w:r>
      <w:r w:rsidRPr="00C548EC">
        <w:rPr>
          <w:rFonts w:cs="Palatino"/>
        </w:rPr>
        <w:t>terpretation (O)?</w:t>
      </w:r>
    </w:p>
    <w:p w14:paraId="3FFCE867" w14:textId="77777777" w:rsidR="00123396" w:rsidRPr="00C548EC" w:rsidRDefault="00123396" w:rsidP="00123396">
      <w:pPr>
        <w:widowControl w:val="0"/>
        <w:autoSpaceDE w:val="0"/>
        <w:autoSpaceDN w:val="0"/>
        <w:adjustRightInd w:val="0"/>
        <w:spacing w:after="240"/>
        <w:rPr>
          <w:rFonts w:cs="Times"/>
        </w:rPr>
      </w:pPr>
      <w:r w:rsidRPr="00C548EC">
        <w:rPr>
          <w:rFonts w:cs="Palatino"/>
          <w:i/>
          <w:iCs/>
        </w:rPr>
        <w:t>Guideline recommendations</w:t>
      </w:r>
    </w:p>
    <w:p w14:paraId="6C7014E5" w14:textId="77777777" w:rsidR="00123396" w:rsidRPr="00C548EC" w:rsidRDefault="00123396" w:rsidP="007E4F4D">
      <w:pPr>
        <w:pStyle w:val="ListParagraph"/>
        <w:widowControl w:val="0"/>
        <w:numPr>
          <w:ilvl w:val="0"/>
          <w:numId w:val="23"/>
        </w:numPr>
        <w:autoSpaceDE w:val="0"/>
        <w:autoSpaceDN w:val="0"/>
        <w:adjustRightInd w:val="0"/>
        <w:spacing w:after="240"/>
        <w:rPr>
          <w:rFonts w:cs="Palatino"/>
        </w:rPr>
      </w:pPr>
      <w:r w:rsidRPr="00C548EC">
        <w:rPr>
          <w:rFonts w:cs="Palatino"/>
        </w:rPr>
        <w:t xml:space="preserve">There is insufficient evidence to recommend how </w:t>
      </w:r>
      <w:proofErr w:type="spellStart"/>
      <w:r w:rsidRPr="00C548EC">
        <w:rPr>
          <w:rFonts w:cs="Palatino"/>
        </w:rPr>
        <w:t>h</w:t>
      </w:r>
      <w:r w:rsidRPr="00C548EC">
        <w:rPr>
          <w:rFonts w:cs="Palatino"/>
        </w:rPr>
        <w:t>y</w:t>
      </w:r>
      <w:r w:rsidRPr="00C548EC">
        <w:rPr>
          <w:rFonts w:cs="Palatino"/>
        </w:rPr>
        <w:t>perfibrinolysis</w:t>
      </w:r>
      <w:proofErr w:type="spellEnd"/>
      <w:r w:rsidRPr="00C548EC">
        <w:rPr>
          <w:rFonts w:cs="Palatino"/>
        </w:rPr>
        <w:t xml:space="preserve"> sho</w:t>
      </w:r>
      <w:r w:rsidRPr="00C548EC">
        <w:rPr>
          <w:rFonts w:cs="Palatino"/>
        </w:rPr>
        <w:t>uld be defined in companion ani</w:t>
      </w:r>
      <w:r w:rsidRPr="00C548EC">
        <w:rPr>
          <w:rFonts w:cs="Palatino"/>
        </w:rPr>
        <w:t xml:space="preserve">mals based on TEG/ROTEM parameters at this time. </w:t>
      </w:r>
    </w:p>
    <w:p w14:paraId="01A929E4" w14:textId="77777777" w:rsidR="00123396" w:rsidRPr="00C548EC" w:rsidRDefault="00123396" w:rsidP="007E4F4D">
      <w:pPr>
        <w:pStyle w:val="ListParagraph"/>
        <w:widowControl w:val="0"/>
        <w:numPr>
          <w:ilvl w:val="0"/>
          <w:numId w:val="23"/>
        </w:numPr>
        <w:autoSpaceDE w:val="0"/>
        <w:autoSpaceDN w:val="0"/>
        <w:adjustRightInd w:val="0"/>
        <w:spacing w:after="240"/>
        <w:rPr>
          <w:rFonts w:cs="Palatino"/>
        </w:rPr>
      </w:pPr>
      <w:r w:rsidRPr="00C548EC">
        <w:rPr>
          <w:rFonts w:cs="Palatino"/>
        </w:rPr>
        <w:t>We suggest that individual studies report sufficient data on patients and controls to enable definitions of</w:t>
      </w:r>
      <w:r w:rsidRPr="00C548EC">
        <w:rPr>
          <w:rFonts w:cs="Times"/>
        </w:rPr>
        <w:t xml:space="preserve"> </w:t>
      </w:r>
      <w:proofErr w:type="spellStart"/>
      <w:r w:rsidRPr="00C548EC">
        <w:rPr>
          <w:rFonts w:cs="Palatino"/>
        </w:rPr>
        <w:t>hyperfibrinolysis</w:t>
      </w:r>
      <w:proofErr w:type="spellEnd"/>
      <w:r w:rsidRPr="00C548EC">
        <w:rPr>
          <w:rFonts w:cs="Palatino"/>
        </w:rPr>
        <w:t xml:space="preserve"> to be evaluated post hoc. </w:t>
      </w:r>
    </w:p>
    <w:p w14:paraId="3669077E" w14:textId="51B8C600" w:rsidR="00123396" w:rsidRPr="00C548EC" w:rsidRDefault="00123396" w:rsidP="007E4F4D">
      <w:pPr>
        <w:pStyle w:val="ListParagraph"/>
        <w:widowControl w:val="0"/>
        <w:numPr>
          <w:ilvl w:val="0"/>
          <w:numId w:val="23"/>
        </w:numPr>
        <w:autoSpaceDE w:val="0"/>
        <w:autoSpaceDN w:val="0"/>
        <w:adjustRightInd w:val="0"/>
        <w:spacing w:after="240"/>
        <w:rPr>
          <w:rFonts w:cs="Times"/>
        </w:rPr>
      </w:pPr>
      <w:r w:rsidRPr="00C548EC">
        <w:rPr>
          <w:rFonts w:cs="Palatino"/>
        </w:rPr>
        <w:t xml:space="preserve">We suggest that the TEG variables (LY30, LY60, CL30 [CL is clot </w:t>
      </w:r>
      <w:proofErr w:type="spellStart"/>
      <w:r w:rsidRPr="00C548EC">
        <w:rPr>
          <w:rFonts w:cs="Palatino"/>
        </w:rPr>
        <w:t>lysis</w:t>
      </w:r>
      <w:proofErr w:type="spellEnd"/>
      <w:r w:rsidRPr="00C548EC">
        <w:rPr>
          <w:rFonts w:cs="Palatino"/>
        </w:rPr>
        <w:t xml:space="preserve">], CL60) and the ROTEM variables (LI30, LI60, maximum </w:t>
      </w:r>
      <w:proofErr w:type="spellStart"/>
      <w:r w:rsidRPr="00C548EC">
        <w:rPr>
          <w:rFonts w:cs="Palatino"/>
        </w:rPr>
        <w:t>lysis</w:t>
      </w:r>
      <w:proofErr w:type="spellEnd"/>
      <w:r w:rsidRPr="00C548EC">
        <w:rPr>
          <w:rFonts w:cs="Palatino"/>
        </w:rPr>
        <w:t xml:space="preserve">, </w:t>
      </w:r>
      <w:proofErr w:type="spellStart"/>
      <w:r w:rsidRPr="00C548EC">
        <w:rPr>
          <w:rFonts w:cs="Palatino"/>
        </w:rPr>
        <w:t>lysis</w:t>
      </w:r>
      <w:proofErr w:type="spellEnd"/>
      <w:r w:rsidRPr="00C548EC">
        <w:rPr>
          <w:rFonts w:cs="Palatino"/>
        </w:rPr>
        <w:t xml:space="preserve"> onset time, and </w:t>
      </w:r>
      <w:proofErr w:type="spellStart"/>
      <w:r w:rsidRPr="00C548EC">
        <w:rPr>
          <w:rFonts w:cs="Palatino"/>
        </w:rPr>
        <w:t>lysis</w:t>
      </w:r>
      <w:proofErr w:type="spellEnd"/>
      <w:r w:rsidRPr="00C548EC">
        <w:rPr>
          <w:rFonts w:cs="Palatino"/>
        </w:rPr>
        <w:t xml:space="preserve"> time) be universally reported to enable meta-analyses to be conducted in the future.</w:t>
      </w:r>
    </w:p>
    <w:p w14:paraId="196D5E1E" w14:textId="77777777" w:rsidR="00C10547" w:rsidRPr="00C548EC" w:rsidRDefault="00C10547" w:rsidP="0017584B">
      <w:pPr>
        <w:widowControl w:val="0"/>
        <w:autoSpaceDE w:val="0"/>
        <w:autoSpaceDN w:val="0"/>
        <w:adjustRightInd w:val="0"/>
        <w:spacing w:after="240"/>
        <w:rPr>
          <w:rFonts w:cs="Times"/>
        </w:rPr>
      </w:pPr>
    </w:p>
    <w:p w14:paraId="4AFF723B" w14:textId="77777777" w:rsidR="007E4F4D" w:rsidRPr="00C548EC" w:rsidRDefault="007E4F4D" w:rsidP="007E4F4D">
      <w:pPr>
        <w:widowControl w:val="0"/>
        <w:autoSpaceDE w:val="0"/>
        <w:autoSpaceDN w:val="0"/>
        <w:adjustRightInd w:val="0"/>
        <w:spacing w:after="240"/>
        <w:rPr>
          <w:rFonts w:cs="Times"/>
        </w:rPr>
      </w:pPr>
      <w:r w:rsidRPr="00C548EC">
        <w:rPr>
          <w:rFonts w:cs="Palatino"/>
          <w:i/>
          <w:iCs/>
        </w:rPr>
        <w:t>PICO question</w:t>
      </w:r>
    </w:p>
    <w:p w14:paraId="44CE2144" w14:textId="4FDABC58" w:rsidR="007E4F4D" w:rsidRPr="00C548EC" w:rsidRDefault="007E4F4D" w:rsidP="007E4F4D">
      <w:pPr>
        <w:widowControl w:val="0"/>
        <w:autoSpaceDE w:val="0"/>
        <w:autoSpaceDN w:val="0"/>
        <w:adjustRightInd w:val="0"/>
        <w:spacing w:after="240"/>
        <w:rPr>
          <w:rFonts w:cs="Times"/>
        </w:rPr>
      </w:pPr>
      <w:r w:rsidRPr="00C548EC">
        <w:rPr>
          <w:rFonts w:cs="Palatino"/>
        </w:rPr>
        <w:t>In companion animals with hemostatic abnormalities (P), does use of one definit</w:t>
      </w:r>
      <w:r w:rsidRPr="00C548EC">
        <w:rPr>
          <w:rFonts w:cs="Palatino"/>
        </w:rPr>
        <w:t xml:space="preserve">ion of </w:t>
      </w:r>
      <w:proofErr w:type="spellStart"/>
      <w:r w:rsidRPr="00C548EC">
        <w:rPr>
          <w:rFonts w:cs="Palatino"/>
        </w:rPr>
        <w:t>hypofibrinolysis</w:t>
      </w:r>
      <w:proofErr w:type="spellEnd"/>
      <w:r w:rsidRPr="00C548EC">
        <w:rPr>
          <w:rFonts w:cs="Palatino"/>
        </w:rPr>
        <w:t xml:space="preserve"> (resis</w:t>
      </w:r>
      <w:r w:rsidRPr="00C548EC">
        <w:rPr>
          <w:rFonts w:cs="Palatino"/>
        </w:rPr>
        <w:t>tance to fibrinolysis, I) compared with another (C) alter TEG/ROTEM result interpretation (O)?</w:t>
      </w:r>
    </w:p>
    <w:p w14:paraId="32DF13C2" w14:textId="77777777" w:rsidR="007E4F4D" w:rsidRPr="00C548EC" w:rsidRDefault="007E4F4D" w:rsidP="007E4F4D">
      <w:pPr>
        <w:widowControl w:val="0"/>
        <w:autoSpaceDE w:val="0"/>
        <w:autoSpaceDN w:val="0"/>
        <w:adjustRightInd w:val="0"/>
        <w:spacing w:after="240"/>
        <w:rPr>
          <w:rFonts w:cs="Times"/>
        </w:rPr>
      </w:pPr>
      <w:r w:rsidRPr="00C548EC">
        <w:rPr>
          <w:rFonts w:cs="Palatino"/>
          <w:i/>
          <w:iCs/>
        </w:rPr>
        <w:t>Guideline recommendations</w:t>
      </w:r>
    </w:p>
    <w:p w14:paraId="427D0162" w14:textId="43E3CDC7" w:rsidR="007E4F4D" w:rsidRPr="00C548EC" w:rsidRDefault="007E4F4D" w:rsidP="00F729B8">
      <w:pPr>
        <w:pStyle w:val="ListParagraph"/>
        <w:widowControl w:val="0"/>
        <w:numPr>
          <w:ilvl w:val="0"/>
          <w:numId w:val="28"/>
        </w:numPr>
        <w:autoSpaceDE w:val="0"/>
        <w:autoSpaceDN w:val="0"/>
        <w:adjustRightInd w:val="0"/>
        <w:spacing w:after="240"/>
        <w:rPr>
          <w:rFonts w:cs="Palatino"/>
        </w:rPr>
      </w:pPr>
      <w:r w:rsidRPr="00C548EC">
        <w:rPr>
          <w:rFonts w:cs="Palatino"/>
        </w:rPr>
        <w:t>There are currently ins</w:t>
      </w:r>
      <w:r w:rsidRPr="00C548EC">
        <w:rPr>
          <w:rFonts w:cs="Palatino"/>
        </w:rPr>
        <w:t>ufficient data in companion an</w:t>
      </w:r>
      <w:r w:rsidRPr="00C548EC">
        <w:rPr>
          <w:rFonts w:cs="Palatino"/>
        </w:rPr>
        <w:t>imals to recommend use of specific variables to define</w:t>
      </w:r>
      <w:r w:rsidRPr="00C548EC">
        <w:rPr>
          <w:rFonts w:cs="Times"/>
        </w:rPr>
        <w:t xml:space="preserve"> </w:t>
      </w:r>
      <w:proofErr w:type="spellStart"/>
      <w:r w:rsidRPr="00C548EC">
        <w:rPr>
          <w:rFonts w:cs="Palatino"/>
        </w:rPr>
        <w:t>hypofibrinolysis</w:t>
      </w:r>
      <w:proofErr w:type="spellEnd"/>
      <w:r w:rsidRPr="00C548EC">
        <w:rPr>
          <w:rFonts w:cs="Palatino"/>
        </w:rPr>
        <w:t>. </w:t>
      </w:r>
    </w:p>
    <w:p w14:paraId="7E0D842F" w14:textId="3DD0E0B7" w:rsidR="007E4F4D" w:rsidRPr="00C548EC" w:rsidRDefault="007E4F4D" w:rsidP="00F729B8">
      <w:pPr>
        <w:pStyle w:val="ListParagraph"/>
        <w:widowControl w:val="0"/>
        <w:numPr>
          <w:ilvl w:val="0"/>
          <w:numId w:val="28"/>
        </w:numPr>
        <w:autoSpaceDE w:val="0"/>
        <w:autoSpaceDN w:val="0"/>
        <w:adjustRightInd w:val="0"/>
        <w:spacing w:after="240"/>
        <w:rPr>
          <w:rFonts w:cs="Times"/>
        </w:rPr>
      </w:pPr>
      <w:r w:rsidRPr="00C548EC">
        <w:rPr>
          <w:rFonts w:cs="Palatino"/>
        </w:rPr>
        <w:t>Standard TEG/RO</w:t>
      </w:r>
      <w:r w:rsidRPr="00C548EC">
        <w:rPr>
          <w:rFonts w:cs="Palatino"/>
        </w:rPr>
        <w:t>TEM assays may be unable to de</w:t>
      </w:r>
      <w:r w:rsidRPr="00C548EC">
        <w:rPr>
          <w:rFonts w:cs="Palatino"/>
        </w:rPr>
        <w:t xml:space="preserve">tect </w:t>
      </w:r>
      <w:proofErr w:type="spellStart"/>
      <w:r w:rsidRPr="00C548EC">
        <w:rPr>
          <w:rFonts w:cs="Palatino"/>
        </w:rPr>
        <w:t>hypofibrinolysis</w:t>
      </w:r>
      <w:proofErr w:type="spellEnd"/>
      <w:r w:rsidRPr="00C548EC">
        <w:rPr>
          <w:rFonts w:cs="Palatino"/>
        </w:rPr>
        <w:t xml:space="preserve"> in companion animals.</w:t>
      </w:r>
    </w:p>
    <w:p w14:paraId="7C063941" w14:textId="77777777" w:rsidR="00E40818" w:rsidRPr="00C548EC" w:rsidRDefault="00E40818" w:rsidP="00E40818">
      <w:pPr>
        <w:widowControl w:val="0"/>
        <w:autoSpaceDE w:val="0"/>
        <w:autoSpaceDN w:val="0"/>
        <w:adjustRightInd w:val="0"/>
        <w:spacing w:after="240"/>
        <w:rPr>
          <w:rFonts w:cs="Palatino"/>
          <w:i/>
          <w:iCs/>
        </w:rPr>
      </w:pPr>
    </w:p>
    <w:p w14:paraId="1EF3C027" w14:textId="77777777" w:rsidR="00E40818" w:rsidRPr="00C548EC" w:rsidRDefault="00E40818" w:rsidP="00E40818">
      <w:pPr>
        <w:widowControl w:val="0"/>
        <w:autoSpaceDE w:val="0"/>
        <w:autoSpaceDN w:val="0"/>
        <w:adjustRightInd w:val="0"/>
        <w:spacing w:after="240"/>
        <w:rPr>
          <w:rFonts w:cs="Times"/>
        </w:rPr>
      </w:pPr>
      <w:r w:rsidRPr="00C548EC">
        <w:rPr>
          <w:rFonts w:cs="Palatino"/>
          <w:i/>
          <w:iCs/>
        </w:rPr>
        <w:t>PICO question</w:t>
      </w:r>
    </w:p>
    <w:p w14:paraId="081F5ED4" w14:textId="77777777" w:rsidR="00E40818" w:rsidRPr="00C548EC" w:rsidRDefault="00E40818" w:rsidP="00E40818">
      <w:pPr>
        <w:widowControl w:val="0"/>
        <w:autoSpaceDE w:val="0"/>
        <w:autoSpaceDN w:val="0"/>
        <w:adjustRightInd w:val="0"/>
        <w:spacing w:after="240"/>
        <w:rPr>
          <w:rFonts w:cs="Times"/>
        </w:rPr>
      </w:pPr>
      <w:r w:rsidRPr="00C548EC">
        <w:rPr>
          <w:rFonts w:cs="Palatino"/>
        </w:rPr>
        <w:t>In companion animals with hemostatic abnormalities (P), does use of locally defined reference intervals (I) compared with those defined in another center (C) alter TEG/ROTEM result interpretation (O)?</w:t>
      </w:r>
    </w:p>
    <w:p w14:paraId="3685A982" w14:textId="77777777" w:rsidR="00E40818" w:rsidRPr="00C548EC" w:rsidRDefault="00E40818" w:rsidP="00E40818">
      <w:pPr>
        <w:widowControl w:val="0"/>
        <w:autoSpaceDE w:val="0"/>
        <w:autoSpaceDN w:val="0"/>
        <w:adjustRightInd w:val="0"/>
        <w:spacing w:after="240"/>
        <w:rPr>
          <w:rFonts w:cs="Times"/>
        </w:rPr>
      </w:pPr>
      <w:r w:rsidRPr="00C548EC">
        <w:rPr>
          <w:rFonts w:cs="Palatino"/>
          <w:i/>
          <w:iCs/>
        </w:rPr>
        <w:t>Guideline recommendations</w:t>
      </w:r>
    </w:p>
    <w:p w14:paraId="42568B43" w14:textId="77777777" w:rsidR="00E40818" w:rsidRPr="00C548EC" w:rsidRDefault="00E40818" w:rsidP="00412958">
      <w:pPr>
        <w:pStyle w:val="ListParagraph"/>
        <w:widowControl w:val="0"/>
        <w:numPr>
          <w:ilvl w:val="0"/>
          <w:numId w:val="27"/>
        </w:numPr>
        <w:autoSpaceDE w:val="0"/>
        <w:autoSpaceDN w:val="0"/>
        <w:adjustRightInd w:val="0"/>
        <w:spacing w:after="240"/>
        <w:rPr>
          <w:rFonts w:cs="Palatino"/>
        </w:rPr>
      </w:pPr>
      <w:r w:rsidRPr="00C548EC">
        <w:rPr>
          <w:rFonts w:cs="Palatino"/>
        </w:rPr>
        <w:t xml:space="preserve">We recommend that every center using TEG/ROTEM should establish its own reference interval using established veterinary clinical pathology guidelines. </w:t>
      </w:r>
    </w:p>
    <w:p w14:paraId="59F105B2" w14:textId="77777777" w:rsidR="00E40818" w:rsidRPr="00C548EC" w:rsidRDefault="00E40818" w:rsidP="00412958">
      <w:pPr>
        <w:pStyle w:val="ListParagraph"/>
        <w:widowControl w:val="0"/>
        <w:numPr>
          <w:ilvl w:val="0"/>
          <w:numId w:val="27"/>
        </w:numPr>
        <w:autoSpaceDE w:val="0"/>
        <w:autoSpaceDN w:val="0"/>
        <w:adjustRightInd w:val="0"/>
        <w:spacing w:after="240"/>
        <w:rPr>
          <w:rFonts w:cs="Palatino"/>
        </w:rPr>
      </w:pPr>
      <w:r w:rsidRPr="00C548EC">
        <w:rPr>
          <w:rFonts w:cs="Palatino"/>
        </w:rPr>
        <w:t>We recommend that reference intervals for TEG and</w:t>
      </w:r>
      <w:r w:rsidRPr="00C548EC">
        <w:rPr>
          <w:rFonts w:cs="Times"/>
        </w:rPr>
        <w:t xml:space="preserve"> </w:t>
      </w:r>
      <w:r w:rsidRPr="00C548EC">
        <w:rPr>
          <w:rFonts w:cs="Palatino"/>
        </w:rPr>
        <w:t>ROTEM are not used interchangeably. </w:t>
      </w:r>
    </w:p>
    <w:p w14:paraId="2430ADB0" w14:textId="77777777" w:rsidR="00E40818" w:rsidRPr="00C548EC" w:rsidRDefault="00E40818" w:rsidP="00412958">
      <w:pPr>
        <w:pStyle w:val="ListParagraph"/>
        <w:widowControl w:val="0"/>
        <w:numPr>
          <w:ilvl w:val="0"/>
          <w:numId w:val="27"/>
        </w:numPr>
        <w:autoSpaceDE w:val="0"/>
        <w:autoSpaceDN w:val="0"/>
        <w:adjustRightInd w:val="0"/>
        <w:spacing w:after="240"/>
        <w:rPr>
          <w:rFonts w:cs="Palatino"/>
        </w:rPr>
      </w:pPr>
      <w:r w:rsidRPr="00C548EC">
        <w:rPr>
          <w:rFonts w:cs="Palatino"/>
        </w:rPr>
        <w:t>We recommend that on</w:t>
      </w:r>
      <w:r w:rsidRPr="00C548EC">
        <w:rPr>
          <w:rFonts w:cs="Palatino"/>
        </w:rPr>
        <w:t>ly appropriately trained opera</w:t>
      </w:r>
      <w:r w:rsidRPr="00C548EC">
        <w:rPr>
          <w:rFonts w:cs="Palatino"/>
        </w:rPr>
        <w:t>tors be involved in establishing reference intervals for</w:t>
      </w:r>
      <w:r w:rsidRPr="00C548EC">
        <w:rPr>
          <w:rFonts w:cs="Times"/>
        </w:rPr>
        <w:t xml:space="preserve"> </w:t>
      </w:r>
      <w:r w:rsidRPr="00C548EC">
        <w:rPr>
          <w:rFonts w:cs="Palatino"/>
        </w:rPr>
        <w:t>TEG/ROTEM.</w:t>
      </w:r>
    </w:p>
    <w:p w14:paraId="6692BD06" w14:textId="77777777" w:rsidR="00E40818" w:rsidRPr="00C548EC" w:rsidRDefault="00E40818" w:rsidP="00412958">
      <w:pPr>
        <w:pStyle w:val="ListParagraph"/>
        <w:widowControl w:val="0"/>
        <w:numPr>
          <w:ilvl w:val="0"/>
          <w:numId w:val="27"/>
        </w:numPr>
        <w:autoSpaceDE w:val="0"/>
        <w:autoSpaceDN w:val="0"/>
        <w:adjustRightInd w:val="0"/>
        <w:spacing w:after="240"/>
        <w:rPr>
          <w:rFonts w:cs="Palatino"/>
        </w:rPr>
      </w:pPr>
      <w:r w:rsidRPr="00C548EC">
        <w:rPr>
          <w:rFonts w:cs="Palatino"/>
        </w:rPr>
        <w:t> We recom</w:t>
      </w:r>
      <w:r w:rsidRPr="00C548EC">
        <w:rPr>
          <w:rFonts w:cs="Palatino"/>
        </w:rPr>
        <w:t>mend that age and breed be con</w:t>
      </w:r>
      <w:r w:rsidRPr="00C548EC">
        <w:rPr>
          <w:rFonts w:cs="Palatino"/>
        </w:rPr>
        <w:t>sidered when establishing reference intervals for</w:t>
      </w:r>
      <w:r w:rsidRPr="00C548EC">
        <w:rPr>
          <w:rFonts w:cs="Times"/>
        </w:rPr>
        <w:t xml:space="preserve"> </w:t>
      </w:r>
      <w:r w:rsidRPr="00C548EC">
        <w:rPr>
          <w:rFonts w:cs="Palatino"/>
        </w:rPr>
        <w:t>TEG/ROTEM. </w:t>
      </w:r>
    </w:p>
    <w:p w14:paraId="41D0A2E6" w14:textId="4AD34021" w:rsidR="00E40818" w:rsidRPr="00C548EC" w:rsidRDefault="00E40818" w:rsidP="00412958">
      <w:pPr>
        <w:pStyle w:val="ListParagraph"/>
        <w:widowControl w:val="0"/>
        <w:numPr>
          <w:ilvl w:val="0"/>
          <w:numId w:val="27"/>
        </w:numPr>
        <w:autoSpaceDE w:val="0"/>
        <w:autoSpaceDN w:val="0"/>
        <w:adjustRightInd w:val="0"/>
        <w:spacing w:after="240"/>
        <w:rPr>
          <w:rFonts w:cs="Times"/>
        </w:rPr>
      </w:pPr>
      <w:r w:rsidRPr="00C548EC">
        <w:rPr>
          <w:rFonts w:cs="Palatino"/>
        </w:rPr>
        <w:t>We recommend that</w:t>
      </w:r>
      <w:r w:rsidRPr="00C548EC">
        <w:rPr>
          <w:rFonts w:cs="Palatino"/>
        </w:rPr>
        <w:t xml:space="preserve"> sample collection, sample han</w:t>
      </w:r>
      <w:r w:rsidRPr="00C548EC">
        <w:rPr>
          <w:rFonts w:cs="Palatino"/>
        </w:rPr>
        <w:t>dling, and assay pro</w:t>
      </w:r>
      <w:r w:rsidRPr="00C548EC">
        <w:rPr>
          <w:rFonts w:cs="Palatino"/>
        </w:rPr>
        <w:t>tocols be standardized when es</w:t>
      </w:r>
      <w:r w:rsidRPr="00C548EC">
        <w:rPr>
          <w:rFonts w:cs="Palatino"/>
        </w:rPr>
        <w:t>tablishing reference intervals for TEG/ROTEM.</w:t>
      </w:r>
    </w:p>
    <w:p w14:paraId="55DB3112" w14:textId="77777777" w:rsidR="0008470A" w:rsidRPr="00C548EC" w:rsidRDefault="0008470A" w:rsidP="0008470A">
      <w:pPr>
        <w:widowControl w:val="0"/>
        <w:autoSpaceDE w:val="0"/>
        <w:autoSpaceDN w:val="0"/>
        <w:adjustRightInd w:val="0"/>
        <w:spacing w:after="240"/>
        <w:rPr>
          <w:rFonts w:cs="Palatino"/>
          <w:i/>
          <w:iCs/>
        </w:rPr>
      </w:pPr>
    </w:p>
    <w:p w14:paraId="3478F5D2" w14:textId="77777777" w:rsidR="0008470A" w:rsidRPr="00C548EC" w:rsidRDefault="0008470A" w:rsidP="0008470A">
      <w:pPr>
        <w:widowControl w:val="0"/>
        <w:autoSpaceDE w:val="0"/>
        <w:autoSpaceDN w:val="0"/>
        <w:adjustRightInd w:val="0"/>
        <w:spacing w:after="240"/>
        <w:rPr>
          <w:rFonts w:cs="Times"/>
        </w:rPr>
      </w:pPr>
      <w:r w:rsidRPr="00C548EC">
        <w:rPr>
          <w:rFonts w:cs="Palatino"/>
          <w:i/>
          <w:iCs/>
        </w:rPr>
        <w:t>PICO question</w:t>
      </w:r>
    </w:p>
    <w:p w14:paraId="1F7B3CE0" w14:textId="09319707" w:rsidR="0008470A" w:rsidRPr="00C548EC" w:rsidRDefault="0008470A" w:rsidP="0008470A">
      <w:pPr>
        <w:widowControl w:val="0"/>
        <w:autoSpaceDE w:val="0"/>
        <w:autoSpaceDN w:val="0"/>
        <w:adjustRightInd w:val="0"/>
        <w:spacing w:after="240"/>
        <w:rPr>
          <w:rFonts w:cs="Times"/>
        </w:rPr>
      </w:pPr>
      <w:r w:rsidRPr="00C548EC">
        <w:rPr>
          <w:rFonts w:cs="Palatino"/>
        </w:rPr>
        <w:t>In companion animals with hemostatic abnormalities (P), does use of derived velocity-curve (</w:t>
      </w:r>
      <w:proofErr w:type="spellStart"/>
      <w:r w:rsidRPr="00C548EC">
        <w:rPr>
          <w:rFonts w:cs="Palatino"/>
        </w:rPr>
        <w:t>Vcurve</w:t>
      </w:r>
      <w:proofErr w:type="spellEnd"/>
      <w:r w:rsidRPr="00C548EC">
        <w:rPr>
          <w:rFonts w:cs="Palatino"/>
        </w:rPr>
        <w:t xml:space="preserve"> [TEG derivative]) parameters</w:t>
      </w:r>
      <w:r w:rsidRPr="00C548EC">
        <w:rPr>
          <w:rFonts w:cs="Palatino"/>
        </w:rPr>
        <w:t xml:space="preserve"> (I) compared with standard pa</w:t>
      </w:r>
      <w:r w:rsidRPr="00C548EC">
        <w:rPr>
          <w:rFonts w:cs="Palatino"/>
        </w:rPr>
        <w:t>rameters (C) alter TEG result interpretation (O)?</w:t>
      </w:r>
    </w:p>
    <w:p w14:paraId="03E0E96C" w14:textId="7F620523" w:rsidR="007E4F4D" w:rsidRPr="00C548EC" w:rsidRDefault="0025342B" w:rsidP="0017584B">
      <w:pPr>
        <w:widowControl w:val="0"/>
        <w:autoSpaceDE w:val="0"/>
        <w:autoSpaceDN w:val="0"/>
        <w:adjustRightInd w:val="0"/>
        <w:spacing w:after="240"/>
        <w:rPr>
          <w:rFonts w:cs="Times"/>
        </w:rPr>
      </w:pPr>
      <w:r w:rsidRPr="00C548EC">
        <w:rPr>
          <w:rFonts w:cs="Times"/>
          <w:noProof/>
        </w:rPr>
        <w:drawing>
          <wp:inline distT="0" distB="0" distL="0" distR="0" wp14:anchorId="0914E74A" wp14:editId="14826CF1">
            <wp:extent cx="4798194" cy="162687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8194" cy="1626870"/>
                    </a:xfrm>
                    <a:prstGeom prst="rect">
                      <a:avLst/>
                    </a:prstGeom>
                    <a:noFill/>
                    <a:ln>
                      <a:noFill/>
                    </a:ln>
                  </pic:spPr>
                </pic:pic>
              </a:graphicData>
            </a:graphic>
          </wp:inline>
        </w:drawing>
      </w:r>
    </w:p>
    <w:p w14:paraId="527D2B55" w14:textId="77777777" w:rsidR="00FC082A" w:rsidRPr="00C548EC" w:rsidRDefault="00FC082A" w:rsidP="0017584B">
      <w:pPr>
        <w:widowControl w:val="0"/>
        <w:autoSpaceDE w:val="0"/>
        <w:autoSpaceDN w:val="0"/>
        <w:adjustRightInd w:val="0"/>
        <w:spacing w:after="240"/>
        <w:rPr>
          <w:rFonts w:cs="Times"/>
        </w:rPr>
      </w:pPr>
    </w:p>
    <w:p w14:paraId="69A39F76" w14:textId="77777777" w:rsidR="00FC082A" w:rsidRPr="00C548EC" w:rsidRDefault="00FC082A" w:rsidP="00FC082A">
      <w:pPr>
        <w:widowControl w:val="0"/>
        <w:autoSpaceDE w:val="0"/>
        <w:autoSpaceDN w:val="0"/>
        <w:adjustRightInd w:val="0"/>
        <w:spacing w:after="240"/>
        <w:rPr>
          <w:rFonts w:cs="Times"/>
          <w:u w:val="single"/>
        </w:rPr>
      </w:pPr>
      <w:r w:rsidRPr="00C548EC">
        <w:rPr>
          <w:rFonts w:cs="Palatino"/>
          <w:b/>
          <w:bCs/>
          <w:u w:val="single"/>
        </w:rPr>
        <w:t>Nonstandard assays</w:t>
      </w:r>
    </w:p>
    <w:p w14:paraId="45296A6D" w14:textId="77777777" w:rsidR="00FC082A" w:rsidRPr="00C548EC" w:rsidRDefault="00FC082A" w:rsidP="00FC082A">
      <w:pPr>
        <w:widowControl w:val="0"/>
        <w:autoSpaceDE w:val="0"/>
        <w:autoSpaceDN w:val="0"/>
        <w:adjustRightInd w:val="0"/>
        <w:spacing w:after="240"/>
        <w:rPr>
          <w:rFonts w:cs="Times"/>
        </w:rPr>
      </w:pPr>
      <w:r w:rsidRPr="00C548EC">
        <w:rPr>
          <w:rFonts w:cs="Palatino"/>
          <w:i/>
          <w:iCs/>
        </w:rPr>
        <w:t>PICO question</w:t>
      </w:r>
    </w:p>
    <w:p w14:paraId="60E4BB67" w14:textId="77777777" w:rsidR="00FC082A" w:rsidRPr="00C548EC" w:rsidRDefault="00FC082A" w:rsidP="00FC082A">
      <w:pPr>
        <w:widowControl w:val="0"/>
        <w:autoSpaceDE w:val="0"/>
        <w:autoSpaceDN w:val="0"/>
        <w:adjustRightInd w:val="0"/>
        <w:spacing w:after="240"/>
        <w:rPr>
          <w:rFonts w:cs="Times"/>
        </w:rPr>
      </w:pPr>
      <w:r w:rsidRPr="00C548EC">
        <w:rPr>
          <w:rFonts w:cs="Palatino"/>
        </w:rPr>
        <w:t xml:space="preserve">In companion animals receiving antiplatelet agents (P), does use of specific TEG </w:t>
      </w:r>
      <w:proofErr w:type="spellStart"/>
      <w:r w:rsidRPr="00C548EC">
        <w:rPr>
          <w:rFonts w:cs="Palatino"/>
        </w:rPr>
        <w:t>PlateletMapping</w:t>
      </w:r>
      <w:proofErr w:type="spellEnd"/>
      <w:r w:rsidRPr="00C548EC">
        <w:rPr>
          <w:rFonts w:cs="Palatino"/>
        </w:rPr>
        <w:t xml:space="preserve"> (TEG-PM) reagents (I) compared with others (C) enable therapeutic drug monitoring (O)?</w:t>
      </w:r>
    </w:p>
    <w:p w14:paraId="41F63629" w14:textId="77777777" w:rsidR="00FC082A" w:rsidRPr="00C548EC" w:rsidRDefault="00FC082A" w:rsidP="00FC082A">
      <w:pPr>
        <w:widowControl w:val="0"/>
        <w:autoSpaceDE w:val="0"/>
        <w:autoSpaceDN w:val="0"/>
        <w:adjustRightInd w:val="0"/>
        <w:spacing w:after="240"/>
        <w:rPr>
          <w:rFonts w:cs="Times"/>
        </w:rPr>
      </w:pPr>
      <w:r w:rsidRPr="00C548EC">
        <w:rPr>
          <w:rFonts w:cs="Palatino"/>
          <w:i/>
          <w:iCs/>
        </w:rPr>
        <w:t>Guideline recommendations</w:t>
      </w:r>
    </w:p>
    <w:p w14:paraId="1D889146" w14:textId="534B30BA" w:rsidR="00FC082A" w:rsidRPr="00C548EC" w:rsidRDefault="00FC082A" w:rsidP="00644D37">
      <w:pPr>
        <w:pStyle w:val="ListParagraph"/>
        <w:widowControl w:val="0"/>
        <w:numPr>
          <w:ilvl w:val="0"/>
          <w:numId w:val="24"/>
        </w:numPr>
        <w:autoSpaceDE w:val="0"/>
        <w:autoSpaceDN w:val="0"/>
        <w:adjustRightInd w:val="0"/>
        <w:spacing w:after="240"/>
        <w:rPr>
          <w:rFonts w:cs="Palatino"/>
        </w:rPr>
      </w:pPr>
      <w:r w:rsidRPr="00C548EC">
        <w:rPr>
          <w:rFonts w:cs="Palatino"/>
        </w:rPr>
        <w:t>We suggest that the ADP TEG-PM kit may be used in dogs without modifi</w:t>
      </w:r>
      <w:r w:rsidRPr="00C548EC">
        <w:rPr>
          <w:rFonts w:cs="Palatino"/>
        </w:rPr>
        <w:t>cation to evaluate platelet re</w:t>
      </w:r>
      <w:r w:rsidRPr="00C548EC">
        <w:rPr>
          <w:rFonts w:cs="Palatino"/>
        </w:rPr>
        <w:t>sponses to ADP.</w:t>
      </w:r>
    </w:p>
    <w:p w14:paraId="405EB4ED" w14:textId="6DF8F7D3" w:rsidR="00247709" w:rsidRPr="00C548EC" w:rsidRDefault="00247709" w:rsidP="00644D37">
      <w:pPr>
        <w:pStyle w:val="ListParagraph"/>
        <w:widowControl w:val="0"/>
        <w:numPr>
          <w:ilvl w:val="0"/>
          <w:numId w:val="24"/>
        </w:numPr>
        <w:autoSpaceDE w:val="0"/>
        <w:autoSpaceDN w:val="0"/>
        <w:adjustRightInd w:val="0"/>
        <w:spacing w:after="240"/>
        <w:rPr>
          <w:rFonts w:cs="Times"/>
        </w:rPr>
      </w:pPr>
      <w:r w:rsidRPr="00C548EC">
        <w:rPr>
          <w:rFonts w:cs="Palatino"/>
        </w:rPr>
        <w:t xml:space="preserve">We suggest that the </w:t>
      </w:r>
      <w:proofErr w:type="spellStart"/>
      <w:r w:rsidRPr="00C548EC">
        <w:rPr>
          <w:rFonts w:cs="Palatino"/>
        </w:rPr>
        <w:t>arachidonic</w:t>
      </w:r>
      <w:proofErr w:type="spellEnd"/>
      <w:r w:rsidRPr="00C548EC">
        <w:rPr>
          <w:rFonts w:cs="Palatino"/>
        </w:rPr>
        <w:t xml:space="preserve"> acid (AA) TEG-PM kit may be useful without modification in dogs sensitive to A </w:t>
      </w:r>
      <w:proofErr w:type="spellStart"/>
      <w:r w:rsidRPr="00C548EC">
        <w:rPr>
          <w:rFonts w:cs="Palatino"/>
        </w:rPr>
        <w:t>A</w:t>
      </w:r>
      <w:proofErr w:type="spellEnd"/>
      <w:r w:rsidRPr="00C548EC">
        <w:rPr>
          <w:rFonts w:cs="Palatino"/>
        </w:rPr>
        <w:t xml:space="preserve"> </w:t>
      </w:r>
      <w:proofErr w:type="spellStart"/>
      <w:r w:rsidRPr="00C548EC">
        <w:rPr>
          <w:rFonts w:cs="Palatino"/>
        </w:rPr>
        <w:t>agonism</w:t>
      </w:r>
      <w:proofErr w:type="spellEnd"/>
      <w:r w:rsidRPr="00C548EC">
        <w:rPr>
          <w:rFonts w:cs="Palatino"/>
        </w:rPr>
        <w:t>.</w:t>
      </w:r>
    </w:p>
    <w:p w14:paraId="2C61D615" w14:textId="77777777" w:rsidR="00247709" w:rsidRPr="00C548EC" w:rsidRDefault="00247709" w:rsidP="00644D37">
      <w:pPr>
        <w:pStyle w:val="ListParagraph"/>
        <w:widowControl w:val="0"/>
        <w:numPr>
          <w:ilvl w:val="0"/>
          <w:numId w:val="24"/>
        </w:numPr>
        <w:autoSpaceDE w:val="0"/>
        <w:autoSpaceDN w:val="0"/>
        <w:adjustRightInd w:val="0"/>
        <w:spacing w:after="240"/>
        <w:rPr>
          <w:rFonts w:cs="Times"/>
        </w:rPr>
      </w:pPr>
      <w:r w:rsidRPr="00C548EC">
        <w:rPr>
          <w:rFonts w:cs="Palatino"/>
        </w:rPr>
        <w:t>We suggest that the TEG-PM protocol may require modification for use in cats and horses (although manufacturer-recommended concentrations of ADP and AA are appropriate for these species).</w:t>
      </w:r>
    </w:p>
    <w:p w14:paraId="26F4417C" w14:textId="77777777" w:rsidR="00FC082A" w:rsidRPr="00C548EC" w:rsidRDefault="00FC082A" w:rsidP="0017584B">
      <w:pPr>
        <w:widowControl w:val="0"/>
        <w:autoSpaceDE w:val="0"/>
        <w:autoSpaceDN w:val="0"/>
        <w:adjustRightInd w:val="0"/>
        <w:spacing w:after="240"/>
        <w:rPr>
          <w:rFonts w:cs="Times"/>
        </w:rPr>
      </w:pPr>
    </w:p>
    <w:p w14:paraId="2AB0758B" w14:textId="77777777" w:rsidR="00644D37" w:rsidRPr="00C548EC" w:rsidRDefault="00644D37" w:rsidP="00644D37">
      <w:pPr>
        <w:widowControl w:val="0"/>
        <w:autoSpaceDE w:val="0"/>
        <w:autoSpaceDN w:val="0"/>
        <w:adjustRightInd w:val="0"/>
        <w:spacing w:after="240"/>
        <w:rPr>
          <w:rFonts w:cs="Times"/>
        </w:rPr>
      </w:pPr>
      <w:r w:rsidRPr="00C548EC">
        <w:rPr>
          <w:rFonts w:cs="Palatino"/>
          <w:i/>
          <w:iCs/>
        </w:rPr>
        <w:t>PICO question</w:t>
      </w:r>
    </w:p>
    <w:p w14:paraId="4E9A2598" w14:textId="3E7BF391" w:rsidR="00644D37" w:rsidRPr="00C548EC" w:rsidRDefault="00644D37" w:rsidP="00644D37">
      <w:pPr>
        <w:widowControl w:val="0"/>
        <w:autoSpaceDE w:val="0"/>
        <w:autoSpaceDN w:val="0"/>
        <w:adjustRightInd w:val="0"/>
        <w:spacing w:after="240"/>
        <w:rPr>
          <w:rFonts w:cs="Times"/>
        </w:rPr>
      </w:pPr>
      <w:r w:rsidRPr="00C548EC">
        <w:rPr>
          <w:rFonts w:cs="Palatino"/>
        </w:rPr>
        <w:t>In companion animals receiving antiplatelet agents (P), does use of the TEG-P</w:t>
      </w:r>
      <w:r w:rsidRPr="00C548EC">
        <w:rPr>
          <w:rFonts w:cs="Palatino"/>
        </w:rPr>
        <w:t>M assay (I) compared with stan</w:t>
      </w:r>
      <w:r w:rsidRPr="00C548EC">
        <w:rPr>
          <w:rFonts w:cs="Palatino"/>
        </w:rPr>
        <w:t>dard TEG assays (C) enable therapeutic drug monitoring (O)?</w:t>
      </w:r>
    </w:p>
    <w:p w14:paraId="0AA118BB" w14:textId="77777777" w:rsidR="00644D37" w:rsidRPr="00C548EC" w:rsidRDefault="00644D37" w:rsidP="00644D37">
      <w:pPr>
        <w:widowControl w:val="0"/>
        <w:autoSpaceDE w:val="0"/>
        <w:autoSpaceDN w:val="0"/>
        <w:adjustRightInd w:val="0"/>
        <w:spacing w:after="240"/>
        <w:rPr>
          <w:rFonts w:cs="Times"/>
        </w:rPr>
      </w:pPr>
      <w:r w:rsidRPr="00C548EC">
        <w:rPr>
          <w:rFonts w:cs="Palatino"/>
          <w:i/>
          <w:iCs/>
        </w:rPr>
        <w:t>Guideline recommendations</w:t>
      </w:r>
    </w:p>
    <w:p w14:paraId="2656DD2A" w14:textId="77777777" w:rsidR="00644D37" w:rsidRPr="00C548EC" w:rsidRDefault="00644D37" w:rsidP="00412958">
      <w:pPr>
        <w:pStyle w:val="ListParagraph"/>
        <w:widowControl w:val="0"/>
        <w:numPr>
          <w:ilvl w:val="0"/>
          <w:numId w:val="26"/>
        </w:numPr>
        <w:autoSpaceDE w:val="0"/>
        <w:autoSpaceDN w:val="0"/>
        <w:adjustRightInd w:val="0"/>
        <w:spacing w:after="240"/>
        <w:rPr>
          <w:rFonts w:cs="Palatino"/>
        </w:rPr>
      </w:pPr>
      <w:r w:rsidRPr="00C548EC">
        <w:rPr>
          <w:rFonts w:cs="Palatino"/>
        </w:rPr>
        <w:t>We suggest that TEG</w:t>
      </w:r>
      <w:r w:rsidRPr="00C548EC">
        <w:rPr>
          <w:rFonts w:cs="Palatino"/>
        </w:rPr>
        <w:t>-PM can be considered for ther</w:t>
      </w:r>
      <w:r w:rsidRPr="00C548EC">
        <w:rPr>
          <w:rFonts w:cs="Palatino"/>
        </w:rPr>
        <w:t xml:space="preserve">apeutic monitoring of </w:t>
      </w:r>
      <w:proofErr w:type="spellStart"/>
      <w:r w:rsidRPr="00C548EC">
        <w:rPr>
          <w:rFonts w:cs="Palatino"/>
        </w:rPr>
        <w:t>clopidogrel</w:t>
      </w:r>
      <w:proofErr w:type="spellEnd"/>
      <w:r w:rsidRPr="00C548EC">
        <w:rPr>
          <w:rFonts w:cs="Palatino"/>
        </w:rPr>
        <w:t xml:space="preserve"> in dogs, although</w:t>
      </w:r>
      <w:r w:rsidRPr="00C548EC">
        <w:rPr>
          <w:rFonts w:cs="Times"/>
        </w:rPr>
        <w:t xml:space="preserve"> </w:t>
      </w:r>
      <w:r w:rsidRPr="00C548EC">
        <w:rPr>
          <w:rFonts w:cs="Palatino"/>
        </w:rPr>
        <w:t>more data supporting its use are needed. </w:t>
      </w:r>
    </w:p>
    <w:p w14:paraId="0AD46B39" w14:textId="77777777" w:rsidR="00644D37" w:rsidRPr="00C548EC" w:rsidRDefault="00644D37" w:rsidP="00412958">
      <w:pPr>
        <w:pStyle w:val="ListParagraph"/>
        <w:widowControl w:val="0"/>
        <w:numPr>
          <w:ilvl w:val="0"/>
          <w:numId w:val="26"/>
        </w:numPr>
        <w:autoSpaceDE w:val="0"/>
        <w:autoSpaceDN w:val="0"/>
        <w:adjustRightInd w:val="0"/>
        <w:spacing w:after="240"/>
        <w:rPr>
          <w:rFonts w:cs="Palatino"/>
        </w:rPr>
      </w:pPr>
      <w:r w:rsidRPr="00C548EC">
        <w:rPr>
          <w:rFonts w:cs="Palatino"/>
        </w:rPr>
        <w:t>We suggest that TEG-P</w:t>
      </w:r>
      <w:r w:rsidRPr="00C548EC">
        <w:rPr>
          <w:rFonts w:cs="Palatino"/>
        </w:rPr>
        <w:t>M should not be used for evalu</w:t>
      </w:r>
      <w:r w:rsidRPr="00C548EC">
        <w:rPr>
          <w:rFonts w:cs="Palatino"/>
        </w:rPr>
        <w:t>ation of antiplatelet therapies in cats due to high assay</w:t>
      </w:r>
      <w:r w:rsidRPr="00C548EC">
        <w:rPr>
          <w:rFonts w:cs="Times"/>
        </w:rPr>
        <w:t xml:space="preserve"> </w:t>
      </w:r>
      <w:r w:rsidRPr="00C548EC">
        <w:rPr>
          <w:rFonts w:cs="Palatino"/>
        </w:rPr>
        <w:t>variability and lack of valid baseline values. </w:t>
      </w:r>
    </w:p>
    <w:p w14:paraId="1D532FF1" w14:textId="12220D87" w:rsidR="00644D37" w:rsidRPr="00C548EC" w:rsidRDefault="00644D37" w:rsidP="00412958">
      <w:pPr>
        <w:pStyle w:val="ListParagraph"/>
        <w:widowControl w:val="0"/>
        <w:numPr>
          <w:ilvl w:val="0"/>
          <w:numId w:val="26"/>
        </w:numPr>
        <w:autoSpaceDE w:val="0"/>
        <w:autoSpaceDN w:val="0"/>
        <w:adjustRightInd w:val="0"/>
        <w:spacing w:after="240"/>
        <w:rPr>
          <w:rFonts w:cs="Times"/>
        </w:rPr>
      </w:pPr>
      <w:r w:rsidRPr="00C548EC">
        <w:rPr>
          <w:rFonts w:cs="Palatino"/>
        </w:rPr>
        <w:t>No studies of TEG-PM in horses were identified on which to base recommendations for this species.</w:t>
      </w:r>
    </w:p>
    <w:p w14:paraId="18F3675F" w14:textId="77777777" w:rsidR="00C31915" w:rsidRPr="00C548EC" w:rsidRDefault="00C31915" w:rsidP="00C31915">
      <w:pPr>
        <w:widowControl w:val="0"/>
        <w:autoSpaceDE w:val="0"/>
        <w:autoSpaceDN w:val="0"/>
        <w:adjustRightInd w:val="0"/>
        <w:spacing w:after="240"/>
        <w:rPr>
          <w:rFonts w:cs="Times"/>
        </w:rPr>
      </w:pPr>
      <w:r w:rsidRPr="00C548EC">
        <w:rPr>
          <w:rFonts w:cs="Palatino"/>
          <w:i/>
          <w:iCs/>
        </w:rPr>
        <w:t>PICO questions</w:t>
      </w:r>
    </w:p>
    <w:p w14:paraId="4CD17549" w14:textId="4F86F8C4" w:rsidR="00C31915" w:rsidRPr="00C548EC" w:rsidRDefault="00C31915" w:rsidP="00C31915">
      <w:pPr>
        <w:widowControl w:val="0"/>
        <w:tabs>
          <w:tab w:val="left" w:pos="220"/>
          <w:tab w:val="left" w:pos="720"/>
        </w:tabs>
        <w:autoSpaceDE w:val="0"/>
        <w:autoSpaceDN w:val="0"/>
        <w:adjustRightInd w:val="0"/>
        <w:spacing w:after="240"/>
        <w:rPr>
          <w:rFonts w:cs="Palatino"/>
        </w:rPr>
      </w:pPr>
      <w:r w:rsidRPr="00C548EC">
        <w:rPr>
          <w:rFonts w:cs="Palatino"/>
        </w:rPr>
        <w:t xml:space="preserve">1. </w:t>
      </w:r>
      <w:r w:rsidRPr="00C548EC">
        <w:rPr>
          <w:rFonts w:cs="Palatino"/>
        </w:rPr>
        <w:t>In</w:t>
      </w:r>
      <w:r w:rsidRPr="00C548EC">
        <w:rPr>
          <w:rFonts w:cs="Palatino"/>
        </w:rPr>
        <w:t xml:space="preserve"> </w:t>
      </w:r>
      <w:r w:rsidRPr="00C548EC">
        <w:rPr>
          <w:rFonts w:cs="Palatino"/>
        </w:rPr>
        <w:t>companion</w:t>
      </w:r>
      <w:r w:rsidRPr="00C548EC">
        <w:rPr>
          <w:rFonts w:cs="Palatino"/>
        </w:rPr>
        <w:t xml:space="preserve"> </w:t>
      </w:r>
      <w:r w:rsidRPr="00C548EC">
        <w:rPr>
          <w:rFonts w:cs="Palatino"/>
        </w:rPr>
        <w:t>animals</w:t>
      </w:r>
      <w:r w:rsidRPr="00C548EC">
        <w:rPr>
          <w:rFonts w:cs="Palatino"/>
        </w:rPr>
        <w:t xml:space="preserve"> </w:t>
      </w:r>
      <w:r w:rsidRPr="00C548EC">
        <w:rPr>
          <w:rFonts w:cs="Palatino"/>
        </w:rPr>
        <w:t>with</w:t>
      </w:r>
      <w:r w:rsidRPr="00C548EC">
        <w:rPr>
          <w:rFonts w:cs="Palatino"/>
        </w:rPr>
        <w:t xml:space="preserve"> </w:t>
      </w:r>
      <w:r w:rsidRPr="00C548EC">
        <w:rPr>
          <w:rFonts w:cs="Palatino"/>
        </w:rPr>
        <w:t>hemostatic</w:t>
      </w:r>
      <w:r w:rsidRPr="00C548EC">
        <w:rPr>
          <w:rFonts w:cs="Palatino"/>
        </w:rPr>
        <w:t xml:space="preserve"> </w:t>
      </w:r>
      <w:r w:rsidRPr="00C548EC">
        <w:rPr>
          <w:rFonts w:cs="Palatino"/>
        </w:rPr>
        <w:t>abnormalities (P), does use of the functional fibrinogen (FF) test (I) compared to standard</w:t>
      </w:r>
      <w:r w:rsidRPr="00C548EC">
        <w:rPr>
          <w:rFonts w:cs="Palatino"/>
        </w:rPr>
        <w:t xml:space="preserve"> TEG assays (C) improve assess</w:t>
      </w:r>
      <w:r w:rsidRPr="00C548EC">
        <w:rPr>
          <w:rFonts w:cs="Palatino"/>
        </w:rPr>
        <w:t xml:space="preserve">ment of coagulation (O)? </w:t>
      </w:r>
    </w:p>
    <w:p w14:paraId="1A8D6031" w14:textId="6FDB9E8B" w:rsidR="00C31915" w:rsidRPr="00C548EC" w:rsidRDefault="00C31915" w:rsidP="00C31915">
      <w:pPr>
        <w:widowControl w:val="0"/>
        <w:tabs>
          <w:tab w:val="left" w:pos="220"/>
          <w:tab w:val="left" w:pos="720"/>
        </w:tabs>
        <w:autoSpaceDE w:val="0"/>
        <w:autoSpaceDN w:val="0"/>
        <w:adjustRightInd w:val="0"/>
        <w:spacing w:after="240"/>
        <w:rPr>
          <w:rFonts w:cs="Palatino"/>
        </w:rPr>
      </w:pPr>
      <w:r w:rsidRPr="00C548EC">
        <w:rPr>
          <w:rFonts w:cs="Palatino"/>
        </w:rPr>
        <w:t xml:space="preserve">2. </w:t>
      </w:r>
      <w:r w:rsidRPr="00C548EC">
        <w:rPr>
          <w:rFonts w:cs="Palatino"/>
        </w:rPr>
        <w:t>In</w:t>
      </w:r>
      <w:r w:rsidRPr="00C548EC">
        <w:rPr>
          <w:rFonts w:cs="Palatino"/>
        </w:rPr>
        <w:t xml:space="preserve"> </w:t>
      </w:r>
      <w:r w:rsidRPr="00C548EC">
        <w:rPr>
          <w:rFonts w:cs="Palatino"/>
        </w:rPr>
        <w:t>companion</w:t>
      </w:r>
      <w:r w:rsidRPr="00C548EC">
        <w:rPr>
          <w:rFonts w:cs="Palatino"/>
        </w:rPr>
        <w:t xml:space="preserve"> </w:t>
      </w:r>
      <w:r w:rsidRPr="00C548EC">
        <w:rPr>
          <w:rFonts w:cs="Palatino"/>
        </w:rPr>
        <w:t>animals</w:t>
      </w:r>
      <w:r w:rsidRPr="00C548EC">
        <w:rPr>
          <w:rFonts w:cs="Palatino"/>
        </w:rPr>
        <w:t xml:space="preserve"> </w:t>
      </w:r>
      <w:r w:rsidRPr="00C548EC">
        <w:rPr>
          <w:rFonts w:cs="Palatino"/>
        </w:rPr>
        <w:t>with</w:t>
      </w:r>
      <w:r w:rsidRPr="00C548EC">
        <w:rPr>
          <w:rFonts w:cs="Palatino"/>
        </w:rPr>
        <w:t xml:space="preserve"> </w:t>
      </w:r>
      <w:proofErr w:type="spellStart"/>
      <w:r w:rsidRPr="00C548EC">
        <w:rPr>
          <w:rFonts w:cs="Palatino"/>
        </w:rPr>
        <w:t>hemostaticabnormalities</w:t>
      </w:r>
      <w:proofErr w:type="spellEnd"/>
      <w:r w:rsidRPr="00C548EC">
        <w:rPr>
          <w:rFonts w:cs="Palatino"/>
        </w:rPr>
        <w:t xml:space="preserve"> (P), does use of one act</w:t>
      </w:r>
      <w:r w:rsidRPr="00C548EC">
        <w:rPr>
          <w:rFonts w:cs="Palatino"/>
        </w:rPr>
        <w:t>ivator for the FF test (I) com</w:t>
      </w:r>
      <w:r w:rsidRPr="00C548EC">
        <w:rPr>
          <w:rFonts w:cs="Palatino"/>
        </w:rPr>
        <w:t xml:space="preserve">pared to another (C) affect test result interpretation (O)? </w:t>
      </w:r>
    </w:p>
    <w:p w14:paraId="3CAFF624" w14:textId="77777777" w:rsidR="00C31915" w:rsidRPr="00C548EC" w:rsidRDefault="00C31915" w:rsidP="00C31915">
      <w:pPr>
        <w:widowControl w:val="0"/>
        <w:autoSpaceDE w:val="0"/>
        <w:autoSpaceDN w:val="0"/>
        <w:adjustRightInd w:val="0"/>
        <w:spacing w:after="240"/>
        <w:rPr>
          <w:rFonts w:cs="Times"/>
        </w:rPr>
      </w:pPr>
      <w:r w:rsidRPr="00C548EC">
        <w:rPr>
          <w:rFonts w:cs="Palatino"/>
          <w:i/>
          <w:iCs/>
        </w:rPr>
        <w:t>Guideline recommendations</w:t>
      </w:r>
    </w:p>
    <w:p w14:paraId="4582A1B6" w14:textId="200D24CE" w:rsidR="00C31915" w:rsidRPr="00C548EC" w:rsidRDefault="00C31915" w:rsidP="00C31915">
      <w:pPr>
        <w:pStyle w:val="ListParagraph"/>
        <w:widowControl w:val="0"/>
        <w:numPr>
          <w:ilvl w:val="0"/>
          <w:numId w:val="25"/>
        </w:numPr>
        <w:autoSpaceDE w:val="0"/>
        <w:autoSpaceDN w:val="0"/>
        <w:adjustRightInd w:val="0"/>
        <w:spacing w:after="240"/>
        <w:rPr>
          <w:rFonts w:cs="Times"/>
        </w:rPr>
      </w:pPr>
      <w:r w:rsidRPr="00C548EC">
        <w:rPr>
          <w:rFonts w:cs="Palatino"/>
        </w:rPr>
        <w:t>There is insufficient evidence in companion animals to recommend use of the FF assay for clinical purposes.</w:t>
      </w:r>
    </w:p>
    <w:p w14:paraId="3F82ACC4" w14:textId="2BDCF878" w:rsidR="00C31915" w:rsidRPr="00C548EC" w:rsidRDefault="00C31915" w:rsidP="00C31915">
      <w:pPr>
        <w:pStyle w:val="ListParagraph"/>
        <w:widowControl w:val="0"/>
        <w:numPr>
          <w:ilvl w:val="0"/>
          <w:numId w:val="25"/>
        </w:numPr>
        <w:autoSpaceDE w:val="0"/>
        <w:autoSpaceDN w:val="0"/>
        <w:adjustRightInd w:val="0"/>
        <w:spacing w:after="240"/>
        <w:rPr>
          <w:rFonts w:cs="Times"/>
        </w:rPr>
      </w:pPr>
      <w:r w:rsidRPr="00C548EC">
        <w:rPr>
          <w:rFonts w:cs="Palatino"/>
        </w:rPr>
        <w:t xml:space="preserve">We recommend that </w:t>
      </w:r>
      <w:r w:rsidRPr="00C548EC">
        <w:rPr>
          <w:rFonts w:cs="Palatino"/>
        </w:rPr>
        <w:t xml:space="preserve">the standard FF assay using </w:t>
      </w:r>
      <w:proofErr w:type="spellStart"/>
      <w:r w:rsidRPr="00C548EC">
        <w:rPr>
          <w:rFonts w:cs="Palatino"/>
        </w:rPr>
        <w:t>ab</w:t>
      </w:r>
      <w:r w:rsidRPr="00C548EC">
        <w:rPr>
          <w:rFonts w:cs="Palatino"/>
        </w:rPr>
        <w:t>ciximab</w:t>
      </w:r>
      <w:proofErr w:type="spellEnd"/>
      <w:r w:rsidRPr="00C548EC">
        <w:rPr>
          <w:rFonts w:cs="Palatino"/>
        </w:rPr>
        <w:t xml:space="preserve"> is not used to determine FF concentrations in dogs.</w:t>
      </w:r>
    </w:p>
    <w:p w14:paraId="72B2D164" w14:textId="77777777" w:rsidR="00644D37" w:rsidRPr="00C548EC" w:rsidRDefault="00644D37" w:rsidP="0017584B">
      <w:pPr>
        <w:widowControl w:val="0"/>
        <w:autoSpaceDE w:val="0"/>
        <w:autoSpaceDN w:val="0"/>
        <w:adjustRightInd w:val="0"/>
        <w:spacing w:after="240"/>
        <w:rPr>
          <w:rFonts w:cs="Times"/>
        </w:rPr>
      </w:pPr>
    </w:p>
    <w:bookmarkEnd w:id="0"/>
    <w:sectPr w:rsidR="00644D37" w:rsidRPr="00C548EC" w:rsidSect="00502A2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Palatino">
    <w:panose1 w:val="00000000000000000000"/>
    <w:charset w:val="00"/>
    <w:family w:val="auto"/>
    <w:pitch w:val="variable"/>
    <w:sig w:usb0="A00002FF" w:usb1="7800205A" w:usb2="14600000" w:usb3="00000000" w:csb0="00000193" w:csb1="00000000"/>
  </w:font>
  <w:font w:name="Monaco">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36662CA"/>
    <w:multiLevelType w:val="hybridMultilevel"/>
    <w:tmpl w:val="7408B6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7C6229"/>
    <w:multiLevelType w:val="hybridMultilevel"/>
    <w:tmpl w:val="1506C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C304B1"/>
    <w:multiLevelType w:val="hybridMultilevel"/>
    <w:tmpl w:val="9AA67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2A157C"/>
    <w:multiLevelType w:val="hybridMultilevel"/>
    <w:tmpl w:val="65224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E3524D"/>
    <w:multiLevelType w:val="hybridMultilevel"/>
    <w:tmpl w:val="29F06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0F70BD"/>
    <w:multiLevelType w:val="hybridMultilevel"/>
    <w:tmpl w:val="A7FE4982"/>
    <w:lvl w:ilvl="0" w:tplc="A1A495DC">
      <w:start w:val="1"/>
      <w:numFmt w:val="decimal"/>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EC85E99"/>
    <w:multiLevelType w:val="hybridMultilevel"/>
    <w:tmpl w:val="9A0C5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F6D6BBC"/>
    <w:multiLevelType w:val="hybridMultilevel"/>
    <w:tmpl w:val="D026C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23B0DC7"/>
    <w:multiLevelType w:val="hybridMultilevel"/>
    <w:tmpl w:val="93B61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CD13D2D"/>
    <w:multiLevelType w:val="hybridMultilevel"/>
    <w:tmpl w:val="4E187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E444D15"/>
    <w:multiLevelType w:val="hybridMultilevel"/>
    <w:tmpl w:val="E4DC7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ED5146B"/>
    <w:multiLevelType w:val="hybridMultilevel"/>
    <w:tmpl w:val="01F0B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01F7D55"/>
    <w:multiLevelType w:val="hybridMultilevel"/>
    <w:tmpl w:val="AECE8A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060446F"/>
    <w:multiLevelType w:val="hybridMultilevel"/>
    <w:tmpl w:val="25FED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67B7311"/>
    <w:multiLevelType w:val="hybridMultilevel"/>
    <w:tmpl w:val="508C9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7342152"/>
    <w:multiLevelType w:val="hybridMultilevel"/>
    <w:tmpl w:val="DC343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8AE4E90"/>
    <w:multiLevelType w:val="hybridMultilevel"/>
    <w:tmpl w:val="77965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9736B80"/>
    <w:multiLevelType w:val="hybridMultilevel"/>
    <w:tmpl w:val="D07EF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9BA7758"/>
    <w:multiLevelType w:val="hybridMultilevel"/>
    <w:tmpl w:val="65D03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B3A7F2D"/>
    <w:multiLevelType w:val="hybridMultilevel"/>
    <w:tmpl w:val="5308D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1A3660D"/>
    <w:multiLevelType w:val="hybridMultilevel"/>
    <w:tmpl w:val="45B0C7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7945BBA"/>
    <w:multiLevelType w:val="hybridMultilevel"/>
    <w:tmpl w:val="87F0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8D62A1E"/>
    <w:multiLevelType w:val="hybridMultilevel"/>
    <w:tmpl w:val="155E1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00372BB"/>
    <w:multiLevelType w:val="hybridMultilevel"/>
    <w:tmpl w:val="942CE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4A22E88"/>
    <w:multiLevelType w:val="hybridMultilevel"/>
    <w:tmpl w:val="8AD49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537053E"/>
    <w:multiLevelType w:val="hybridMultilevel"/>
    <w:tmpl w:val="BC963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C4358AB"/>
    <w:multiLevelType w:val="hybridMultilevel"/>
    <w:tmpl w:val="9E48A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1"/>
  </w:num>
  <w:num w:numId="3">
    <w:abstractNumId w:val="13"/>
  </w:num>
  <w:num w:numId="4">
    <w:abstractNumId w:val="24"/>
  </w:num>
  <w:num w:numId="5">
    <w:abstractNumId w:val="6"/>
  </w:num>
  <w:num w:numId="6">
    <w:abstractNumId w:val="14"/>
  </w:num>
  <w:num w:numId="7">
    <w:abstractNumId w:val="10"/>
  </w:num>
  <w:num w:numId="8">
    <w:abstractNumId w:val="11"/>
  </w:num>
  <w:num w:numId="9">
    <w:abstractNumId w:val="12"/>
  </w:num>
  <w:num w:numId="10">
    <w:abstractNumId w:val="5"/>
  </w:num>
  <w:num w:numId="11">
    <w:abstractNumId w:val="17"/>
  </w:num>
  <w:num w:numId="12">
    <w:abstractNumId w:val="0"/>
  </w:num>
  <w:num w:numId="13">
    <w:abstractNumId w:val="25"/>
  </w:num>
  <w:num w:numId="14">
    <w:abstractNumId w:val="4"/>
  </w:num>
  <w:num w:numId="15">
    <w:abstractNumId w:val="18"/>
  </w:num>
  <w:num w:numId="16">
    <w:abstractNumId w:val="9"/>
  </w:num>
  <w:num w:numId="17">
    <w:abstractNumId w:val="20"/>
  </w:num>
  <w:num w:numId="18">
    <w:abstractNumId w:val="27"/>
  </w:num>
  <w:num w:numId="19">
    <w:abstractNumId w:val="26"/>
  </w:num>
  <w:num w:numId="20">
    <w:abstractNumId w:val="3"/>
  </w:num>
  <w:num w:numId="21">
    <w:abstractNumId w:val="19"/>
  </w:num>
  <w:num w:numId="22">
    <w:abstractNumId w:val="23"/>
  </w:num>
  <w:num w:numId="23">
    <w:abstractNumId w:val="22"/>
  </w:num>
  <w:num w:numId="24">
    <w:abstractNumId w:val="8"/>
  </w:num>
  <w:num w:numId="25">
    <w:abstractNumId w:val="16"/>
  </w:num>
  <w:num w:numId="26">
    <w:abstractNumId w:val="15"/>
  </w:num>
  <w:num w:numId="27">
    <w:abstractNumId w:val="2"/>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20C"/>
    <w:rsid w:val="0008470A"/>
    <w:rsid w:val="000C4ADE"/>
    <w:rsid w:val="00123396"/>
    <w:rsid w:val="00127C72"/>
    <w:rsid w:val="001354BF"/>
    <w:rsid w:val="0017584B"/>
    <w:rsid w:val="001A0B8F"/>
    <w:rsid w:val="001A6632"/>
    <w:rsid w:val="00202119"/>
    <w:rsid w:val="002149F8"/>
    <w:rsid w:val="00223DC2"/>
    <w:rsid w:val="002321D4"/>
    <w:rsid w:val="00247709"/>
    <w:rsid w:val="0025342B"/>
    <w:rsid w:val="00295714"/>
    <w:rsid w:val="0036175F"/>
    <w:rsid w:val="0036201C"/>
    <w:rsid w:val="00375BCE"/>
    <w:rsid w:val="003D5C86"/>
    <w:rsid w:val="00407AA2"/>
    <w:rsid w:val="00412958"/>
    <w:rsid w:val="0046422B"/>
    <w:rsid w:val="00482F07"/>
    <w:rsid w:val="004C2193"/>
    <w:rsid w:val="004E0BD4"/>
    <w:rsid w:val="004F3892"/>
    <w:rsid w:val="00502A2E"/>
    <w:rsid w:val="00543222"/>
    <w:rsid w:val="00557957"/>
    <w:rsid w:val="005A6C78"/>
    <w:rsid w:val="005C4A4B"/>
    <w:rsid w:val="005E213D"/>
    <w:rsid w:val="005E5EBD"/>
    <w:rsid w:val="006217EA"/>
    <w:rsid w:val="00644D37"/>
    <w:rsid w:val="00645D48"/>
    <w:rsid w:val="00666507"/>
    <w:rsid w:val="006A2140"/>
    <w:rsid w:val="006D3F87"/>
    <w:rsid w:val="006F44B3"/>
    <w:rsid w:val="006F73E1"/>
    <w:rsid w:val="00731399"/>
    <w:rsid w:val="007329A5"/>
    <w:rsid w:val="007369F3"/>
    <w:rsid w:val="007A4205"/>
    <w:rsid w:val="007D7B0A"/>
    <w:rsid w:val="007E4F4D"/>
    <w:rsid w:val="008262FE"/>
    <w:rsid w:val="00831F4E"/>
    <w:rsid w:val="00842696"/>
    <w:rsid w:val="0084623B"/>
    <w:rsid w:val="00865819"/>
    <w:rsid w:val="00875A8F"/>
    <w:rsid w:val="008955F4"/>
    <w:rsid w:val="008A7826"/>
    <w:rsid w:val="008C07D3"/>
    <w:rsid w:val="008F2FE7"/>
    <w:rsid w:val="00923B4D"/>
    <w:rsid w:val="00927464"/>
    <w:rsid w:val="009315AA"/>
    <w:rsid w:val="00950D80"/>
    <w:rsid w:val="00950EEE"/>
    <w:rsid w:val="00952A85"/>
    <w:rsid w:val="009964E9"/>
    <w:rsid w:val="009A1B68"/>
    <w:rsid w:val="009A69F0"/>
    <w:rsid w:val="009B3F4C"/>
    <w:rsid w:val="009B4C3A"/>
    <w:rsid w:val="009C63F7"/>
    <w:rsid w:val="009C7ACD"/>
    <w:rsid w:val="009F2F8F"/>
    <w:rsid w:val="00A2088E"/>
    <w:rsid w:val="00A35F74"/>
    <w:rsid w:val="00A56593"/>
    <w:rsid w:val="00A57E35"/>
    <w:rsid w:val="00A86671"/>
    <w:rsid w:val="00AB02E1"/>
    <w:rsid w:val="00AF54B2"/>
    <w:rsid w:val="00AF5A11"/>
    <w:rsid w:val="00B16B60"/>
    <w:rsid w:val="00B2690E"/>
    <w:rsid w:val="00B8357A"/>
    <w:rsid w:val="00B95DD1"/>
    <w:rsid w:val="00C10547"/>
    <w:rsid w:val="00C203AF"/>
    <w:rsid w:val="00C31915"/>
    <w:rsid w:val="00C548EC"/>
    <w:rsid w:val="00CA4685"/>
    <w:rsid w:val="00CE1A8F"/>
    <w:rsid w:val="00D041FB"/>
    <w:rsid w:val="00D178A6"/>
    <w:rsid w:val="00D26133"/>
    <w:rsid w:val="00D404C7"/>
    <w:rsid w:val="00D551F4"/>
    <w:rsid w:val="00D628E1"/>
    <w:rsid w:val="00DA0D0A"/>
    <w:rsid w:val="00E03DDB"/>
    <w:rsid w:val="00E05F34"/>
    <w:rsid w:val="00E146C2"/>
    <w:rsid w:val="00E40818"/>
    <w:rsid w:val="00E958B0"/>
    <w:rsid w:val="00EA4FEF"/>
    <w:rsid w:val="00EB51ED"/>
    <w:rsid w:val="00EB5BA1"/>
    <w:rsid w:val="00EB720C"/>
    <w:rsid w:val="00EC593F"/>
    <w:rsid w:val="00EF0C8C"/>
    <w:rsid w:val="00EF402C"/>
    <w:rsid w:val="00F511B3"/>
    <w:rsid w:val="00F5276B"/>
    <w:rsid w:val="00F672C4"/>
    <w:rsid w:val="00F729B8"/>
    <w:rsid w:val="00F823BE"/>
    <w:rsid w:val="00F952E4"/>
    <w:rsid w:val="00FC08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A3B817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B720C"/>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2149F8"/>
    <w:pPr>
      <w:ind w:left="720"/>
      <w:contextualSpacing/>
    </w:pPr>
  </w:style>
  <w:style w:type="paragraph" w:styleId="BalloonText">
    <w:name w:val="Balloon Text"/>
    <w:basedOn w:val="Normal"/>
    <w:link w:val="BalloonTextChar"/>
    <w:uiPriority w:val="99"/>
    <w:semiHidden/>
    <w:unhideWhenUsed/>
    <w:rsid w:val="005E5EB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E5EBD"/>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B720C"/>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2149F8"/>
    <w:pPr>
      <w:ind w:left="720"/>
      <w:contextualSpacing/>
    </w:pPr>
  </w:style>
  <w:style w:type="paragraph" w:styleId="BalloonText">
    <w:name w:val="Balloon Text"/>
    <w:basedOn w:val="Normal"/>
    <w:link w:val="BalloonTextChar"/>
    <w:uiPriority w:val="99"/>
    <w:semiHidden/>
    <w:unhideWhenUsed/>
    <w:rsid w:val="005E5EB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E5EBD"/>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410299">
      <w:bodyDiv w:val="1"/>
      <w:marLeft w:val="0"/>
      <w:marRight w:val="0"/>
      <w:marTop w:val="0"/>
      <w:marBottom w:val="0"/>
      <w:divBdr>
        <w:top w:val="none" w:sz="0" w:space="0" w:color="auto"/>
        <w:left w:val="none" w:sz="0" w:space="0" w:color="auto"/>
        <w:bottom w:val="none" w:sz="0" w:space="0" w:color="auto"/>
        <w:right w:val="none" w:sz="0" w:space="0" w:color="auto"/>
      </w:divBdr>
      <w:divsChild>
        <w:div w:id="356278109">
          <w:marLeft w:val="0"/>
          <w:marRight w:val="0"/>
          <w:marTop w:val="0"/>
          <w:marBottom w:val="0"/>
          <w:divBdr>
            <w:top w:val="none" w:sz="0" w:space="0" w:color="auto"/>
            <w:left w:val="none" w:sz="0" w:space="0" w:color="auto"/>
            <w:bottom w:val="none" w:sz="0" w:space="0" w:color="auto"/>
            <w:right w:val="none" w:sz="0" w:space="0" w:color="auto"/>
          </w:divBdr>
          <w:divsChild>
            <w:div w:id="1627158754">
              <w:marLeft w:val="0"/>
              <w:marRight w:val="0"/>
              <w:marTop w:val="0"/>
              <w:marBottom w:val="0"/>
              <w:divBdr>
                <w:top w:val="none" w:sz="0" w:space="0" w:color="auto"/>
                <w:left w:val="none" w:sz="0" w:space="0" w:color="auto"/>
                <w:bottom w:val="none" w:sz="0" w:space="0" w:color="auto"/>
                <w:right w:val="none" w:sz="0" w:space="0" w:color="auto"/>
              </w:divBdr>
              <w:divsChild>
                <w:div w:id="196924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053713">
      <w:bodyDiv w:val="1"/>
      <w:marLeft w:val="0"/>
      <w:marRight w:val="0"/>
      <w:marTop w:val="0"/>
      <w:marBottom w:val="0"/>
      <w:divBdr>
        <w:top w:val="none" w:sz="0" w:space="0" w:color="auto"/>
        <w:left w:val="none" w:sz="0" w:space="0" w:color="auto"/>
        <w:bottom w:val="none" w:sz="0" w:space="0" w:color="auto"/>
        <w:right w:val="none" w:sz="0" w:space="0" w:color="auto"/>
      </w:divBdr>
      <w:divsChild>
        <w:div w:id="2058429782">
          <w:marLeft w:val="0"/>
          <w:marRight w:val="0"/>
          <w:marTop w:val="0"/>
          <w:marBottom w:val="0"/>
          <w:divBdr>
            <w:top w:val="none" w:sz="0" w:space="0" w:color="auto"/>
            <w:left w:val="none" w:sz="0" w:space="0" w:color="auto"/>
            <w:bottom w:val="none" w:sz="0" w:space="0" w:color="auto"/>
            <w:right w:val="none" w:sz="0" w:space="0" w:color="auto"/>
          </w:divBdr>
          <w:divsChild>
            <w:div w:id="1781141511">
              <w:marLeft w:val="0"/>
              <w:marRight w:val="0"/>
              <w:marTop w:val="0"/>
              <w:marBottom w:val="0"/>
              <w:divBdr>
                <w:top w:val="none" w:sz="0" w:space="0" w:color="auto"/>
                <w:left w:val="none" w:sz="0" w:space="0" w:color="auto"/>
                <w:bottom w:val="none" w:sz="0" w:space="0" w:color="auto"/>
                <w:right w:val="none" w:sz="0" w:space="0" w:color="auto"/>
              </w:divBdr>
              <w:divsChild>
                <w:div w:id="86448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2" Type="http://schemas.openxmlformats.org/officeDocument/2006/relationships/image" Target="media/image7.emf"/><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20</Pages>
  <Words>4279</Words>
  <Characters>23197</Characters>
  <Application>Microsoft Macintosh Word</Application>
  <DocSecurity>0</DocSecurity>
  <Lines>437</Lines>
  <Paragraphs>132</Paragraphs>
  <ScaleCrop>false</ScaleCrop>
  <Company>Cornell University College of Veterinary Medicine</Company>
  <LinksUpToDate>false</LinksUpToDate>
  <CharactersWithSpaces>27344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madden</dc:creator>
  <cp:keywords/>
  <dc:description/>
  <cp:lastModifiedBy>valerie madden</cp:lastModifiedBy>
  <cp:revision>109</cp:revision>
  <dcterms:created xsi:type="dcterms:W3CDTF">2014-02-26T15:55:00Z</dcterms:created>
  <dcterms:modified xsi:type="dcterms:W3CDTF">2014-03-06T01:29:00Z</dcterms:modified>
</cp:coreProperties>
</file>