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C855C" w14:textId="77777777" w:rsidR="008F05A2" w:rsidRDefault="003A7AD5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121DF5EE" wp14:editId="22705E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0380" cy="4421505"/>
            <wp:effectExtent l="0" t="0" r="7620" b="0"/>
            <wp:wrapTight wrapText="bothSides">
              <wp:wrapPolygon edited="0">
                <wp:start x="0" y="0"/>
                <wp:lineTo x="0" y="21467"/>
                <wp:lineTo x="21544" y="21467"/>
                <wp:lineTo x="2154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44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 xml:space="preserve">DGGR – cleaved by lipase, resulting in </w:t>
      </w:r>
      <w:proofErr w:type="spellStart"/>
      <w:r>
        <w:rPr>
          <w:rFonts w:asciiTheme="majorHAnsi" w:hAnsiTheme="majorHAnsi"/>
        </w:rPr>
        <w:t>untable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dicarbonic</w:t>
      </w:r>
      <w:proofErr w:type="spellEnd"/>
      <w:r>
        <w:rPr>
          <w:rFonts w:asciiTheme="majorHAnsi" w:hAnsiTheme="majorHAnsi"/>
        </w:rPr>
        <w:t xml:space="preserve"> acid ester, which is spontaneously hydrolyzed under alkaline pH to yield </w:t>
      </w:r>
      <w:proofErr w:type="spellStart"/>
      <w:r>
        <w:rPr>
          <w:rFonts w:asciiTheme="majorHAnsi" w:hAnsiTheme="majorHAnsi"/>
        </w:rPr>
        <w:t>glutaric</w:t>
      </w:r>
      <w:proofErr w:type="spellEnd"/>
      <w:r>
        <w:rPr>
          <w:rFonts w:asciiTheme="majorHAnsi" w:hAnsiTheme="majorHAnsi"/>
        </w:rPr>
        <w:t xml:space="preserve"> acid and </w:t>
      </w:r>
      <w:proofErr w:type="spellStart"/>
      <w:r>
        <w:rPr>
          <w:rFonts w:asciiTheme="majorHAnsi" w:hAnsiTheme="majorHAnsi"/>
        </w:rPr>
        <w:t>methylresorufin</w:t>
      </w:r>
      <w:proofErr w:type="spellEnd"/>
      <w:r>
        <w:rPr>
          <w:rFonts w:asciiTheme="majorHAnsi" w:hAnsiTheme="majorHAnsi"/>
        </w:rPr>
        <w:t>, a blue-purple (</w:t>
      </w:r>
      <w:proofErr w:type="spellStart"/>
      <w:r>
        <w:rPr>
          <w:rFonts w:asciiTheme="majorHAnsi" w:hAnsiTheme="majorHAnsi"/>
        </w:rPr>
        <w:t>blurple</w:t>
      </w:r>
      <w:proofErr w:type="spellEnd"/>
      <w:r>
        <w:rPr>
          <w:rFonts w:asciiTheme="majorHAnsi" w:hAnsiTheme="majorHAnsi"/>
        </w:rPr>
        <w:t>) with peak absorption at 580 nm. Rate of formation is directly proportional to the lipase activity in the serum sample.</w:t>
      </w:r>
    </w:p>
    <w:p w14:paraId="77B4C01C" w14:textId="77777777" w:rsidR="00435785" w:rsidRDefault="00435785">
      <w:pPr>
        <w:rPr>
          <w:rFonts w:asciiTheme="majorHAnsi" w:hAnsiTheme="majorHAnsi"/>
        </w:rPr>
      </w:pPr>
    </w:p>
    <w:p w14:paraId="6C3ADA05" w14:textId="77777777" w:rsidR="003A7AD5" w:rsidRDefault="003A7AD5">
      <w:pPr>
        <w:rPr>
          <w:rFonts w:asciiTheme="majorHAnsi" w:hAnsiTheme="majorHAnsi"/>
        </w:rPr>
      </w:pPr>
      <w:proofErr w:type="spellStart"/>
      <w:proofErr w:type="gramStart"/>
      <w:r>
        <w:rPr>
          <w:rFonts w:asciiTheme="majorHAnsi" w:hAnsiTheme="majorHAnsi"/>
        </w:rPr>
        <w:t>fPLI</w:t>
      </w:r>
      <w:proofErr w:type="spellEnd"/>
      <w:proofErr w:type="gramEnd"/>
      <w:r>
        <w:rPr>
          <w:rFonts w:asciiTheme="majorHAnsi" w:hAnsiTheme="majorHAnsi"/>
        </w:rPr>
        <w:t xml:space="preserve"> – radioimmunoassay using polyclonal antibodies. Evaluated in 18 cats – sensitivity 54% for mild, 100% for moderate-severe. </w:t>
      </w:r>
      <w:proofErr w:type="gramStart"/>
      <w:r>
        <w:rPr>
          <w:rFonts w:asciiTheme="majorHAnsi" w:hAnsiTheme="majorHAnsi"/>
        </w:rPr>
        <w:t>Specificity 67-100%.</w:t>
      </w:r>
      <w:proofErr w:type="gramEnd"/>
      <w:r>
        <w:rPr>
          <w:rFonts w:asciiTheme="majorHAnsi" w:hAnsiTheme="majorHAnsi"/>
        </w:rPr>
        <w:t xml:space="preserve"> Redesigned as </w:t>
      </w:r>
      <w:proofErr w:type="gramStart"/>
      <w:r>
        <w:rPr>
          <w:rFonts w:asciiTheme="majorHAnsi" w:hAnsiTheme="majorHAnsi"/>
        </w:rPr>
        <w:t>a</w:t>
      </w:r>
      <w:proofErr w:type="gramEnd"/>
      <w:r>
        <w:rPr>
          <w:rFonts w:asciiTheme="majorHAnsi" w:hAnsiTheme="majorHAnsi"/>
        </w:rPr>
        <w:t xml:space="preserve"> ELISA using monoclonal abs (Spec </w:t>
      </w:r>
      <w:proofErr w:type="spellStart"/>
      <w:r>
        <w:rPr>
          <w:rFonts w:asciiTheme="majorHAnsi" w:hAnsiTheme="majorHAnsi"/>
        </w:rPr>
        <w:t>fPL</w:t>
      </w:r>
      <w:proofErr w:type="spellEnd"/>
      <w:r>
        <w:rPr>
          <w:rFonts w:asciiTheme="majorHAnsi" w:hAnsiTheme="majorHAnsi"/>
        </w:rPr>
        <w:t>) with sensitivity of 79% specificity of 82%. Generally regarded as most sensitive, but cons include limited availability, inability to produce immediate results, high cost.</w:t>
      </w:r>
    </w:p>
    <w:p w14:paraId="28CAE8BB" w14:textId="77777777" w:rsidR="00AD28D0" w:rsidRDefault="00AD28D0">
      <w:pPr>
        <w:rPr>
          <w:rFonts w:asciiTheme="majorHAnsi" w:hAnsiTheme="majorHAnsi"/>
        </w:rPr>
      </w:pPr>
    </w:p>
    <w:p w14:paraId="0B4F0B9A" w14:textId="77777777" w:rsidR="003A7AD5" w:rsidRDefault="003A7AD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AIM: Establish precision and linearity of DGGR-lipase in cats, and to evaluate the agreement between DGGR-lipase and Spec </w:t>
      </w:r>
      <w:proofErr w:type="spellStart"/>
      <w:r>
        <w:rPr>
          <w:rFonts w:asciiTheme="majorHAnsi" w:hAnsiTheme="majorHAnsi"/>
        </w:rPr>
        <w:t>fPL</w:t>
      </w:r>
      <w:proofErr w:type="spellEnd"/>
    </w:p>
    <w:p w14:paraId="727CD93A" w14:textId="77777777" w:rsidR="00AD28D0" w:rsidRDefault="00AD28D0">
      <w:pPr>
        <w:rPr>
          <w:rFonts w:asciiTheme="majorHAnsi" w:hAnsiTheme="majorHAnsi"/>
        </w:rPr>
      </w:pPr>
    </w:p>
    <w:p w14:paraId="3AA66E72" w14:textId="77777777" w:rsidR="00435785" w:rsidRDefault="00435785">
      <w:pPr>
        <w:rPr>
          <w:rFonts w:asciiTheme="majorHAnsi" w:hAnsiTheme="majorHAnsi"/>
        </w:rPr>
      </w:pPr>
      <w:r>
        <w:rPr>
          <w:rFonts w:asciiTheme="majorHAnsi" w:hAnsiTheme="majorHAnsi"/>
        </w:rPr>
        <w:t>M&amp;M:</w:t>
      </w:r>
    </w:p>
    <w:p w14:paraId="1DE7E64E" w14:textId="77777777" w:rsidR="00AD28D0" w:rsidRDefault="00AD28D0">
      <w:pPr>
        <w:rPr>
          <w:rFonts w:asciiTheme="majorHAnsi" w:hAnsiTheme="majorHAnsi"/>
        </w:rPr>
      </w:pPr>
      <w:r>
        <w:rPr>
          <w:rFonts w:asciiTheme="majorHAnsi" w:hAnsiTheme="majorHAnsi"/>
        </w:rPr>
        <w:t>Within-run precision – samples were divided into low, medium and high DGGR-lipase and pooled. 20 tests were performed consecutively.</w:t>
      </w:r>
    </w:p>
    <w:p w14:paraId="647AFE79" w14:textId="77777777" w:rsidR="00AD28D0" w:rsidRDefault="00AD28D0">
      <w:pPr>
        <w:rPr>
          <w:rFonts w:asciiTheme="majorHAnsi" w:hAnsiTheme="majorHAnsi"/>
        </w:rPr>
      </w:pPr>
      <w:r>
        <w:rPr>
          <w:rFonts w:asciiTheme="majorHAnsi" w:hAnsiTheme="majorHAnsi"/>
        </w:rPr>
        <w:t>Patient</w:t>
      </w:r>
      <w:r w:rsidR="00435785">
        <w:rPr>
          <w:rFonts w:asciiTheme="majorHAnsi" w:hAnsiTheme="majorHAnsi"/>
        </w:rPr>
        <w:t xml:space="preserve"> study – all cats with suspicion of pancreatitis had both DGGR-lipase and Spec </w:t>
      </w:r>
      <w:proofErr w:type="spellStart"/>
      <w:r w:rsidR="00435785">
        <w:rPr>
          <w:rFonts w:asciiTheme="majorHAnsi" w:hAnsiTheme="majorHAnsi"/>
        </w:rPr>
        <w:t>fPL</w:t>
      </w:r>
      <w:proofErr w:type="spellEnd"/>
      <w:r w:rsidR="00435785">
        <w:rPr>
          <w:rFonts w:asciiTheme="majorHAnsi" w:hAnsiTheme="majorHAnsi"/>
        </w:rPr>
        <w:t xml:space="preserve"> performed, in addition to creatinine. Samples run on the same blood sample</w:t>
      </w:r>
    </w:p>
    <w:p w14:paraId="5D815460" w14:textId="77777777" w:rsidR="00435785" w:rsidRDefault="00435785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DGGR-lipase reference range 8-26 U/L (previously established)</w:t>
      </w:r>
    </w:p>
    <w:p w14:paraId="458EE0B5" w14:textId="77777777" w:rsidR="00435785" w:rsidRDefault="00435785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Spec </w:t>
      </w:r>
      <w:proofErr w:type="spellStart"/>
      <w:r>
        <w:rPr>
          <w:rFonts w:asciiTheme="majorHAnsi" w:hAnsiTheme="majorHAnsi"/>
        </w:rPr>
        <w:t>fPL</w:t>
      </w:r>
      <w:proofErr w:type="spellEnd"/>
      <w:r>
        <w:rPr>
          <w:rFonts w:asciiTheme="majorHAnsi" w:hAnsiTheme="majorHAnsi"/>
        </w:rPr>
        <w:t xml:space="preserve"> – measured by IDEXX</w:t>
      </w:r>
    </w:p>
    <w:p w14:paraId="154F66EF" w14:textId="77777777" w:rsidR="00435785" w:rsidRDefault="0043578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Compared to </w:t>
      </w:r>
      <w:proofErr w:type="spellStart"/>
      <w:r>
        <w:rPr>
          <w:rFonts w:asciiTheme="majorHAnsi" w:hAnsiTheme="majorHAnsi"/>
        </w:rPr>
        <w:t>histo</w:t>
      </w:r>
      <w:proofErr w:type="spellEnd"/>
      <w:r>
        <w:rPr>
          <w:rFonts w:asciiTheme="majorHAnsi" w:hAnsiTheme="majorHAnsi"/>
        </w:rPr>
        <w:t xml:space="preserve"> when available</w:t>
      </w:r>
    </w:p>
    <w:p w14:paraId="222C96DF" w14:textId="77777777" w:rsidR="00435785" w:rsidRDefault="00435785">
      <w:pPr>
        <w:rPr>
          <w:rFonts w:asciiTheme="majorHAnsi" w:hAnsiTheme="majorHAnsi"/>
        </w:rPr>
      </w:pPr>
      <w:r>
        <w:rPr>
          <w:rFonts w:asciiTheme="majorHAnsi" w:hAnsiTheme="majorHAnsi"/>
        </w:rPr>
        <w:t>Creatinine – trying to assess if decreased GFR contributed to changes in values</w:t>
      </w:r>
    </w:p>
    <w:p w14:paraId="23A4BDC2" w14:textId="77777777" w:rsidR="00435785" w:rsidRDefault="00435785">
      <w:pPr>
        <w:rPr>
          <w:rFonts w:asciiTheme="majorHAnsi" w:hAnsiTheme="majorHAnsi"/>
        </w:rPr>
      </w:pPr>
    </w:p>
    <w:p w14:paraId="02107FAA" w14:textId="77777777" w:rsidR="00435785" w:rsidRDefault="00435785">
      <w:pPr>
        <w:rPr>
          <w:rFonts w:asciiTheme="majorHAnsi" w:hAnsiTheme="majorHAnsi"/>
        </w:rPr>
      </w:pPr>
      <w:r>
        <w:rPr>
          <w:rFonts w:asciiTheme="majorHAnsi" w:hAnsiTheme="majorHAnsi"/>
        </w:rPr>
        <w:t>Results:</w:t>
      </w:r>
    </w:p>
    <w:p w14:paraId="4DFE5B79" w14:textId="77777777" w:rsidR="00435785" w:rsidRDefault="00435785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BE5AFA3" wp14:editId="458FCBF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58665" cy="3352165"/>
            <wp:effectExtent l="0" t="0" r="0" b="635"/>
            <wp:wrapTight wrapText="bothSides">
              <wp:wrapPolygon edited="0">
                <wp:start x="0" y="0"/>
                <wp:lineTo x="0" y="21440"/>
                <wp:lineTo x="21422" y="21440"/>
                <wp:lineTo x="2142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665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80C13" w14:textId="77777777" w:rsidR="00AD28D0" w:rsidRDefault="00AD28D0">
      <w:pPr>
        <w:rPr>
          <w:rFonts w:asciiTheme="majorHAnsi" w:hAnsiTheme="majorHAnsi"/>
        </w:rPr>
      </w:pPr>
    </w:p>
    <w:p w14:paraId="79C3FA95" w14:textId="77777777" w:rsidR="00AD28D0" w:rsidRDefault="00AD28D0">
      <w:pPr>
        <w:rPr>
          <w:rFonts w:asciiTheme="majorHAnsi" w:hAnsiTheme="majorHAnsi"/>
        </w:rPr>
      </w:pPr>
    </w:p>
    <w:p w14:paraId="6E71237B" w14:textId="77777777" w:rsidR="00435785" w:rsidRDefault="00435785">
      <w:pPr>
        <w:rPr>
          <w:rFonts w:asciiTheme="majorHAnsi" w:hAnsiTheme="majorHAnsi"/>
        </w:rPr>
      </w:pPr>
    </w:p>
    <w:p w14:paraId="056B218B" w14:textId="77777777" w:rsidR="00435785" w:rsidRDefault="00435785">
      <w:pPr>
        <w:rPr>
          <w:rFonts w:asciiTheme="majorHAnsi" w:hAnsiTheme="majorHAnsi"/>
        </w:rPr>
      </w:pPr>
    </w:p>
    <w:p w14:paraId="79F28EB6" w14:textId="77777777" w:rsidR="00435785" w:rsidRDefault="00435785">
      <w:pPr>
        <w:rPr>
          <w:rFonts w:asciiTheme="majorHAnsi" w:hAnsiTheme="majorHAnsi"/>
        </w:rPr>
      </w:pPr>
    </w:p>
    <w:p w14:paraId="6959C550" w14:textId="77777777" w:rsidR="00435785" w:rsidRDefault="00435785">
      <w:pPr>
        <w:rPr>
          <w:rFonts w:asciiTheme="majorHAnsi" w:hAnsiTheme="majorHAnsi"/>
        </w:rPr>
      </w:pPr>
    </w:p>
    <w:p w14:paraId="33F38F2A" w14:textId="77777777" w:rsidR="00435785" w:rsidRDefault="00435785">
      <w:pPr>
        <w:rPr>
          <w:rFonts w:asciiTheme="majorHAnsi" w:hAnsiTheme="majorHAnsi"/>
        </w:rPr>
      </w:pPr>
    </w:p>
    <w:p w14:paraId="21C816D3" w14:textId="77777777" w:rsidR="00435785" w:rsidRDefault="00435785">
      <w:pPr>
        <w:rPr>
          <w:rFonts w:asciiTheme="majorHAnsi" w:hAnsiTheme="majorHAnsi"/>
        </w:rPr>
      </w:pPr>
    </w:p>
    <w:p w14:paraId="14206AF5" w14:textId="77777777" w:rsidR="00435785" w:rsidRDefault="00435785">
      <w:pPr>
        <w:rPr>
          <w:rFonts w:asciiTheme="majorHAnsi" w:hAnsiTheme="majorHAnsi"/>
        </w:rPr>
      </w:pPr>
    </w:p>
    <w:p w14:paraId="3AB3E55D" w14:textId="77777777" w:rsidR="00435785" w:rsidRDefault="00435785">
      <w:pPr>
        <w:rPr>
          <w:rFonts w:asciiTheme="majorHAnsi" w:hAnsiTheme="majorHAnsi"/>
        </w:rPr>
      </w:pPr>
    </w:p>
    <w:p w14:paraId="2272E8A5" w14:textId="77777777" w:rsidR="00435785" w:rsidRDefault="00435785">
      <w:pPr>
        <w:rPr>
          <w:rFonts w:asciiTheme="majorHAnsi" w:hAnsiTheme="majorHAnsi"/>
        </w:rPr>
      </w:pPr>
    </w:p>
    <w:p w14:paraId="2D53BCD6" w14:textId="77777777" w:rsidR="00435785" w:rsidRDefault="00435785">
      <w:pPr>
        <w:rPr>
          <w:rFonts w:asciiTheme="majorHAnsi" w:hAnsiTheme="majorHAnsi"/>
        </w:rPr>
      </w:pPr>
    </w:p>
    <w:p w14:paraId="00802EBE" w14:textId="77777777" w:rsidR="00435785" w:rsidRDefault="00435785">
      <w:pPr>
        <w:rPr>
          <w:rFonts w:asciiTheme="majorHAnsi" w:hAnsiTheme="majorHAnsi"/>
        </w:rPr>
      </w:pPr>
    </w:p>
    <w:p w14:paraId="508DF00F" w14:textId="77777777" w:rsidR="00435785" w:rsidRDefault="00435785">
      <w:pPr>
        <w:rPr>
          <w:rFonts w:asciiTheme="majorHAnsi" w:hAnsiTheme="majorHAnsi"/>
        </w:rPr>
      </w:pPr>
    </w:p>
    <w:p w14:paraId="703F62C3" w14:textId="77777777" w:rsidR="00435785" w:rsidRDefault="00435785">
      <w:pPr>
        <w:rPr>
          <w:rFonts w:asciiTheme="majorHAnsi" w:hAnsiTheme="majorHAnsi"/>
        </w:rPr>
      </w:pPr>
    </w:p>
    <w:p w14:paraId="4ABCCD0C" w14:textId="77777777" w:rsidR="00435785" w:rsidRDefault="00435785">
      <w:pPr>
        <w:rPr>
          <w:rFonts w:asciiTheme="majorHAnsi" w:hAnsiTheme="majorHAnsi"/>
        </w:rPr>
      </w:pPr>
    </w:p>
    <w:p w14:paraId="48132917" w14:textId="77777777" w:rsidR="00435785" w:rsidRDefault="00435785">
      <w:pPr>
        <w:rPr>
          <w:rFonts w:asciiTheme="majorHAnsi" w:hAnsiTheme="majorHAnsi"/>
        </w:rPr>
      </w:pPr>
    </w:p>
    <w:p w14:paraId="221C2821" w14:textId="77777777" w:rsidR="00BC30FF" w:rsidRDefault="00BC30F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Conclusions: </w:t>
      </w:r>
    </w:p>
    <w:p w14:paraId="2D3C4C7C" w14:textId="77777777" w:rsidR="00435785" w:rsidRDefault="00BC30F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DGGR-lipase as well as Spec </w:t>
      </w:r>
      <w:proofErr w:type="spellStart"/>
      <w:r>
        <w:rPr>
          <w:rFonts w:asciiTheme="majorHAnsi" w:hAnsiTheme="majorHAnsi"/>
        </w:rPr>
        <w:t>fPL</w:t>
      </w:r>
      <w:proofErr w:type="spellEnd"/>
      <w:r>
        <w:rPr>
          <w:rFonts w:asciiTheme="majorHAnsi" w:hAnsiTheme="majorHAnsi"/>
        </w:rPr>
        <w:t xml:space="preserve"> showed excellent sensitivity for acute pancreatitis</w:t>
      </w:r>
    </w:p>
    <w:p w14:paraId="7D4F0A5C" w14:textId="77777777" w:rsidR="00BC30FF" w:rsidRDefault="00BC30FF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Sensitivity for chronic pancreatitis mediocre.</w:t>
      </w:r>
      <w:proofErr w:type="gramEnd"/>
    </w:p>
    <w:p w14:paraId="5C4D590A" w14:textId="77777777" w:rsidR="00BC30FF" w:rsidRDefault="00BC30FF">
      <w:pPr>
        <w:rPr>
          <w:rFonts w:asciiTheme="majorHAnsi" w:hAnsiTheme="majorHAnsi"/>
        </w:rPr>
      </w:pPr>
      <w:r>
        <w:rPr>
          <w:rFonts w:asciiTheme="majorHAnsi" w:hAnsiTheme="majorHAnsi"/>
        </w:rPr>
        <w:t>Both assays similarly affected by elevations in creatinine, but warrants further investigation.</w:t>
      </w:r>
    </w:p>
    <w:p w14:paraId="1E5DCAF2" w14:textId="77777777" w:rsidR="00BC30FF" w:rsidRDefault="00BC30FF">
      <w:pPr>
        <w:rPr>
          <w:rFonts w:asciiTheme="majorHAnsi" w:hAnsiTheme="majorHAnsi"/>
        </w:rPr>
      </w:pPr>
      <w:r>
        <w:rPr>
          <w:rFonts w:asciiTheme="majorHAnsi" w:hAnsiTheme="majorHAnsi"/>
        </w:rPr>
        <w:t>DGGR-lipase should be considered reasonable alternative. Cheaper</w:t>
      </w:r>
    </w:p>
    <w:p w14:paraId="0F3F787D" w14:textId="77777777" w:rsidR="00BC30FF" w:rsidRDefault="00BC30FF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63360" behindDoc="0" locked="0" layoutInCell="1" allowOverlap="1" wp14:anchorId="3890B512" wp14:editId="227F54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9745" cy="4098925"/>
            <wp:effectExtent l="0" t="0" r="8255" b="0"/>
            <wp:wrapTight wrapText="bothSides">
              <wp:wrapPolygon edited="0">
                <wp:start x="0" y="0"/>
                <wp:lineTo x="0" y="21416"/>
                <wp:lineTo x="21546" y="21416"/>
                <wp:lineTo x="215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 xml:space="preserve">Traditional GFR measurements require </w:t>
      </w:r>
      <w:proofErr w:type="spellStart"/>
      <w:r>
        <w:rPr>
          <w:rFonts w:asciiTheme="majorHAnsi" w:hAnsiTheme="majorHAnsi"/>
        </w:rPr>
        <w:t>iohexol</w:t>
      </w:r>
      <w:proofErr w:type="spellEnd"/>
      <w:r>
        <w:rPr>
          <w:rFonts w:asciiTheme="majorHAnsi" w:hAnsiTheme="majorHAnsi"/>
        </w:rPr>
        <w:t xml:space="preserve"> administered intravenously and then collecting multiple blood samples over a variable time period and generating a plasma concentration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time curve, with which one can determine a area under the curve (AUC). Clearance is calculated as the dose of the marker divided by the AUC.</w:t>
      </w:r>
    </w:p>
    <w:p w14:paraId="10FE0D55" w14:textId="77777777" w:rsidR="00BC30FF" w:rsidRDefault="00BC30FF">
      <w:pPr>
        <w:rPr>
          <w:rFonts w:asciiTheme="majorHAnsi" w:hAnsiTheme="majorHAnsi"/>
        </w:rPr>
      </w:pPr>
      <w:r>
        <w:rPr>
          <w:rFonts w:asciiTheme="majorHAnsi" w:hAnsiTheme="majorHAnsi"/>
        </w:rPr>
        <w:t>Recently a corrected slope-intercept method has been validated in cats, requiring only 3 samples</w:t>
      </w:r>
    </w:p>
    <w:p w14:paraId="7D523903" w14:textId="77777777" w:rsidR="00BC30FF" w:rsidRDefault="00BC30FF">
      <w:pPr>
        <w:rPr>
          <w:rFonts w:asciiTheme="majorHAnsi" w:hAnsiTheme="majorHAnsi"/>
        </w:rPr>
      </w:pPr>
    </w:p>
    <w:p w14:paraId="56621EB3" w14:textId="77777777" w:rsidR="00BC30FF" w:rsidRDefault="00BC30FF">
      <w:pPr>
        <w:rPr>
          <w:rFonts w:asciiTheme="majorHAnsi" w:hAnsiTheme="majorHAnsi"/>
        </w:rPr>
      </w:pPr>
      <w:r>
        <w:rPr>
          <w:rFonts w:asciiTheme="majorHAnsi" w:hAnsiTheme="majorHAnsi"/>
        </w:rPr>
        <w:t>For a single sample to be useful the following must be true: the marker must have a known volume of distribution, second the sample must be collected at a time when the distribution phase has reached completion.</w:t>
      </w:r>
    </w:p>
    <w:p w14:paraId="0D40A78D" w14:textId="77777777" w:rsidR="00BC30FF" w:rsidRDefault="00BC30FF">
      <w:pPr>
        <w:rPr>
          <w:rFonts w:asciiTheme="majorHAnsi" w:hAnsiTheme="majorHAnsi"/>
        </w:rPr>
      </w:pPr>
    </w:p>
    <w:p w14:paraId="04687CA1" w14:textId="77777777" w:rsidR="00BC30FF" w:rsidRDefault="00BC30FF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Objective – to evaluate a single sample method for determining </w:t>
      </w:r>
      <w:proofErr w:type="spellStart"/>
      <w:r>
        <w:rPr>
          <w:rFonts w:asciiTheme="majorHAnsi" w:hAnsiTheme="majorHAnsi"/>
        </w:rPr>
        <w:t>iohexol</w:t>
      </w:r>
      <w:proofErr w:type="spellEnd"/>
      <w:r>
        <w:rPr>
          <w:rFonts w:asciiTheme="majorHAnsi" w:hAnsiTheme="majorHAnsi"/>
        </w:rPr>
        <w:t xml:space="preserve"> clearance in cats.</w:t>
      </w:r>
      <w:proofErr w:type="gramEnd"/>
    </w:p>
    <w:p w14:paraId="3781ED01" w14:textId="77777777" w:rsidR="00BC30FF" w:rsidRDefault="00BC30FF">
      <w:pPr>
        <w:rPr>
          <w:rFonts w:asciiTheme="majorHAnsi" w:hAnsiTheme="majorHAnsi"/>
        </w:rPr>
      </w:pPr>
    </w:p>
    <w:p w14:paraId="0E6E01E7" w14:textId="77777777" w:rsidR="00BC30FF" w:rsidRDefault="00BC30FF">
      <w:pPr>
        <w:rPr>
          <w:rFonts w:asciiTheme="majorHAnsi" w:hAnsiTheme="majorHAnsi"/>
        </w:rPr>
      </w:pPr>
      <w:r>
        <w:rPr>
          <w:rFonts w:asciiTheme="majorHAnsi" w:hAnsiTheme="majorHAnsi"/>
        </w:rPr>
        <w:t>M/M:</w:t>
      </w:r>
      <w:r w:rsidR="00C57ED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89 cats, known plasma creatinine concentrations were recruited. Prospective study</w:t>
      </w:r>
      <w:r w:rsidR="00184266">
        <w:rPr>
          <w:rFonts w:asciiTheme="majorHAnsi" w:hAnsiTheme="majorHAnsi"/>
        </w:rPr>
        <w:t>.</w:t>
      </w:r>
    </w:p>
    <w:p w14:paraId="2D4BB9C9" w14:textId="77777777" w:rsidR="00184266" w:rsidRDefault="00184266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Bolusdose</w:t>
      </w:r>
      <w:proofErr w:type="spellEnd"/>
      <w:r>
        <w:rPr>
          <w:rFonts w:asciiTheme="majorHAnsi" w:hAnsiTheme="majorHAnsi"/>
        </w:rPr>
        <w:t xml:space="preserve"> of 647mg/kg </w:t>
      </w:r>
      <w:proofErr w:type="spellStart"/>
      <w:r>
        <w:rPr>
          <w:rFonts w:asciiTheme="majorHAnsi" w:hAnsiTheme="majorHAnsi"/>
        </w:rPr>
        <w:t>iohexol</w:t>
      </w:r>
      <w:proofErr w:type="spellEnd"/>
      <w:r>
        <w:rPr>
          <w:rFonts w:asciiTheme="majorHAnsi" w:hAnsiTheme="majorHAnsi"/>
        </w:rPr>
        <w:t xml:space="preserve"> was administered IV</w:t>
      </w:r>
    </w:p>
    <w:p w14:paraId="4D2316B5" w14:textId="77777777" w:rsidR="00184266" w:rsidRDefault="0018426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Blood samples collected at 120, 180 and 240 minutes. HPLC method performed to quantitate </w:t>
      </w:r>
      <w:proofErr w:type="spellStart"/>
      <w:r>
        <w:rPr>
          <w:rFonts w:asciiTheme="majorHAnsi" w:hAnsiTheme="majorHAnsi"/>
        </w:rPr>
        <w:t>iohexol</w:t>
      </w:r>
      <w:proofErr w:type="spellEnd"/>
      <w:r>
        <w:rPr>
          <w:rFonts w:asciiTheme="majorHAnsi" w:hAnsiTheme="majorHAnsi"/>
        </w:rPr>
        <w:t xml:space="preserve"> remaining. Calculations were completed.</w:t>
      </w:r>
    </w:p>
    <w:p w14:paraId="562AEA8E" w14:textId="77777777" w:rsidR="00184266" w:rsidRDefault="00184266">
      <w:pPr>
        <w:rPr>
          <w:rFonts w:asciiTheme="majorHAnsi" w:hAnsiTheme="majorHAnsi"/>
        </w:rPr>
      </w:pPr>
    </w:p>
    <w:p w14:paraId="47752A65" w14:textId="77777777" w:rsidR="00184266" w:rsidRDefault="00184266">
      <w:pPr>
        <w:rPr>
          <w:rFonts w:asciiTheme="majorHAnsi" w:hAnsiTheme="majorHAnsi"/>
        </w:rPr>
      </w:pPr>
      <w:r>
        <w:rPr>
          <w:rFonts w:asciiTheme="majorHAnsi" w:hAnsiTheme="majorHAnsi"/>
        </w:rPr>
        <w:t>Results:</w:t>
      </w:r>
      <w:r w:rsidR="00C57ED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The original Jacobson formula for single sample showed excellent agreement with corrected-slope-intercept clearance in cats, however the </w:t>
      </w:r>
      <w:proofErr w:type="spellStart"/>
      <w:r>
        <w:rPr>
          <w:rFonts w:asciiTheme="majorHAnsi" w:hAnsiTheme="majorHAnsi"/>
        </w:rPr>
        <w:t>modifiec</w:t>
      </w:r>
      <w:proofErr w:type="spellEnd"/>
      <w:r>
        <w:rPr>
          <w:rFonts w:asciiTheme="majorHAnsi" w:hAnsiTheme="majorHAnsi"/>
        </w:rPr>
        <w:t xml:space="preserve"> Jacobson single sample formula showed better results in both populations</w:t>
      </w:r>
    </w:p>
    <w:p w14:paraId="74E8323D" w14:textId="77777777" w:rsidR="00184266" w:rsidRDefault="00184266">
      <w:pPr>
        <w:rPr>
          <w:rFonts w:asciiTheme="majorHAnsi" w:hAnsiTheme="majorHAnsi"/>
        </w:rPr>
      </w:pPr>
    </w:p>
    <w:p w14:paraId="0ADC4E4B" w14:textId="77777777" w:rsidR="00184266" w:rsidRDefault="00184266">
      <w:pPr>
        <w:rPr>
          <w:rFonts w:asciiTheme="majorHAnsi" w:hAnsiTheme="majorHAnsi"/>
        </w:rPr>
      </w:pPr>
      <w:r>
        <w:rPr>
          <w:rFonts w:asciiTheme="majorHAnsi" w:hAnsiTheme="majorHAnsi"/>
        </w:rPr>
        <w:t>Discussion:</w:t>
      </w:r>
      <w:r w:rsidR="00C57ED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In human medicine – single sample </w:t>
      </w:r>
      <w:proofErr w:type="spellStart"/>
      <w:r>
        <w:rPr>
          <w:rFonts w:asciiTheme="majorHAnsi" w:hAnsiTheme="majorHAnsi"/>
        </w:rPr>
        <w:t>iohexol</w:t>
      </w:r>
      <w:proofErr w:type="spellEnd"/>
      <w:r>
        <w:rPr>
          <w:rFonts w:asciiTheme="majorHAnsi" w:hAnsiTheme="majorHAnsi"/>
        </w:rPr>
        <w:t xml:space="preserve"> clearance shows stronger correlation and better agreement with the gold standard measurement of GFR, urinary clearance of inulin than slope-intercept </w:t>
      </w:r>
      <w:proofErr w:type="spellStart"/>
      <w:r>
        <w:rPr>
          <w:rFonts w:asciiTheme="majorHAnsi" w:hAnsiTheme="majorHAnsi"/>
        </w:rPr>
        <w:t>iohexol</w:t>
      </w:r>
      <w:proofErr w:type="spellEnd"/>
      <w:r>
        <w:rPr>
          <w:rFonts w:asciiTheme="majorHAnsi" w:hAnsiTheme="majorHAnsi"/>
        </w:rPr>
        <w:t xml:space="preserve"> clearance. </w:t>
      </w:r>
    </w:p>
    <w:p w14:paraId="40B437BD" w14:textId="77777777" w:rsidR="00C57ED4" w:rsidRDefault="00C57ED4">
      <w:pPr>
        <w:rPr>
          <w:rFonts w:asciiTheme="majorHAnsi" w:hAnsiTheme="majorHAnsi"/>
        </w:rPr>
      </w:pPr>
      <w:r>
        <w:rPr>
          <w:rFonts w:asciiTheme="majorHAnsi" w:hAnsiTheme="majorHAnsi"/>
        </w:rPr>
        <w:t>Conclusion:</w:t>
      </w:r>
    </w:p>
    <w:p w14:paraId="5CCB12BE" w14:textId="77777777" w:rsidR="00124AFF" w:rsidRDefault="00C57ED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Modified Jacobson method provides </w:t>
      </w:r>
      <w:proofErr w:type="spellStart"/>
      <w:r>
        <w:rPr>
          <w:rFonts w:asciiTheme="majorHAnsi" w:hAnsiTheme="majorHAnsi"/>
        </w:rPr>
        <w:t>accurte</w:t>
      </w:r>
      <w:proofErr w:type="spellEnd"/>
      <w:r>
        <w:rPr>
          <w:rFonts w:asciiTheme="majorHAnsi" w:hAnsiTheme="majorHAnsi"/>
        </w:rPr>
        <w:t xml:space="preserve"> estimation of </w:t>
      </w:r>
      <w:proofErr w:type="spellStart"/>
      <w:r>
        <w:rPr>
          <w:rFonts w:asciiTheme="majorHAnsi" w:hAnsiTheme="majorHAnsi"/>
        </w:rPr>
        <w:t>iohexol</w:t>
      </w:r>
      <w:proofErr w:type="spellEnd"/>
      <w:r>
        <w:rPr>
          <w:rFonts w:asciiTheme="majorHAnsi" w:hAnsiTheme="majorHAnsi"/>
        </w:rPr>
        <w:t xml:space="preserve"> clearance in </w:t>
      </w:r>
      <w:proofErr w:type="gramStart"/>
      <w:r>
        <w:rPr>
          <w:rFonts w:asciiTheme="majorHAnsi" w:hAnsiTheme="majorHAnsi"/>
        </w:rPr>
        <w:t>cats,</w:t>
      </w:r>
      <w:proofErr w:type="gramEnd"/>
      <w:r>
        <w:rPr>
          <w:rFonts w:asciiTheme="majorHAnsi" w:hAnsiTheme="majorHAnsi"/>
        </w:rPr>
        <w:t xml:space="preserve"> from a single sample collected 180 minutes post injection and using a formula to predict total ECFV. Further studies warranted.</w:t>
      </w:r>
    </w:p>
    <w:p w14:paraId="53CF7CA9" w14:textId="725FD7F6" w:rsidR="00124AFF" w:rsidRDefault="00124AFF" w:rsidP="004A2EA2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75648" behindDoc="0" locked="0" layoutInCell="1" allowOverlap="1" wp14:anchorId="09D687C2" wp14:editId="0622CCC3">
            <wp:simplePos x="0" y="0"/>
            <wp:positionH relativeFrom="column">
              <wp:posOffset>114300</wp:posOffset>
            </wp:positionH>
            <wp:positionV relativeFrom="paragraph">
              <wp:posOffset>7200900</wp:posOffset>
            </wp:positionV>
            <wp:extent cx="6154420" cy="1751965"/>
            <wp:effectExtent l="0" t="0" r="0" b="635"/>
            <wp:wrapTight wrapText="bothSides">
              <wp:wrapPolygon edited="0">
                <wp:start x="0" y="0"/>
                <wp:lineTo x="0" y="21295"/>
                <wp:lineTo x="21484" y="21295"/>
                <wp:lineTo x="214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93"/>
                    <a:stretch/>
                  </pic:blipFill>
                  <pic:spPr bwMode="auto">
                    <a:xfrm>
                      <a:off x="0" y="0"/>
                      <a:ext cx="615442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73600" behindDoc="0" locked="0" layoutInCell="1" allowOverlap="1" wp14:anchorId="0015F98F" wp14:editId="66139693">
            <wp:simplePos x="0" y="0"/>
            <wp:positionH relativeFrom="column">
              <wp:posOffset>114300</wp:posOffset>
            </wp:positionH>
            <wp:positionV relativeFrom="paragraph">
              <wp:posOffset>5715000</wp:posOffset>
            </wp:positionV>
            <wp:extent cx="5945505" cy="1485900"/>
            <wp:effectExtent l="0" t="0" r="0" b="12700"/>
            <wp:wrapTight wrapText="bothSides">
              <wp:wrapPolygon edited="0">
                <wp:start x="0" y="0"/>
                <wp:lineTo x="0" y="21415"/>
                <wp:lineTo x="21501" y="21415"/>
                <wp:lineTo x="2150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442"/>
                    <a:stretch/>
                  </pic:blipFill>
                  <pic:spPr bwMode="auto">
                    <a:xfrm>
                      <a:off x="0" y="0"/>
                      <a:ext cx="594550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71552" behindDoc="0" locked="0" layoutInCell="1" allowOverlap="1" wp14:anchorId="18846504" wp14:editId="2A2402E0">
            <wp:simplePos x="0" y="0"/>
            <wp:positionH relativeFrom="column">
              <wp:posOffset>114300</wp:posOffset>
            </wp:positionH>
            <wp:positionV relativeFrom="paragraph">
              <wp:posOffset>3771900</wp:posOffset>
            </wp:positionV>
            <wp:extent cx="6057900" cy="1891030"/>
            <wp:effectExtent l="0" t="0" r="12700" b="0"/>
            <wp:wrapTight wrapText="bothSides">
              <wp:wrapPolygon edited="0">
                <wp:start x="0" y="0"/>
                <wp:lineTo x="0" y="21179"/>
                <wp:lineTo x="21555" y="21179"/>
                <wp:lineTo x="2155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65408" behindDoc="0" locked="0" layoutInCell="1" allowOverlap="1" wp14:anchorId="428F1C99" wp14:editId="0748EF87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6855460" cy="3944620"/>
            <wp:effectExtent l="0" t="0" r="2540" b="0"/>
            <wp:wrapTight wrapText="bothSides">
              <wp:wrapPolygon edited="0">
                <wp:start x="0" y="0"/>
                <wp:lineTo x="0" y="21419"/>
                <wp:lineTo x="21528" y="21419"/>
                <wp:lineTo x="2152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br w:type="column"/>
      </w:r>
    </w:p>
    <w:p w14:paraId="59EE38EF" w14:textId="77777777" w:rsidR="00124AFF" w:rsidRDefault="00124AFF">
      <w:pPr>
        <w:rPr>
          <w:rFonts w:asciiTheme="majorHAnsi" w:hAnsiTheme="majorHAnsi"/>
        </w:rPr>
      </w:pPr>
    </w:p>
    <w:p w14:paraId="230B04FD" w14:textId="77777777" w:rsidR="00124AFF" w:rsidRDefault="00124AFF">
      <w:pPr>
        <w:rPr>
          <w:rFonts w:asciiTheme="majorHAnsi" w:hAnsiTheme="majorHAnsi"/>
        </w:rPr>
      </w:pPr>
      <w:r>
        <w:rPr>
          <w:rFonts w:asciiTheme="majorHAnsi" w:hAnsiTheme="majorHAnsi"/>
        </w:rPr>
        <w:t>Increased SBE present in 19% of animals</w:t>
      </w:r>
    </w:p>
    <w:p w14:paraId="78CB216B" w14:textId="77777777" w:rsidR="00124AFF" w:rsidRDefault="00124AFF">
      <w:pPr>
        <w:rPr>
          <w:rFonts w:asciiTheme="majorHAnsi" w:hAnsiTheme="majorHAnsi"/>
        </w:rPr>
      </w:pPr>
      <w:r>
        <w:rPr>
          <w:rFonts w:asciiTheme="majorHAnsi" w:hAnsiTheme="majorHAnsi"/>
        </w:rPr>
        <w:t>Most common disorder – mixed metabolic alkalosis and respiratory acidosis</w:t>
      </w:r>
    </w:p>
    <w:p w14:paraId="23CDF8F7" w14:textId="77777777" w:rsidR="00EA2760" w:rsidRDefault="00EA276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Hypochloremia</w:t>
      </w:r>
      <w:proofErr w:type="spellEnd"/>
      <w:r>
        <w:rPr>
          <w:rFonts w:asciiTheme="majorHAnsi" w:hAnsiTheme="majorHAnsi"/>
        </w:rPr>
        <w:t xml:space="preserve"> (which resolved with correction) was more common in dogs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true </w:t>
      </w:r>
      <w:proofErr w:type="spellStart"/>
      <w:r>
        <w:rPr>
          <w:rFonts w:asciiTheme="majorHAnsi" w:hAnsiTheme="majorHAnsi"/>
        </w:rPr>
        <w:t>hypochloremia</w:t>
      </w:r>
      <w:proofErr w:type="spellEnd"/>
      <w:r>
        <w:rPr>
          <w:rFonts w:asciiTheme="majorHAnsi" w:hAnsiTheme="majorHAnsi"/>
        </w:rPr>
        <w:t>, however in cats the chloride corrected less frequently suggesting a free water deficit</w:t>
      </w:r>
    </w:p>
    <w:p w14:paraId="2B2A28CB" w14:textId="77777777" w:rsidR="004A2EA2" w:rsidRDefault="00EA2760" w:rsidP="004A2EA2">
      <w:pPr>
        <w:rPr>
          <w:rFonts w:asciiTheme="majorHAnsi" w:hAnsiTheme="majorHAnsi"/>
        </w:rPr>
      </w:pPr>
      <w:r>
        <w:rPr>
          <w:rFonts w:asciiTheme="majorHAnsi" w:hAnsiTheme="majorHAnsi"/>
        </w:rPr>
        <w:t>Lasix administration common cause of metabolic alkalosis</w:t>
      </w:r>
      <w:r w:rsidR="004A2EA2" w:rsidRPr="004A2EA2">
        <w:rPr>
          <w:rFonts w:asciiTheme="majorHAnsi" w:hAnsiTheme="majorHAnsi"/>
        </w:rPr>
        <w:t xml:space="preserve"> </w:t>
      </w:r>
    </w:p>
    <w:p w14:paraId="408A12DF" w14:textId="77777777" w:rsidR="004A2EA2" w:rsidRDefault="004A2EA2" w:rsidP="004A2EA2">
      <w:pPr>
        <w:rPr>
          <w:rFonts w:asciiTheme="majorHAnsi" w:hAnsiTheme="majorHAnsi"/>
        </w:rPr>
      </w:pPr>
    </w:p>
    <w:p w14:paraId="61ECDBDF" w14:textId="0B6BC5A5" w:rsidR="004A2EA2" w:rsidRDefault="004A2EA2" w:rsidP="004A2EA2">
      <w:pPr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Conclusion: metabolic alkalosis less common than metabolic acidosis. Evidence of contraction alkalosis was present in many patients.</w:t>
      </w:r>
    </w:p>
    <w:p w14:paraId="56BBDC3E" w14:textId="77777777" w:rsidR="004A2EA2" w:rsidRDefault="004A2EA2" w:rsidP="004A2EA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Hypokalemia and </w:t>
      </w:r>
      <w:proofErr w:type="spellStart"/>
      <w:r>
        <w:rPr>
          <w:rFonts w:asciiTheme="majorHAnsi" w:hAnsiTheme="majorHAnsi"/>
        </w:rPr>
        <w:t>hypochloremia</w:t>
      </w:r>
      <w:proofErr w:type="spellEnd"/>
      <w:r>
        <w:rPr>
          <w:rFonts w:asciiTheme="majorHAnsi" w:hAnsiTheme="majorHAnsi"/>
        </w:rPr>
        <w:t xml:space="preserve"> were more frequent in this population.</w:t>
      </w:r>
    </w:p>
    <w:p w14:paraId="2FD4CF35" w14:textId="77777777" w:rsidR="00EA2760" w:rsidRPr="003A7AD5" w:rsidRDefault="00EA2760">
      <w:pPr>
        <w:rPr>
          <w:rFonts w:asciiTheme="majorHAnsi" w:hAnsiTheme="majorHAnsi"/>
        </w:rPr>
      </w:pPr>
    </w:p>
    <w:sectPr w:rsidR="00EA2760" w:rsidRPr="003A7AD5" w:rsidSect="003A7A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AD5"/>
    <w:rsid w:val="00124AFF"/>
    <w:rsid w:val="00184266"/>
    <w:rsid w:val="003A7AD5"/>
    <w:rsid w:val="00435785"/>
    <w:rsid w:val="004A2EA2"/>
    <w:rsid w:val="008F05A2"/>
    <w:rsid w:val="00AD28D0"/>
    <w:rsid w:val="00BC30FF"/>
    <w:rsid w:val="00C57ED4"/>
    <w:rsid w:val="00EA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  <w14:docId w14:val="3D18E6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582</Words>
  <Characters>3322</Characters>
  <Application>Microsoft Macintosh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2013-11-06T13:45:00Z</dcterms:created>
  <dcterms:modified xsi:type="dcterms:W3CDTF">2013-11-06T14:58:00Z</dcterms:modified>
</cp:coreProperties>
</file>