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C2356C">
        <w:rPr>
          <w:rFonts w:ascii="Times New Roman" w:eastAsia="Times New Roman" w:hAnsi="Times New Roman" w:cs="Times New Roman"/>
          <w:sz w:val="35"/>
          <w:szCs w:val="35"/>
        </w:rPr>
        <w:t>Degenerative Left Shift as a Prognostic Tool in Cats</w:t>
      </w:r>
    </w:p>
    <w:p w:rsid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2356C">
        <w:rPr>
          <w:rFonts w:ascii="Times New Roman" w:eastAsia="Times New Roman" w:hAnsi="Times New Roman" w:cs="Times New Roman"/>
          <w:sz w:val="26"/>
          <w:szCs w:val="26"/>
        </w:rPr>
        <w:t xml:space="preserve">A.G. Burton, L.A. Harris, S.D. Owens, and K.E. </w:t>
      </w:r>
      <w:proofErr w:type="spellStart"/>
      <w:r w:rsidRPr="00C2356C">
        <w:rPr>
          <w:rFonts w:ascii="Times New Roman" w:eastAsia="Times New Roman" w:hAnsi="Times New Roman" w:cs="Times New Roman"/>
          <w:sz w:val="26"/>
          <w:szCs w:val="26"/>
        </w:rPr>
        <w:t>Jandrey</w:t>
      </w:r>
      <w:proofErr w:type="spellEnd"/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JVIM 2014; 28: 912-917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>Background: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>A degenerative left shift (DLS) is reported to be a poor prognostic indicator in dogs and cats. Limited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C2356C">
        <w:rPr>
          <w:rFonts w:ascii="Times New Roman" w:eastAsia="Times New Roman" w:hAnsi="Times New Roman" w:cs="Times New Roman"/>
          <w:sz w:val="20"/>
          <w:szCs w:val="20"/>
        </w:rPr>
        <w:t>data</w:t>
      </w:r>
      <w:proofErr w:type="gramEnd"/>
      <w:r w:rsidRPr="00C2356C">
        <w:rPr>
          <w:rFonts w:ascii="Times New Roman" w:eastAsia="Times New Roman" w:hAnsi="Times New Roman" w:cs="Times New Roman"/>
          <w:sz w:val="20"/>
          <w:szCs w:val="20"/>
        </w:rPr>
        <w:t xml:space="preserve"> in dogs and no studies in cats have been published to investigate this claim.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>Hypothesis/Objectives: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>To characterize the feline population affected by DLS and to determine if the presence and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C2356C">
        <w:rPr>
          <w:rFonts w:ascii="Times New Roman" w:eastAsia="Times New Roman" w:hAnsi="Times New Roman" w:cs="Times New Roman"/>
          <w:sz w:val="20"/>
          <w:szCs w:val="20"/>
        </w:rPr>
        <w:t>severity</w:t>
      </w:r>
      <w:proofErr w:type="gramEnd"/>
      <w:r w:rsidRPr="00C2356C">
        <w:rPr>
          <w:rFonts w:ascii="Times New Roman" w:eastAsia="Times New Roman" w:hAnsi="Times New Roman" w:cs="Times New Roman"/>
          <w:sz w:val="20"/>
          <w:szCs w:val="20"/>
        </w:rPr>
        <w:t xml:space="preserve"> of DLS are associated with increased risk of euthanasia or death.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>Animals: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 xml:space="preserve">One hundred and eight cats with DLS (cases) and 322 cats without DLS (controls) presented to the </w:t>
      </w:r>
      <w:proofErr w:type="spellStart"/>
      <w:r w:rsidRPr="00C2356C">
        <w:rPr>
          <w:rFonts w:ascii="Times New Roman" w:eastAsia="Times New Roman" w:hAnsi="Times New Roman" w:cs="Times New Roman"/>
          <w:sz w:val="20"/>
          <w:szCs w:val="20"/>
        </w:rPr>
        <w:t>Univer</w:t>
      </w:r>
      <w:proofErr w:type="spellEnd"/>
      <w:r w:rsidRPr="00C2356C">
        <w:rPr>
          <w:rFonts w:ascii="Times New Roman" w:eastAsia="Times New Roman" w:hAnsi="Times New Roman" w:cs="Times New Roman"/>
          <w:sz w:val="20"/>
          <w:szCs w:val="20"/>
        </w:rPr>
        <w:t>-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 w:rsidRPr="00C2356C">
        <w:rPr>
          <w:rFonts w:ascii="Times New Roman" w:eastAsia="Times New Roman" w:hAnsi="Times New Roman" w:cs="Times New Roman"/>
          <w:sz w:val="20"/>
          <w:szCs w:val="20"/>
        </w:rPr>
        <w:t>sity</w:t>
      </w:r>
      <w:proofErr w:type="spellEnd"/>
      <w:proofErr w:type="gramEnd"/>
      <w:r w:rsidRPr="00C2356C">
        <w:rPr>
          <w:rFonts w:ascii="Times New Roman" w:eastAsia="Times New Roman" w:hAnsi="Times New Roman" w:cs="Times New Roman"/>
          <w:sz w:val="20"/>
          <w:szCs w:val="20"/>
        </w:rPr>
        <w:t xml:space="preserve"> of California, Davis Veterinary Medical Teaching Hospital between April 1, 1995 and April 1, 2010.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>Methods: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C2356C">
        <w:rPr>
          <w:rFonts w:ascii="Times New Roman" w:eastAsia="Times New Roman" w:hAnsi="Times New Roman" w:cs="Times New Roman"/>
          <w:sz w:val="20"/>
          <w:szCs w:val="20"/>
        </w:rPr>
        <w:t>Retrospective case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 w:rsidRPr="00C2356C">
        <w:rPr>
          <w:rFonts w:ascii="Times New Roman" w:eastAsia="Times New Roman" w:hAnsi="Times New Roman" w:cs="Times New Roman"/>
          <w:sz w:val="20"/>
          <w:szCs w:val="20"/>
        </w:rPr>
        <w:t>control study.</w:t>
      </w:r>
      <w:proofErr w:type="gramEnd"/>
      <w:r w:rsidRPr="00C2356C">
        <w:rPr>
          <w:rFonts w:ascii="Times New Roman" w:eastAsia="Times New Roman" w:hAnsi="Times New Roman" w:cs="Times New Roman"/>
          <w:sz w:val="20"/>
          <w:szCs w:val="20"/>
        </w:rPr>
        <w:t xml:space="preserve"> All cases had a CBC performed within 24 hours of presentation in which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C2356C">
        <w:rPr>
          <w:rFonts w:ascii="Times New Roman" w:eastAsia="Times New Roman" w:hAnsi="Times New Roman" w:cs="Times New Roman"/>
          <w:sz w:val="20"/>
          <w:szCs w:val="20"/>
        </w:rPr>
        <w:t>immature</w:t>
      </w:r>
      <w:proofErr w:type="gramEnd"/>
      <w:r w:rsidRPr="00C2356C">
        <w:rPr>
          <w:rFonts w:ascii="Times New Roman" w:eastAsia="Times New Roman" w:hAnsi="Times New Roman" w:cs="Times New Roman"/>
          <w:sz w:val="20"/>
          <w:szCs w:val="20"/>
        </w:rPr>
        <w:t xml:space="preserve"> granulocytic precursors exceeded mature neutrophils. Controls were matched by year of presentation and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C2356C">
        <w:rPr>
          <w:rFonts w:ascii="Times New Roman" w:eastAsia="Times New Roman" w:hAnsi="Times New Roman" w:cs="Times New Roman"/>
          <w:sz w:val="20"/>
          <w:szCs w:val="20"/>
        </w:rPr>
        <w:t>primary</w:t>
      </w:r>
      <w:proofErr w:type="gramEnd"/>
      <w:r w:rsidRPr="00C2356C">
        <w:rPr>
          <w:rFonts w:ascii="Times New Roman" w:eastAsia="Times New Roman" w:hAnsi="Times New Roman" w:cs="Times New Roman"/>
          <w:sz w:val="20"/>
          <w:szCs w:val="20"/>
        </w:rPr>
        <w:t xml:space="preserve"> diagnosis. Survival analysis was used to determine risk of death or euthanasia from DLS and other potential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C2356C">
        <w:rPr>
          <w:rFonts w:ascii="Times New Roman" w:eastAsia="Times New Roman" w:hAnsi="Times New Roman" w:cs="Times New Roman"/>
          <w:sz w:val="20"/>
          <w:szCs w:val="20"/>
        </w:rPr>
        <w:t>predictors</w:t>
      </w:r>
      <w:proofErr w:type="gramEnd"/>
      <w:r w:rsidRPr="00C2356C">
        <w:rPr>
          <w:rFonts w:ascii="Times New Roman" w:eastAsia="Times New Roman" w:hAnsi="Times New Roman" w:cs="Times New Roman"/>
          <w:sz w:val="20"/>
          <w:szCs w:val="20"/>
        </w:rPr>
        <w:t xml:space="preserve"> of outcome.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>Results: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>Cases were more likely to die or be euthanized in hospital compared to controls (60/108 [56%] versus 107/322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C2356C">
        <w:rPr>
          <w:rFonts w:ascii="Times New Roman" w:eastAsia="Times New Roman" w:hAnsi="Times New Roman" w:cs="Times New Roman"/>
          <w:sz w:val="20"/>
          <w:szCs w:val="20"/>
        </w:rPr>
        <w:t>[33%]).</w:t>
      </w:r>
      <w:proofErr w:type="gramEnd"/>
      <w:r w:rsidRPr="00C2356C">
        <w:rPr>
          <w:rFonts w:ascii="Times New Roman" w:eastAsia="Times New Roman" w:hAnsi="Times New Roman" w:cs="Times New Roman"/>
          <w:sz w:val="20"/>
          <w:szCs w:val="20"/>
        </w:rPr>
        <w:t xml:space="preserve"> DLS was a significant predictor of death or euthanasia in hospitalized cats in both </w:t>
      </w:r>
      <w:proofErr w:type="spellStart"/>
      <w:r w:rsidRPr="00C2356C">
        <w:rPr>
          <w:rFonts w:ascii="Times New Roman" w:eastAsia="Times New Roman" w:hAnsi="Times New Roman" w:cs="Times New Roman"/>
          <w:sz w:val="20"/>
          <w:szCs w:val="20"/>
        </w:rPr>
        <w:t>univariate</w:t>
      </w:r>
      <w:proofErr w:type="spellEnd"/>
      <w:r w:rsidRPr="00C2356C">
        <w:rPr>
          <w:rFonts w:ascii="Times New Roman" w:eastAsia="Times New Roman" w:hAnsi="Times New Roman" w:cs="Times New Roman"/>
          <w:sz w:val="20"/>
          <w:szCs w:val="20"/>
        </w:rPr>
        <w:t xml:space="preserve"> and multivariate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2356C">
        <w:rPr>
          <w:rFonts w:ascii="Times New Roman" w:eastAsia="Times New Roman" w:hAnsi="Times New Roman" w:cs="Times New Roman"/>
          <w:sz w:val="20"/>
          <w:szCs w:val="20"/>
        </w:rPr>
        <w:t>analysis (hazard ratio, 1.57; 95% confidence interval, 1.13</w:t>
      </w:r>
      <w:r w:rsidRPr="00C2356C">
        <w:rPr>
          <w:rFonts w:ascii="Courier New" w:eastAsia="Times New Roman" w:hAnsi="Courier New" w:cs="Courier New"/>
          <w:sz w:val="20"/>
          <w:szCs w:val="20"/>
        </w:rPr>
        <w:t>–</w:t>
      </w:r>
      <w:r w:rsidRPr="00C2356C">
        <w:rPr>
          <w:rFonts w:ascii="Times New Roman" w:eastAsia="Times New Roman" w:hAnsi="Times New Roman" w:cs="Times New Roman"/>
          <w:sz w:val="20"/>
          <w:szCs w:val="20"/>
        </w:rPr>
        <w:t>2.18). Trend analysis showed an increasing trend in the hazard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2356C">
        <w:rPr>
          <w:rFonts w:ascii="Times New Roman" w:eastAsia="Times New Roman" w:hAnsi="Times New Roman" w:cs="Times New Roman"/>
          <w:sz w:val="20"/>
          <w:szCs w:val="20"/>
        </w:rPr>
        <w:t>of euthanasia or death with increasing severity of DLS.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>Conclusions and Clinical Importance:</w:t>
      </w:r>
    </w:p>
    <w:p w:rsid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>Cats with DLS are 1.57 times more likely to die or be euthanized in hospital than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2356C">
        <w:rPr>
          <w:rFonts w:ascii="Times New Roman" w:eastAsia="Times New Roman" w:hAnsi="Times New Roman" w:cs="Times New Roman"/>
          <w:sz w:val="20"/>
          <w:szCs w:val="20"/>
        </w:rPr>
        <w:t>cats without DLS. In addition, increasing severity of DLS is associated with increased likelihood of death or euthanasia.</w:t>
      </w:r>
    </w:p>
    <w:p w:rsid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C2356C">
        <w:rPr>
          <w:rFonts w:ascii="Times New Roman" w:eastAsia="Times New Roman" w:hAnsi="Times New Roman" w:cs="Times New Roman"/>
          <w:sz w:val="35"/>
          <w:szCs w:val="35"/>
        </w:rPr>
        <w:t>Short- and Long-Term Cure Rates of Short-Duration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C2356C">
        <w:rPr>
          <w:rFonts w:ascii="Times New Roman" w:eastAsia="Times New Roman" w:hAnsi="Times New Roman" w:cs="Times New Roman"/>
          <w:sz w:val="35"/>
          <w:szCs w:val="35"/>
        </w:rPr>
        <w:t>Trimethoprim-</w:t>
      </w:r>
      <w:proofErr w:type="spellStart"/>
      <w:r w:rsidRPr="00C2356C">
        <w:rPr>
          <w:rFonts w:ascii="Times New Roman" w:eastAsia="Times New Roman" w:hAnsi="Times New Roman" w:cs="Times New Roman"/>
          <w:sz w:val="35"/>
          <w:szCs w:val="35"/>
        </w:rPr>
        <w:t>Sulfamethoxazole</w:t>
      </w:r>
      <w:proofErr w:type="spellEnd"/>
      <w:r w:rsidRPr="00C2356C">
        <w:rPr>
          <w:rFonts w:ascii="Times New Roman" w:eastAsia="Times New Roman" w:hAnsi="Times New Roman" w:cs="Times New Roman"/>
          <w:sz w:val="35"/>
          <w:szCs w:val="35"/>
        </w:rPr>
        <w:t xml:space="preserve"> Treatment in Female Dogs with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C2356C">
        <w:rPr>
          <w:rFonts w:ascii="Times New Roman" w:eastAsia="Times New Roman" w:hAnsi="Times New Roman" w:cs="Times New Roman"/>
          <w:sz w:val="35"/>
          <w:szCs w:val="35"/>
        </w:rPr>
        <w:t>Uncomplicated Bacterial Cystitis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2356C">
        <w:rPr>
          <w:rFonts w:ascii="Times New Roman" w:eastAsia="Times New Roman" w:hAnsi="Times New Roman" w:cs="Times New Roman"/>
          <w:sz w:val="26"/>
          <w:szCs w:val="26"/>
        </w:rPr>
        <w:t xml:space="preserve">S. Clare, F.A. Hartmann, M. </w:t>
      </w:r>
      <w:proofErr w:type="spellStart"/>
      <w:r w:rsidRPr="00C2356C">
        <w:rPr>
          <w:rFonts w:ascii="Times New Roman" w:eastAsia="Times New Roman" w:hAnsi="Times New Roman" w:cs="Times New Roman"/>
          <w:sz w:val="26"/>
          <w:szCs w:val="26"/>
        </w:rPr>
        <w:t>Jooss</w:t>
      </w:r>
      <w:proofErr w:type="spellEnd"/>
      <w:r w:rsidRPr="00C2356C">
        <w:rPr>
          <w:rFonts w:ascii="Times New Roman" w:eastAsia="Times New Roman" w:hAnsi="Times New Roman" w:cs="Times New Roman"/>
          <w:sz w:val="26"/>
          <w:szCs w:val="26"/>
        </w:rPr>
        <w:t xml:space="preserve">, E. </w:t>
      </w:r>
      <w:proofErr w:type="spellStart"/>
      <w:r w:rsidRPr="00C2356C">
        <w:rPr>
          <w:rFonts w:ascii="Times New Roman" w:eastAsia="Times New Roman" w:hAnsi="Times New Roman" w:cs="Times New Roman"/>
          <w:sz w:val="26"/>
          <w:szCs w:val="26"/>
        </w:rPr>
        <w:t>Bachar</w:t>
      </w:r>
      <w:proofErr w:type="spellEnd"/>
      <w:r w:rsidRPr="00C2356C">
        <w:rPr>
          <w:rFonts w:ascii="Times New Roman" w:eastAsia="Times New Roman" w:hAnsi="Times New Roman" w:cs="Times New Roman"/>
          <w:sz w:val="26"/>
          <w:szCs w:val="26"/>
        </w:rPr>
        <w:t xml:space="preserve">, Y.Y. Wong, L.A. </w:t>
      </w:r>
      <w:proofErr w:type="spellStart"/>
      <w:r w:rsidRPr="00C2356C">
        <w:rPr>
          <w:rFonts w:ascii="Times New Roman" w:eastAsia="Times New Roman" w:hAnsi="Times New Roman" w:cs="Times New Roman"/>
          <w:sz w:val="26"/>
          <w:szCs w:val="26"/>
        </w:rPr>
        <w:t>Trepanier</w:t>
      </w:r>
      <w:proofErr w:type="spellEnd"/>
      <w:r w:rsidRPr="00C2356C">
        <w:rPr>
          <w:rFonts w:ascii="Times New Roman" w:eastAsia="Times New Roman" w:hAnsi="Times New Roman" w:cs="Times New Roman"/>
          <w:sz w:val="26"/>
          <w:szCs w:val="26"/>
        </w:rPr>
        <w:t xml:space="preserve">, and K.R. </w:t>
      </w:r>
      <w:proofErr w:type="spellStart"/>
      <w:r w:rsidRPr="00C2356C">
        <w:rPr>
          <w:rFonts w:ascii="Times New Roman" w:eastAsia="Times New Roman" w:hAnsi="Times New Roman" w:cs="Times New Roman"/>
          <w:sz w:val="26"/>
          <w:szCs w:val="26"/>
        </w:rPr>
        <w:t>Viviano</w:t>
      </w:r>
      <w:proofErr w:type="spellEnd"/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>Background: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>Long-duration beta-lactam antibiotics are used for empirical treatment in female dogs with uncomplicated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C2356C">
        <w:rPr>
          <w:rFonts w:ascii="Times New Roman" w:eastAsia="Times New Roman" w:hAnsi="Times New Roman" w:cs="Times New Roman"/>
          <w:sz w:val="20"/>
          <w:szCs w:val="20"/>
        </w:rPr>
        <w:t>bacterial</w:t>
      </w:r>
      <w:proofErr w:type="gramEnd"/>
      <w:r w:rsidRPr="00C2356C">
        <w:rPr>
          <w:rFonts w:ascii="Times New Roman" w:eastAsia="Times New Roman" w:hAnsi="Times New Roman" w:cs="Times New Roman"/>
          <w:sz w:val="20"/>
          <w:szCs w:val="20"/>
        </w:rPr>
        <w:t xml:space="preserve"> cystitis. However, women with bacterial cystitis are treated with short-duration potentiated sulfonamides because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2356C">
        <w:rPr>
          <w:rFonts w:ascii="Times New Roman" w:eastAsia="Times New Roman" w:hAnsi="Times New Roman" w:cs="Times New Roman"/>
          <w:sz w:val="20"/>
          <w:szCs w:val="20"/>
        </w:rPr>
        <w:t>longer courses of beta-lactams result in lower cure and higher recurrence rates.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>Hypothesis/Objectives: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>Short-duration potentiated sulfonamide treatment is more efficacious than long-duration beta-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C2356C">
        <w:rPr>
          <w:rFonts w:ascii="Times New Roman" w:eastAsia="Times New Roman" w:hAnsi="Times New Roman" w:cs="Times New Roman"/>
          <w:sz w:val="20"/>
          <w:szCs w:val="20"/>
        </w:rPr>
        <w:t>lactam</w:t>
      </w:r>
      <w:proofErr w:type="gramEnd"/>
      <w:r w:rsidRPr="00C2356C">
        <w:rPr>
          <w:rFonts w:ascii="Times New Roman" w:eastAsia="Times New Roman" w:hAnsi="Times New Roman" w:cs="Times New Roman"/>
          <w:sz w:val="20"/>
          <w:szCs w:val="20"/>
        </w:rPr>
        <w:t xml:space="preserve"> treatment in achieving clinical and microbiological cures in female dogs with uncomplicated bacterial cystitis.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>Animals: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C2356C">
        <w:rPr>
          <w:rFonts w:ascii="Times New Roman" w:eastAsia="Times New Roman" w:hAnsi="Times New Roman" w:cs="Times New Roman"/>
          <w:sz w:val="20"/>
          <w:szCs w:val="20"/>
        </w:rPr>
        <w:t>Thirty-eight client-owned female dogs.</w:t>
      </w:r>
      <w:proofErr w:type="gramEnd"/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>Methods: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C2356C">
        <w:rPr>
          <w:rFonts w:ascii="Times New Roman" w:eastAsia="Times New Roman" w:hAnsi="Times New Roman" w:cs="Times New Roman"/>
          <w:sz w:val="20"/>
          <w:szCs w:val="20"/>
        </w:rPr>
        <w:t>Randomized, double-blinded, placebo-controlled clinical trial.</w:t>
      </w:r>
      <w:proofErr w:type="gramEnd"/>
      <w:r w:rsidRPr="00C2356C">
        <w:rPr>
          <w:rFonts w:ascii="Times New Roman" w:eastAsia="Times New Roman" w:hAnsi="Times New Roman" w:cs="Times New Roman"/>
          <w:sz w:val="20"/>
          <w:szCs w:val="20"/>
        </w:rPr>
        <w:t xml:space="preserve"> Dogs were treated with TMP-SMX (15 mg/kg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>PO q12h for 3 days followed by a placebo capsule PO q12h for 7 days; Group SDS; n</w:t>
      </w:r>
      <w:r w:rsidRPr="00C2356C">
        <w:rPr>
          <w:rFonts w:ascii="Arial" w:eastAsia="Times New Roman" w:hAnsi="Arial" w:cs="Arial"/>
          <w:sz w:val="20"/>
          <w:szCs w:val="20"/>
        </w:rPr>
        <w:t>=</w:t>
      </w:r>
      <w:r w:rsidRPr="00C2356C">
        <w:rPr>
          <w:rFonts w:ascii="Times New Roman" w:eastAsia="Times New Roman" w:hAnsi="Times New Roman" w:cs="Times New Roman"/>
          <w:sz w:val="20"/>
          <w:szCs w:val="20"/>
        </w:rPr>
        <w:t>20) or cephalexin (20 mg/kg PO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2356C">
        <w:rPr>
          <w:rFonts w:ascii="Times New Roman" w:eastAsia="Times New Roman" w:hAnsi="Times New Roman" w:cs="Times New Roman"/>
          <w:sz w:val="20"/>
          <w:szCs w:val="20"/>
        </w:rPr>
        <w:t>q12h for 10 days; Group LDBL; n</w:t>
      </w:r>
      <w:r w:rsidRPr="00C2356C">
        <w:rPr>
          <w:rFonts w:ascii="Arial" w:eastAsia="Times New Roman" w:hAnsi="Arial" w:cs="Arial"/>
          <w:sz w:val="20"/>
          <w:szCs w:val="20"/>
        </w:rPr>
        <w:t>=</w:t>
      </w:r>
      <w:r w:rsidRPr="00C2356C">
        <w:rPr>
          <w:rFonts w:ascii="Times New Roman" w:eastAsia="Times New Roman" w:hAnsi="Times New Roman" w:cs="Times New Roman"/>
          <w:sz w:val="20"/>
          <w:szCs w:val="20"/>
        </w:rPr>
        <w:t>18). Dogs were monitored for clinical and microbiological cure during treatment 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2356C">
        <w:rPr>
          <w:rFonts w:ascii="Times New Roman" w:eastAsia="Times New Roman" w:hAnsi="Times New Roman" w:cs="Times New Roman"/>
          <w:sz w:val="20"/>
          <w:szCs w:val="20"/>
        </w:rPr>
        <w:t>at short- and long-term follow-up.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>Results: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>No statistically significant differences were found between treatment groups in clinical cure rates after 3 days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C2356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gramEnd"/>
      <w:r w:rsidRPr="00C2356C">
        <w:rPr>
          <w:rFonts w:ascii="Times New Roman" w:eastAsia="Times New Roman" w:hAnsi="Times New Roman" w:cs="Times New Roman"/>
          <w:sz w:val="20"/>
          <w:szCs w:val="20"/>
        </w:rPr>
        <w:t xml:space="preserve"> treatment (89% SDS, 94% LDBL;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2356C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C2356C">
        <w:rPr>
          <w:rFonts w:ascii="Arial" w:eastAsia="Times New Roman" w:hAnsi="Arial" w:cs="Arial"/>
          <w:sz w:val="20"/>
          <w:szCs w:val="20"/>
        </w:rPr>
        <w:t>=</w:t>
      </w:r>
      <w:r w:rsidRPr="00C2356C">
        <w:rPr>
          <w:rFonts w:ascii="Times New Roman" w:eastAsia="Times New Roman" w:hAnsi="Times New Roman" w:cs="Times New Roman"/>
          <w:sz w:val="20"/>
          <w:szCs w:val="20"/>
        </w:rPr>
        <w:t>1.00) and 4 days (85% SDS, 72% LDBL;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2356C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C2356C">
        <w:rPr>
          <w:rFonts w:ascii="Arial" w:eastAsia="Times New Roman" w:hAnsi="Arial" w:cs="Arial"/>
          <w:sz w:val="20"/>
          <w:szCs w:val="20"/>
        </w:rPr>
        <w:t>=</w:t>
      </w:r>
      <w:r w:rsidRPr="00C2356C">
        <w:rPr>
          <w:rFonts w:ascii="Times New Roman" w:eastAsia="Times New Roman" w:hAnsi="Times New Roman" w:cs="Times New Roman"/>
          <w:sz w:val="20"/>
          <w:szCs w:val="20"/>
        </w:rPr>
        <w:t>.44) 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2356C">
        <w:rPr>
          <w:rFonts w:ascii="Arial" w:eastAsia="Times New Roman" w:hAnsi="Arial" w:cs="Arial"/>
          <w:sz w:val="20"/>
          <w:szCs w:val="20"/>
        </w:rPr>
        <w:t>&gt;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2356C">
        <w:rPr>
          <w:rFonts w:ascii="Times New Roman" w:eastAsia="Times New Roman" w:hAnsi="Times New Roman" w:cs="Times New Roman"/>
          <w:sz w:val="20"/>
          <w:szCs w:val="20"/>
        </w:rPr>
        <w:t>30 days (50% SDS,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>65% LDBL;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2356C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C2356C">
        <w:rPr>
          <w:rFonts w:ascii="Arial" w:eastAsia="Times New Roman" w:hAnsi="Arial" w:cs="Arial"/>
          <w:sz w:val="20"/>
          <w:szCs w:val="20"/>
        </w:rPr>
        <w:t>=</w:t>
      </w:r>
      <w:r w:rsidRPr="00C2356C">
        <w:rPr>
          <w:rFonts w:ascii="Times New Roman" w:eastAsia="Times New Roman" w:hAnsi="Times New Roman" w:cs="Times New Roman"/>
          <w:sz w:val="20"/>
          <w:szCs w:val="20"/>
        </w:rPr>
        <w:t>.50) after conclusion of treatment or in microbiological cure rates 4 days (59% SDS, 36% LDBL;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C2356C">
        <w:rPr>
          <w:rFonts w:ascii="Arial" w:eastAsia="Times New Roman" w:hAnsi="Arial" w:cs="Arial"/>
          <w:sz w:val="20"/>
          <w:szCs w:val="20"/>
        </w:rPr>
        <w:t>=</w:t>
      </w:r>
      <w:r w:rsidRPr="00C2356C">
        <w:rPr>
          <w:rFonts w:ascii="Times New Roman" w:eastAsia="Times New Roman" w:hAnsi="Times New Roman" w:cs="Times New Roman"/>
          <w:sz w:val="20"/>
          <w:szCs w:val="20"/>
        </w:rPr>
        <w:t>.44) 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2356C">
        <w:rPr>
          <w:rFonts w:ascii="Arial" w:eastAsia="Times New Roman" w:hAnsi="Arial" w:cs="Arial"/>
          <w:sz w:val="20"/>
          <w:szCs w:val="20"/>
        </w:rPr>
        <w:t>&gt;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2356C">
        <w:rPr>
          <w:rFonts w:ascii="Times New Roman" w:eastAsia="Times New Roman" w:hAnsi="Times New Roman" w:cs="Times New Roman"/>
          <w:sz w:val="20"/>
          <w:szCs w:val="20"/>
        </w:rPr>
        <w:t>30 days (44% SDS, 20% LDBL;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P=</w:t>
      </w:r>
      <w:r w:rsidRPr="00C2356C">
        <w:rPr>
          <w:rFonts w:ascii="Times New Roman" w:eastAsia="Times New Roman" w:hAnsi="Times New Roman" w:cs="Times New Roman"/>
          <w:sz w:val="20"/>
          <w:szCs w:val="20"/>
        </w:rPr>
        <w:t>.40) after conclusion of treatment.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t>Conclusions and Clinical Importance: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56C">
        <w:rPr>
          <w:rFonts w:ascii="Times New Roman" w:eastAsia="Times New Roman" w:hAnsi="Times New Roman" w:cs="Times New Roman"/>
          <w:sz w:val="20"/>
          <w:szCs w:val="20"/>
        </w:rPr>
        <w:lastRenderedPageBreak/>
        <w:t>We did not identify a difference in cure rates between short-duration sulfonamide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2356C">
        <w:rPr>
          <w:rFonts w:ascii="Times New Roman" w:eastAsia="Times New Roman" w:hAnsi="Times New Roman" w:cs="Times New Roman"/>
          <w:sz w:val="20"/>
          <w:szCs w:val="20"/>
        </w:rPr>
        <w:t>and long-duration beta-lactam treatments in female dogs with uncomplicated cystitis. Lon</w:t>
      </w:r>
      <w:r>
        <w:rPr>
          <w:rFonts w:ascii="Times New Roman" w:eastAsia="Times New Roman" w:hAnsi="Times New Roman" w:cs="Times New Roman"/>
          <w:sz w:val="20"/>
          <w:szCs w:val="20"/>
        </w:rPr>
        <w:t>g-term cure rates in both treat</w:t>
      </w:r>
      <w:r w:rsidRPr="00C2356C">
        <w:rPr>
          <w:rFonts w:ascii="Times New Roman" w:eastAsia="Times New Roman" w:hAnsi="Times New Roman" w:cs="Times New Roman"/>
          <w:sz w:val="20"/>
          <w:szCs w:val="20"/>
        </w:rPr>
        <w:t>ment groups were low. In some female dogs, “uncomplicated” bacterial cystitis may be more complicated than previously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C2356C">
        <w:rPr>
          <w:rFonts w:ascii="Times New Roman" w:eastAsia="Times New Roman" w:hAnsi="Times New Roman" w:cs="Times New Roman"/>
          <w:sz w:val="20"/>
          <w:szCs w:val="20"/>
        </w:rPr>
        <w:t>recognized</w:t>
      </w:r>
      <w:proofErr w:type="gramEnd"/>
      <w:r w:rsidRPr="00C2356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C2356C" w:rsidRPr="00C2356C" w:rsidRDefault="00C2356C" w:rsidP="00C23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95302" w:rsidRDefault="0029530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2356C" w:rsidRDefault="00C2356C">
      <w:bookmarkStart w:id="0" w:name="_GoBack"/>
      <w:bookmarkEnd w:id="0"/>
    </w:p>
    <w:sectPr w:rsidR="00C235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56C"/>
    <w:rsid w:val="00295302"/>
    <w:rsid w:val="00C2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3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5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2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9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0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6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0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560</Words>
  <Characters>3197</Characters>
  <Application>Microsoft Office Word</Application>
  <DocSecurity>0</DocSecurity>
  <Lines>26</Lines>
  <Paragraphs>7</Paragraphs>
  <ScaleCrop>false</ScaleCrop>
  <Company>Cornell Veterinary Medicine</Company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CAH ICU</cp:lastModifiedBy>
  <cp:revision>1</cp:revision>
  <dcterms:created xsi:type="dcterms:W3CDTF">2014-05-15T17:49:00Z</dcterms:created>
  <dcterms:modified xsi:type="dcterms:W3CDTF">2014-05-15T17:54:00Z</dcterms:modified>
</cp:coreProperties>
</file>