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D0BD2C" w14:textId="77777777" w:rsidR="00EB5BA1" w:rsidRPr="00076142" w:rsidRDefault="00EB5BA1"/>
    <w:p w14:paraId="7FF609F6" w14:textId="77777777" w:rsidR="002E7883" w:rsidRPr="00076142" w:rsidRDefault="002E7883">
      <w:r w:rsidRPr="00076142">
        <w:t>Board Review March 4 2014</w:t>
      </w:r>
    </w:p>
    <w:p w14:paraId="1CE91F6D" w14:textId="77777777" w:rsidR="002E7883" w:rsidRPr="00076142" w:rsidRDefault="002E7883"/>
    <w:p w14:paraId="36675238" w14:textId="77777777" w:rsidR="002E7883" w:rsidRPr="00076142" w:rsidRDefault="002E7883" w:rsidP="002E7883">
      <w:pPr>
        <w:pStyle w:val="NormalWeb"/>
        <w:rPr>
          <w:rFonts w:asciiTheme="minorHAnsi" w:hAnsiTheme="minorHAnsi"/>
          <w:b/>
          <w:sz w:val="24"/>
          <w:szCs w:val="24"/>
          <w:u w:val="single"/>
        </w:rPr>
      </w:pPr>
      <w:r w:rsidRPr="00076142">
        <w:rPr>
          <w:rFonts w:asciiTheme="minorHAnsi" w:hAnsiTheme="minorHAnsi"/>
          <w:b/>
          <w:sz w:val="24"/>
          <w:szCs w:val="24"/>
          <w:u w:val="single"/>
        </w:rPr>
        <w:t xml:space="preserve">A Comparison of Factors that Influence Survival in Dogs with Adrenal-Dependent Hyperadrenocorticism Treated with Mitotane or Trilostane </w:t>
      </w:r>
    </w:p>
    <w:p w14:paraId="34C9FBF8" w14:textId="77777777" w:rsidR="002E7883" w:rsidRPr="00076142" w:rsidRDefault="002E7883" w:rsidP="002E7883">
      <w:pPr>
        <w:pStyle w:val="NormalWeb"/>
        <w:rPr>
          <w:rFonts w:asciiTheme="minorHAnsi" w:hAnsiTheme="minorHAnsi"/>
          <w:sz w:val="24"/>
          <w:szCs w:val="24"/>
        </w:rPr>
      </w:pPr>
      <w:r w:rsidRPr="00076142">
        <w:rPr>
          <w:rFonts w:asciiTheme="minorHAnsi" w:hAnsiTheme="minorHAnsi"/>
          <w:sz w:val="24"/>
          <w:szCs w:val="24"/>
        </w:rPr>
        <w:t xml:space="preserve">J.R. Helm, G. Mclauchlan, L.A. Boden, P.E. Frowde, A.J. Collings, A.J. Tebb, C.M. Elwood, M.E. Herrtage, T.D.H. Parkin, and I. K. Ramsey </w:t>
      </w:r>
    </w:p>
    <w:p w14:paraId="43D439D4" w14:textId="77777777" w:rsidR="002E7883" w:rsidRPr="00076142" w:rsidRDefault="002E7883" w:rsidP="002E7883">
      <w:pPr>
        <w:pStyle w:val="NormalWeb"/>
        <w:rPr>
          <w:rFonts w:asciiTheme="minorHAnsi" w:hAnsiTheme="minorHAnsi"/>
          <w:sz w:val="24"/>
          <w:szCs w:val="24"/>
        </w:rPr>
      </w:pPr>
      <w:r w:rsidRPr="00076142">
        <w:rPr>
          <w:rFonts w:asciiTheme="minorHAnsi" w:hAnsiTheme="minorHAnsi"/>
          <w:sz w:val="24"/>
          <w:szCs w:val="24"/>
        </w:rPr>
        <w:t xml:space="preserve">J Vet Intern Med 2011;25:251–260 </w:t>
      </w:r>
    </w:p>
    <w:p w14:paraId="3FBB4099" w14:textId="77777777" w:rsidR="002E7883" w:rsidRPr="00076142" w:rsidRDefault="002E7883" w:rsidP="002E7883">
      <w:pPr>
        <w:pStyle w:val="NormalWeb"/>
        <w:rPr>
          <w:rFonts w:asciiTheme="minorHAnsi" w:hAnsiTheme="minorHAnsi"/>
          <w:sz w:val="24"/>
          <w:szCs w:val="24"/>
        </w:rPr>
      </w:pPr>
      <w:r w:rsidRPr="00076142">
        <w:rPr>
          <w:rFonts w:asciiTheme="minorHAnsi" w:hAnsiTheme="minorHAnsi"/>
          <w:b/>
          <w:sz w:val="24"/>
          <w:szCs w:val="24"/>
        </w:rPr>
        <w:t>Background</w:t>
      </w:r>
      <w:r w:rsidRPr="00076142">
        <w:rPr>
          <w:rFonts w:asciiTheme="minorHAnsi" w:hAnsiTheme="minorHAnsi"/>
          <w:sz w:val="24"/>
          <w:szCs w:val="24"/>
        </w:rPr>
        <w:t xml:space="preserve">: Trilostaneisarecognizedtreatmentforcaninepituitary-dependenthyperadrenocorticism(PDH);however,its efficacy in dogs with adrenal-dependent hyperadrenocorticism (ADH) is unknown. </w:t>
      </w:r>
    </w:p>
    <w:p w14:paraId="0DAA0B78" w14:textId="77777777" w:rsidR="002E7883" w:rsidRPr="00076142" w:rsidRDefault="002E7883" w:rsidP="002E7883">
      <w:pPr>
        <w:pStyle w:val="NormalWeb"/>
        <w:rPr>
          <w:rFonts w:asciiTheme="minorHAnsi" w:hAnsiTheme="minorHAnsi"/>
          <w:sz w:val="24"/>
          <w:szCs w:val="24"/>
        </w:rPr>
      </w:pPr>
      <w:r w:rsidRPr="00076142">
        <w:rPr>
          <w:rFonts w:asciiTheme="minorHAnsi" w:hAnsiTheme="minorHAnsi"/>
          <w:b/>
          <w:sz w:val="24"/>
          <w:szCs w:val="24"/>
        </w:rPr>
        <w:t>Objectives:</w:t>
      </w:r>
      <w:r w:rsidRPr="00076142">
        <w:rPr>
          <w:rFonts w:asciiTheme="minorHAnsi" w:hAnsiTheme="minorHAnsi"/>
          <w:sz w:val="24"/>
          <w:szCs w:val="24"/>
        </w:rPr>
        <w:t xml:space="preserve"> To examine factors that might influence survival in the medical management of ADH, with particular emphasis on treatment selection. </w:t>
      </w:r>
    </w:p>
    <w:p w14:paraId="4F86C4EC" w14:textId="77777777" w:rsidR="002E7883" w:rsidRPr="00076142" w:rsidRDefault="002E7883" w:rsidP="002E7883">
      <w:pPr>
        <w:pStyle w:val="NormalWeb"/>
        <w:rPr>
          <w:rFonts w:asciiTheme="minorHAnsi" w:hAnsiTheme="minorHAnsi"/>
          <w:sz w:val="24"/>
          <w:szCs w:val="24"/>
        </w:rPr>
      </w:pPr>
      <w:r w:rsidRPr="00076142">
        <w:rPr>
          <w:rFonts w:asciiTheme="minorHAnsi" w:hAnsiTheme="minorHAnsi"/>
          <w:b/>
          <w:sz w:val="24"/>
          <w:szCs w:val="24"/>
        </w:rPr>
        <w:t>Animals:</w:t>
      </w:r>
      <w:r w:rsidRPr="00076142">
        <w:rPr>
          <w:rFonts w:asciiTheme="minorHAnsi" w:hAnsiTheme="minorHAnsi"/>
          <w:sz w:val="24"/>
          <w:szCs w:val="24"/>
        </w:rPr>
        <w:t xml:space="preserve"> Thirty-seven animals referred to 4 centers over a period of 12 years that had been diagnosed with ADH and treated with either trilostane (22/37), mitotane (13/37), or both (2/37). </w:t>
      </w:r>
    </w:p>
    <w:p w14:paraId="003D72C5" w14:textId="77777777" w:rsidR="002E7883" w:rsidRPr="00076142" w:rsidRDefault="002E7883" w:rsidP="002E7883">
      <w:pPr>
        <w:pStyle w:val="NormalWeb"/>
        <w:rPr>
          <w:rFonts w:asciiTheme="minorHAnsi" w:hAnsiTheme="minorHAnsi"/>
          <w:sz w:val="24"/>
          <w:szCs w:val="24"/>
        </w:rPr>
      </w:pPr>
      <w:r w:rsidRPr="00076142">
        <w:rPr>
          <w:rFonts w:asciiTheme="minorHAnsi" w:hAnsiTheme="minorHAnsi"/>
          <w:b/>
          <w:sz w:val="24"/>
          <w:szCs w:val="24"/>
        </w:rPr>
        <w:t>Methods:</w:t>
      </w:r>
      <w:r w:rsidRPr="00076142">
        <w:rPr>
          <w:rFonts w:asciiTheme="minorHAnsi" w:hAnsiTheme="minorHAnsi"/>
          <w:sz w:val="24"/>
          <w:szCs w:val="24"/>
        </w:rPr>
        <w:t xml:space="preserve"> Retrospective analysis of clinical records. </w:t>
      </w:r>
    </w:p>
    <w:p w14:paraId="5068ABA9" w14:textId="77777777" w:rsidR="002E7883" w:rsidRPr="00076142" w:rsidRDefault="002E7883" w:rsidP="002E7883">
      <w:pPr>
        <w:pStyle w:val="NormalWeb"/>
        <w:rPr>
          <w:rFonts w:asciiTheme="minorHAnsi" w:hAnsiTheme="minorHAnsi"/>
          <w:sz w:val="24"/>
          <w:szCs w:val="24"/>
        </w:rPr>
      </w:pPr>
      <w:r w:rsidRPr="00076142">
        <w:rPr>
          <w:rFonts w:asciiTheme="minorHAnsi" w:hAnsiTheme="minorHAnsi"/>
          <w:b/>
          <w:sz w:val="24"/>
          <w:szCs w:val="24"/>
        </w:rPr>
        <w:t>Results:</w:t>
      </w:r>
      <w:r w:rsidRPr="00076142">
        <w:rPr>
          <w:rFonts w:asciiTheme="minorHAnsi" w:hAnsiTheme="minorHAnsi"/>
          <w:sz w:val="24"/>
          <w:szCs w:val="24"/>
        </w:rPr>
        <w:t xml:space="preserve"> There was no statistically significant difference between the survival times of 13 dogs treated only with mitotane when compared with 22 dogs treated only with trilostane. The median survival time for animals treated with trilostane was 353 days (95% confidence interval [CI] 95–528 days), whereas it was 102 days (95% CI 43–277 days) for mitotane. Metastatic disease was detected in 8 of 37 dogs. There was a significantly lower probability of survival for dogs with metastatic disease when compared with those without metastatic disease (P o .001). </w:t>
      </w:r>
    </w:p>
    <w:p w14:paraId="5A8E3FCC" w14:textId="77777777" w:rsidR="002E7883" w:rsidRPr="00076142" w:rsidRDefault="002E7883" w:rsidP="002E7883">
      <w:pPr>
        <w:pStyle w:val="NormalWeb"/>
        <w:rPr>
          <w:rFonts w:asciiTheme="minorHAnsi" w:hAnsiTheme="minorHAnsi"/>
          <w:sz w:val="24"/>
          <w:szCs w:val="24"/>
        </w:rPr>
      </w:pPr>
      <w:r w:rsidRPr="00076142">
        <w:rPr>
          <w:rFonts w:asciiTheme="minorHAnsi" w:hAnsiTheme="minorHAnsi"/>
          <w:b/>
          <w:sz w:val="24"/>
          <w:szCs w:val="24"/>
        </w:rPr>
        <w:t>Conclusions and Clinical Importance</w:t>
      </w:r>
      <w:r w:rsidRPr="00076142">
        <w:rPr>
          <w:rFonts w:asciiTheme="minorHAnsi" w:hAnsiTheme="minorHAnsi"/>
          <w:sz w:val="24"/>
          <w:szCs w:val="24"/>
        </w:rPr>
        <w:t xml:space="preserve">: The choice of medical treatment for ADH may not have a major effect on survival times. However, the presence of metastatic disease considerably decreases survival time regardless of the choice of medical treatment. </w:t>
      </w:r>
    </w:p>
    <w:p w14:paraId="4BF33D7D" w14:textId="77777777" w:rsidR="00873E37" w:rsidRPr="00076142" w:rsidRDefault="00873E37" w:rsidP="00E8628D">
      <w:pPr>
        <w:pStyle w:val="NormalWeb"/>
        <w:rPr>
          <w:rFonts w:asciiTheme="minorHAnsi" w:hAnsiTheme="minorHAnsi"/>
          <w:b/>
          <w:sz w:val="24"/>
          <w:szCs w:val="24"/>
        </w:rPr>
      </w:pPr>
      <w:r w:rsidRPr="00076142">
        <w:rPr>
          <w:rFonts w:asciiTheme="minorHAnsi" w:hAnsiTheme="minorHAnsi"/>
          <w:b/>
          <w:sz w:val="24"/>
          <w:szCs w:val="24"/>
        </w:rPr>
        <w:t>Summary</w:t>
      </w:r>
    </w:p>
    <w:p w14:paraId="0B19F14E" w14:textId="4D8AC1B2" w:rsidR="00E8628D" w:rsidRPr="00076142" w:rsidRDefault="00E8628D" w:rsidP="00E8628D">
      <w:pPr>
        <w:pStyle w:val="NormalWeb"/>
        <w:rPr>
          <w:rFonts w:asciiTheme="minorHAnsi" w:hAnsiTheme="minorHAnsi"/>
          <w:sz w:val="24"/>
          <w:szCs w:val="24"/>
        </w:rPr>
      </w:pPr>
      <w:r w:rsidRPr="00076142">
        <w:rPr>
          <w:rFonts w:asciiTheme="minorHAnsi" w:hAnsiTheme="minorHAnsi"/>
          <w:sz w:val="24"/>
          <w:szCs w:val="24"/>
        </w:rPr>
        <w:t xml:space="preserve">In all cases that were included, the contra-lateral adrenal gland </w:t>
      </w:r>
      <w:r w:rsidR="00873E37" w:rsidRPr="00076142">
        <w:rPr>
          <w:rFonts w:asciiTheme="minorHAnsi" w:hAnsiTheme="minorHAnsi"/>
          <w:sz w:val="24"/>
          <w:szCs w:val="24"/>
        </w:rPr>
        <w:t xml:space="preserve">either was not detected or was &lt; </w:t>
      </w:r>
      <w:r w:rsidRPr="00076142">
        <w:rPr>
          <w:rFonts w:asciiTheme="minorHAnsi" w:hAnsiTheme="minorHAnsi"/>
          <w:sz w:val="24"/>
          <w:szCs w:val="24"/>
        </w:rPr>
        <w:t xml:space="preserve">7 mm diameter when examined by ultrasonography. All cases of bilateral adrenomegaly were excluded (even though it is possible that some of these dogs may have had bilateral adrenal tumors). </w:t>
      </w:r>
    </w:p>
    <w:p w14:paraId="0FE5D038" w14:textId="166CCF68" w:rsidR="00873E37" w:rsidRPr="00076142" w:rsidRDefault="00873E37" w:rsidP="00873E37">
      <w:pPr>
        <w:pStyle w:val="NormalWeb"/>
        <w:rPr>
          <w:rFonts w:asciiTheme="minorHAnsi" w:hAnsiTheme="minorHAnsi"/>
          <w:sz w:val="24"/>
          <w:szCs w:val="24"/>
        </w:rPr>
      </w:pPr>
      <w:r w:rsidRPr="00076142">
        <w:rPr>
          <w:rFonts w:asciiTheme="minorHAnsi" w:hAnsiTheme="minorHAnsi"/>
          <w:sz w:val="24"/>
          <w:szCs w:val="24"/>
        </w:rPr>
        <w:lastRenderedPageBreak/>
        <w:t xml:space="preserve">The diagnosis of HAC was made in 36 of 37 dogs on the basis of an exaggerated response after an ACTH stimulation test, failure to suppress cortisol concentrations after a LDDST or both. One case had a reverse LDDST and a compatible UCCR </w:t>
      </w:r>
    </w:p>
    <w:p w14:paraId="675D90DC" w14:textId="77777777" w:rsidR="00873E37" w:rsidRPr="00076142" w:rsidRDefault="00873E37" w:rsidP="00873E37">
      <w:pPr>
        <w:pStyle w:val="NormalWeb"/>
        <w:rPr>
          <w:rFonts w:asciiTheme="minorHAnsi" w:hAnsiTheme="minorHAnsi"/>
          <w:sz w:val="24"/>
          <w:szCs w:val="24"/>
        </w:rPr>
      </w:pPr>
      <w:r w:rsidRPr="00076142">
        <w:rPr>
          <w:rFonts w:asciiTheme="minorHAnsi" w:hAnsiTheme="minorHAnsi"/>
          <w:sz w:val="24"/>
          <w:szCs w:val="24"/>
        </w:rPr>
        <w:t xml:space="preserve">All 37 cases had a diagnosis of HAC and an adrenal ultrasound examination that demonstrated the presence of a unilateral adrenal mass 410 mm. </w:t>
      </w:r>
    </w:p>
    <w:p w14:paraId="086E9167" w14:textId="745D38C4" w:rsidR="00873E37" w:rsidRPr="00076142" w:rsidRDefault="00873E37" w:rsidP="00873E37">
      <w:pPr>
        <w:pStyle w:val="NormalWeb"/>
        <w:rPr>
          <w:rFonts w:asciiTheme="minorHAnsi" w:hAnsiTheme="minorHAnsi"/>
          <w:sz w:val="24"/>
          <w:szCs w:val="24"/>
        </w:rPr>
      </w:pPr>
      <w:r w:rsidRPr="00076142">
        <w:rPr>
          <w:rFonts w:asciiTheme="minorHAnsi" w:hAnsiTheme="minorHAnsi"/>
          <w:sz w:val="24"/>
          <w:szCs w:val="24"/>
        </w:rPr>
        <w:t xml:space="preserve">Thirty-one of 37 had an ACTH concentration &lt;5 ng/mL. In the remaining 6 dogs, the diagnosis of ADH was based on histopathology confirming an adrenal carcinoma (in 2 dogs) or unequivocal clinical signs, unilateral adrenomegaly (410 mm) and response to treatment (in 4 dogs) </w:t>
      </w:r>
    </w:p>
    <w:p w14:paraId="79B49DD7" w14:textId="77777777" w:rsidR="00C0427D" w:rsidRPr="00076142" w:rsidRDefault="00C0427D" w:rsidP="00C0427D">
      <w:pPr>
        <w:pStyle w:val="NormalWeb"/>
        <w:rPr>
          <w:rFonts w:asciiTheme="minorHAnsi" w:hAnsiTheme="minorHAnsi"/>
          <w:sz w:val="24"/>
          <w:szCs w:val="24"/>
        </w:rPr>
      </w:pPr>
      <w:r w:rsidRPr="00076142">
        <w:rPr>
          <w:rFonts w:asciiTheme="minorHAnsi" w:hAnsiTheme="minorHAnsi"/>
          <w:sz w:val="24"/>
          <w:szCs w:val="24"/>
        </w:rPr>
        <w:t xml:space="preserve">There were 37 dogs treated by medical management: 13 with mitotane, 22 with trilostane, and 2 with mitotane then trilostane. No dogs were treated with mitotane and trilostane concurrently. The 2 dogs treated with mitotane and trilostane were excluded from comparisons involving treatment groups. </w:t>
      </w:r>
    </w:p>
    <w:p w14:paraId="4A28E388" w14:textId="77777777" w:rsidR="007263C0" w:rsidRPr="00076142" w:rsidRDefault="007263C0" w:rsidP="007263C0">
      <w:pPr>
        <w:pStyle w:val="NormalWeb"/>
        <w:rPr>
          <w:rFonts w:asciiTheme="minorHAnsi" w:hAnsiTheme="minorHAnsi"/>
          <w:sz w:val="24"/>
          <w:szCs w:val="24"/>
        </w:rPr>
      </w:pPr>
      <w:r w:rsidRPr="00076142">
        <w:rPr>
          <w:rFonts w:asciiTheme="minorHAnsi" w:hAnsiTheme="minorHAnsi"/>
          <w:sz w:val="24"/>
          <w:szCs w:val="24"/>
        </w:rPr>
        <w:t xml:space="preserve">There were no significant differences among the dogs in each treatment group when comparing population measures and clinical findings </w:t>
      </w:r>
    </w:p>
    <w:p w14:paraId="671DEAA3" w14:textId="77777777" w:rsidR="007263C0" w:rsidRPr="00076142" w:rsidRDefault="007263C0" w:rsidP="007263C0">
      <w:pPr>
        <w:pStyle w:val="NormalWeb"/>
        <w:rPr>
          <w:rFonts w:asciiTheme="minorHAnsi" w:hAnsiTheme="minorHAnsi"/>
          <w:sz w:val="24"/>
          <w:szCs w:val="24"/>
        </w:rPr>
      </w:pPr>
      <w:r w:rsidRPr="00076142">
        <w:rPr>
          <w:rFonts w:asciiTheme="minorHAnsi" w:hAnsiTheme="minorHAnsi"/>
          <w:sz w:val="24"/>
          <w:szCs w:val="24"/>
        </w:rPr>
        <w:t xml:space="preserve">During the course of treatment, 9 more dogs were recorded as developing concurrent disease. Three dogs had signs of cardiac disease and were managed with angiotensin converting enzyme inhibitors and furosemide, one dog had surgically managed pyometra 1 dog developed chronic renal failure, 2 dogs had mam- mary neoplasia, 1 dog developed signs of spinal cord disease, and 1 dog had neurological signs consistent with a central nervous system (CNS) space-occupying lesion. Therefore, 11 of 37 dogs had concurrent disease overall. Of these dogs, 8 were treated with trilostane, 3 with mi- totane, and none with both trilostane and mitotane </w:t>
      </w:r>
    </w:p>
    <w:p w14:paraId="59370CCD" w14:textId="7B8D0E46" w:rsidR="0064317C" w:rsidRPr="00076142" w:rsidRDefault="0064317C" w:rsidP="0064317C">
      <w:pPr>
        <w:pStyle w:val="NormalWeb"/>
        <w:rPr>
          <w:rFonts w:asciiTheme="minorHAnsi" w:hAnsiTheme="minorHAnsi"/>
          <w:sz w:val="24"/>
          <w:szCs w:val="24"/>
        </w:rPr>
      </w:pPr>
      <w:r w:rsidRPr="00076142">
        <w:rPr>
          <w:rFonts w:asciiTheme="minorHAnsi" w:hAnsiTheme="minorHAnsi"/>
          <w:sz w:val="24"/>
          <w:szCs w:val="24"/>
        </w:rPr>
        <w:t>Histopathology results were available in 5 dogs. Three had a postmortem exami</w:t>
      </w:r>
      <w:r w:rsidR="00D22F78" w:rsidRPr="00076142">
        <w:rPr>
          <w:rFonts w:asciiTheme="minorHAnsi" w:hAnsiTheme="minorHAnsi"/>
          <w:sz w:val="24"/>
          <w:szCs w:val="24"/>
        </w:rPr>
        <w:t>nation and all dogs had unilat</w:t>
      </w:r>
      <w:r w:rsidRPr="00076142">
        <w:rPr>
          <w:rFonts w:asciiTheme="minorHAnsi" w:hAnsiTheme="minorHAnsi"/>
          <w:sz w:val="24"/>
          <w:szCs w:val="24"/>
        </w:rPr>
        <w:t>eral adrenal carcinomas (2 left and 1 right). Two dogs had antimortem biopsies,</w:t>
      </w:r>
      <w:r w:rsidR="00D22F78" w:rsidRPr="00076142">
        <w:rPr>
          <w:rFonts w:asciiTheme="minorHAnsi" w:hAnsiTheme="minorHAnsi"/>
          <w:sz w:val="24"/>
          <w:szCs w:val="24"/>
        </w:rPr>
        <w:t xml:space="preserve"> which confirmed unilateral ad</w:t>
      </w:r>
      <w:r w:rsidRPr="00076142">
        <w:rPr>
          <w:rFonts w:asciiTheme="minorHAnsi" w:hAnsiTheme="minorHAnsi"/>
          <w:sz w:val="24"/>
          <w:szCs w:val="24"/>
        </w:rPr>
        <w:t xml:space="preserve">renocortical carcinoma in both. </w:t>
      </w:r>
    </w:p>
    <w:p w14:paraId="0C357B8E" w14:textId="170273EA" w:rsidR="000768DB" w:rsidRPr="00076142" w:rsidRDefault="000768DB" w:rsidP="000768DB">
      <w:pPr>
        <w:pStyle w:val="NormalWeb"/>
        <w:rPr>
          <w:rFonts w:asciiTheme="minorHAnsi" w:hAnsiTheme="minorHAnsi"/>
          <w:sz w:val="24"/>
          <w:szCs w:val="24"/>
        </w:rPr>
      </w:pPr>
      <w:r w:rsidRPr="00076142">
        <w:rPr>
          <w:rFonts w:asciiTheme="minorHAnsi" w:hAnsiTheme="minorHAnsi"/>
          <w:sz w:val="24"/>
          <w:szCs w:val="24"/>
        </w:rPr>
        <w:t>Two dogs died of causes that were felt to be because of the ADH or its treatment. Of these 2 dogs, 1 dog died of metastatic neopl</w:t>
      </w:r>
      <w:r w:rsidR="00D20C50" w:rsidRPr="00076142">
        <w:rPr>
          <w:rFonts w:asciiTheme="minorHAnsi" w:hAnsiTheme="minorHAnsi"/>
          <w:sz w:val="24"/>
          <w:szCs w:val="24"/>
        </w:rPr>
        <w:t xml:space="preserve">asia and the other of suspected </w:t>
      </w:r>
      <w:r w:rsidRPr="00076142">
        <w:rPr>
          <w:rFonts w:asciiTheme="minorHAnsi" w:hAnsiTheme="minorHAnsi"/>
          <w:sz w:val="24"/>
          <w:szCs w:val="24"/>
        </w:rPr>
        <w:t xml:space="preserve">hypoadrenocorticism (a reported adverse effect of both mitotane and trilostane treatment) </w:t>
      </w:r>
    </w:p>
    <w:p w14:paraId="77578780" w14:textId="77777777" w:rsidR="006A76D4" w:rsidRPr="00076142" w:rsidRDefault="006A76D4" w:rsidP="006A76D4">
      <w:pPr>
        <w:pStyle w:val="NormalWeb"/>
        <w:rPr>
          <w:rFonts w:asciiTheme="minorHAnsi" w:hAnsiTheme="minorHAnsi"/>
          <w:sz w:val="24"/>
          <w:szCs w:val="24"/>
        </w:rPr>
      </w:pPr>
      <w:r w:rsidRPr="00076142">
        <w:rPr>
          <w:rFonts w:asciiTheme="minorHAnsi" w:hAnsiTheme="minorHAnsi"/>
          <w:sz w:val="24"/>
          <w:szCs w:val="24"/>
        </w:rPr>
        <w:t xml:space="preserve">The median survival time for all dogs from treatment was 277 days (95% CI, 102–473 days). </w:t>
      </w:r>
    </w:p>
    <w:p w14:paraId="716BE3B6" w14:textId="653EC79B" w:rsidR="004236F4" w:rsidRPr="00076142" w:rsidRDefault="004236F4" w:rsidP="004236F4">
      <w:pPr>
        <w:pStyle w:val="NormalWeb"/>
        <w:rPr>
          <w:rFonts w:asciiTheme="minorHAnsi" w:hAnsiTheme="minorHAnsi"/>
          <w:sz w:val="24"/>
          <w:szCs w:val="24"/>
        </w:rPr>
      </w:pPr>
      <w:r w:rsidRPr="00076142">
        <w:rPr>
          <w:rFonts w:asciiTheme="minorHAnsi" w:hAnsiTheme="minorHAnsi"/>
          <w:sz w:val="24"/>
          <w:szCs w:val="24"/>
        </w:rPr>
        <w:t xml:space="preserve">At the date of censorship, all dogs treated with mitotane were dead. The median survival time for dogs on mitotane (n </w:t>
      </w:r>
      <w:r w:rsidR="00D20C50" w:rsidRPr="00076142">
        <w:rPr>
          <w:rFonts w:asciiTheme="minorHAnsi" w:hAnsiTheme="minorHAnsi"/>
          <w:sz w:val="24"/>
          <w:szCs w:val="24"/>
        </w:rPr>
        <w:t>=</w:t>
      </w:r>
      <w:r w:rsidRPr="00076142">
        <w:rPr>
          <w:rFonts w:asciiTheme="minorHAnsi" w:hAnsiTheme="minorHAnsi"/>
          <w:sz w:val="24"/>
          <w:szCs w:val="24"/>
        </w:rPr>
        <w:t xml:space="preserve"> 13) was 102 days (95% CI, 43–277 days). The me</w:t>
      </w:r>
      <w:r w:rsidR="00D20C50" w:rsidRPr="00076142">
        <w:rPr>
          <w:rFonts w:asciiTheme="minorHAnsi" w:hAnsiTheme="minorHAnsi"/>
          <w:sz w:val="24"/>
          <w:szCs w:val="24"/>
        </w:rPr>
        <w:t>dian sur</w:t>
      </w:r>
      <w:r w:rsidRPr="00076142">
        <w:rPr>
          <w:rFonts w:asciiTheme="minorHAnsi" w:hAnsiTheme="minorHAnsi"/>
          <w:sz w:val="24"/>
          <w:szCs w:val="24"/>
        </w:rPr>
        <w:t xml:space="preserve">vival time for dogs on trilostane (n </w:t>
      </w:r>
      <w:r w:rsidR="00D20C50" w:rsidRPr="00076142">
        <w:rPr>
          <w:rFonts w:asciiTheme="minorHAnsi" w:hAnsiTheme="minorHAnsi"/>
          <w:sz w:val="24"/>
          <w:szCs w:val="24"/>
        </w:rPr>
        <w:t xml:space="preserve">5= </w:t>
      </w:r>
      <w:r w:rsidRPr="00076142">
        <w:rPr>
          <w:rFonts w:asciiTheme="minorHAnsi" w:hAnsiTheme="minorHAnsi"/>
          <w:sz w:val="24"/>
          <w:szCs w:val="24"/>
        </w:rPr>
        <w:t>22) was 353 days (95% CI, 95–528 days). The 1-year survival fraction for dogs on mitotane was 23% (95% CI, 5.6–47.5%), whereas the 1-year survi</w:t>
      </w:r>
      <w:r w:rsidR="0061789D" w:rsidRPr="00076142">
        <w:rPr>
          <w:rFonts w:asciiTheme="minorHAnsi" w:hAnsiTheme="minorHAnsi"/>
          <w:sz w:val="24"/>
          <w:szCs w:val="24"/>
        </w:rPr>
        <w:t>val fraction for dogs on trilo</w:t>
      </w:r>
      <w:r w:rsidRPr="00076142">
        <w:rPr>
          <w:rFonts w:asciiTheme="minorHAnsi" w:hAnsiTheme="minorHAnsi"/>
          <w:sz w:val="24"/>
          <w:szCs w:val="24"/>
        </w:rPr>
        <w:t xml:space="preserve">stane was 50% (95% CI, 28.2–68.4%). </w:t>
      </w:r>
    </w:p>
    <w:p w14:paraId="276CA728" w14:textId="77777777" w:rsidR="004236F4" w:rsidRPr="00076142" w:rsidRDefault="004236F4" w:rsidP="004236F4">
      <w:pPr>
        <w:pStyle w:val="NormalWeb"/>
        <w:rPr>
          <w:rFonts w:asciiTheme="minorHAnsi" w:hAnsiTheme="minorHAnsi"/>
          <w:sz w:val="24"/>
          <w:szCs w:val="24"/>
        </w:rPr>
      </w:pPr>
      <w:r w:rsidRPr="00076142">
        <w:rPr>
          <w:rFonts w:asciiTheme="minorHAnsi" w:hAnsiTheme="minorHAnsi"/>
          <w:sz w:val="24"/>
          <w:szCs w:val="24"/>
        </w:rPr>
        <w:t xml:space="preserve">However, the survivorship functions for each treatment crossed over which implied that the survival outcome for each drug treatment may have varied over time </w:t>
      </w:r>
    </w:p>
    <w:p w14:paraId="2F568833" w14:textId="77777777" w:rsidR="0061789D" w:rsidRPr="00076142" w:rsidRDefault="0061789D" w:rsidP="0061789D">
      <w:pPr>
        <w:pStyle w:val="NormalWeb"/>
        <w:rPr>
          <w:rFonts w:asciiTheme="minorHAnsi" w:hAnsiTheme="minorHAnsi"/>
          <w:sz w:val="24"/>
          <w:szCs w:val="24"/>
        </w:rPr>
      </w:pPr>
      <w:r w:rsidRPr="00076142">
        <w:rPr>
          <w:rFonts w:asciiTheme="minorHAnsi" w:hAnsiTheme="minorHAnsi"/>
          <w:sz w:val="24"/>
          <w:szCs w:val="24"/>
        </w:rPr>
        <w:t xml:space="preserve">All dogs had abdominal ultrasonography and all but 2 also had thoracic radiography for staging. Metastatic disease was detected in 8 of the 37 dogs and not detected in 27 dogs. </w:t>
      </w:r>
    </w:p>
    <w:p w14:paraId="61CE8C8F" w14:textId="77777777" w:rsidR="00873E37" w:rsidRPr="00076142" w:rsidRDefault="00873E37" w:rsidP="00873E37">
      <w:pPr>
        <w:pStyle w:val="NormalWeb"/>
        <w:rPr>
          <w:rFonts w:asciiTheme="minorHAnsi" w:hAnsiTheme="minorHAnsi"/>
          <w:b/>
          <w:sz w:val="24"/>
          <w:szCs w:val="24"/>
        </w:rPr>
      </w:pPr>
    </w:p>
    <w:p w14:paraId="7D4B021E" w14:textId="28A03419" w:rsidR="00E8628D" w:rsidRPr="00076142" w:rsidRDefault="00873E37">
      <w:pPr>
        <w:rPr>
          <w:b/>
        </w:rPr>
      </w:pPr>
      <w:r w:rsidRPr="00076142">
        <w:rPr>
          <w:b/>
        </w:rPr>
        <w:t>Key points:</w:t>
      </w:r>
    </w:p>
    <w:p w14:paraId="5F35A8F9" w14:textId="77777777" w:rsidR="00873E37" w:rsidRPr="00076142" w:rsidRDefault="00873E37"/>
    <w:p w14:paraId="44D389F9" w14:textId="7FC79A05" w:rsidR="006A76D4" w:rsidRPr="00076142" w:rsidRDefault="006A76D4" w:rsidP="00F407C5">
      <w:pPr>
        <w:pStyle w:val="NormalWeb"/>
        <w:numPr>
          <w:ilvl w:val="0"/>
          <w:numId w:val="3"/>
        </w:numPr>
        <w:rPr>
          <w:rFonts w:asciiTheme="minorHAnsi" w:hAnsiTheme="minorHAnsi"/>
          <w:sz w:val="24"/>
          <w:szCs w:val="24"/>
        </w:rPr>
      </w:pPr>
      <w:r w:rsidRPr="00076142">
        <w:rPr>
          <w:rFonts w:asciiTheme="minorHAnsi" w:hAnsiTheme="minorHAnsi"/>
          <w:sz w:val="24"/>
          <w:szCs w:val="24"/>
        </w:rPr>
        <w:t xml:space="preserve">The median survival time for all dogs from treatment was 277 days (95% CI, 102–473 days). </w:t>
      </w:r>
    </w:p>
    <w:p w14:paraId="2753B084" w14:textId="57C2B005" w:rsidR="006A76D4" w:rsidRPr="00076142" w:rsidRDefault="006A76D4" w:rsidP="00F407C5">
      <w:pPr>
        <w:pStyle w:val="NormalWeb"/>
        <w:numPr>
          <w:ilvl w:val="0"/>
          <w:numId w:val="3"/>
        </w:numPr>
        <w:rPr>
          <w:rFonts w:asciiTheme="minorHAnsi" w:hAnsiTheme="minorHAnsi"/>
          <w:sz w:val="24"/>
          <w:szCs w:val="24"/>
        </w:rPr>
      </w:pPr>
      <w:r w:rsidRPr="00076142">
        <w:rPr>
          <w:rFonts w:asciiTheme="minorHAnsi" w:hAnsiTheme="minorHAnsi"/>
          <w:sz w:val="24"/>
          <w:szCs w:val="24"/>
        </w:rPr>
        <w:t>There was no significant difference between survival times of dogs (n 5 35) treated wit</w:t>
      </w:r>
      <w:r w:rsidR="0061789D" w:rsidRPr="00076142">
        <w:rPr>
          <w:rFonts w:asciiTheme="minorHAnsi" w:hAnsiTheme="minorHAnsi"/>
          <w:sz w:val="24"/>
          <w:szCs w:val="24"/>
        </w:rPr>
        <w:t>h either mitotane or trilostane</w:t>
      </w:r>
    </w:p>
    <w:p w14:paraId="25B3D24A" w14:textId="62E78B01" w:rsidR="0061789D" w:rsidRPr="00076142" w:rsidRDefault="0061789D" w:rsidP="00F407C5">
      <w:pPr>
        <w:pStyle w:val="NormalWeb"/>
        <w:numPr>
          <w:ilvl w:val="0"/>
          <w:numId w:val="3"/>
        </w:numPr>
        <w:rPr>
          <w:rFonts w:asciiTheme="minorHAnsi" w:hAnsiTheme="minorHAnsi"/>
          <w:sz w:val="24"/>
          <w:szCs w:val="24"/>
        </w:rPr>
      </w:pPr>
      <w:r w:rsidRPr="00076142">
        <w:rPr>
          <w:rFonts w:asciiTheme="minorHAnsi" w:hAnsiTheme="minorHAnsi"/>
          <w:sz w:val="24"/>
          <w:szCs w:val="24"/>
        </w:rPr>
        <w:t xml:space="preserve">Dogs without detected metastatic disease survived longer than those with metastatic disease </w:t>
      </w:r>
    </w:p>
    <w:p w14:paraId="60D36FA0" w14:textId="77777777" w:rsidR="0061789D" w:rsidRPr="00076142" w:rsidRDefault="0061789D" w:rsidP="00F407C5">
      <w:pPr>
        <w:pStyle w:val="NormalWeb"/>
        <w:numPr>
          <w:ilvl w:val="0"/>
          <w:numId w:val="3"/>
        </w:numPr>
        <w:rPr>
          <w:rFonts w:asciiTheme="minorHAnsi" w:hAnsiTheme="minorHAnsi"/>
          <w:sz w:val="24"/>
          <w:szCs w:val="24"/>
        </w:rPr>
      </w:pPr>
      <w:r w:rsidRPr="00076142">
        <w:rPr>
          <w:rFonts w:asciiTheme="minorHAnsi" w:hAnsiTheme="minorHAnsi"/>
          <w:sz w:val="24"/>
          <w:szCs w:val="24"/>
        </w:rPr>
        <w:t xml:space="preserve">The median survival time for those dogs without detected metastatic disease was 402 days (95% CI, 163–531 days). The median survival time for dogs with metastatic disease was 61 days (95% CI, 4–172 days). The 1-year survival fraction for dogs without detected metastatic disease was 51.8% (95% CI, 31.9– 68.6%). The 2-year survival fraction was 22.2% (95% CI, 9.0–39.0%). The 2-month survival fraction for the dogs with detected metastatic disease was 50% (95% CI, 15.2–77.5%), the 6-month survival fraction was 12.5% (95% CI, 0.7–42.3%) and 1-year survival fraction was 0%. </w:t>
      </w:r>
    </w:p>
    <w:p w14:paraId="67CC8160" w14:textId="670D954F" w:rsidR="0061789D" w:rsidRPr="00076142" w:rsidRDefault="0061789D" w:rsidP="00F407C5">
      <w:pPr>
        <w:pStyle w:val="NormalWeb"/>
        <w:numPr>
          <w:ilvl w:val="0"/>
          <w:numId w:val="3"/>
        </w:numPr>
        <w:rPr>
          <w:rFonts w:asciiTheme="minorHAnsi" w:hAnsiTheme="minorHAnsi"/>
          <w:sz w:val="24"/>
          <w:szCs w:val="24"/>
        </w:rPr>
      </w:pPr>
      <w:r w:rsidRPr="00076142">
        <w:rPr>
          <w:rFonts w:asciiTheme="minorHAnsi" w:hAnsiTheme="minorHAnsi"/>
          <w:sz w:val="24"/>
          <w:szCs w:val="24"/>
        </w:rPr>
        <w:t xml:space="preserve">There was no significant difference between the dogs with and without detected metastases with respect to drug treatment </w:t>
      </w:r>
    </w:p>
    <w:p w14:paraId="3AB3B9A1" w14:textId="4424465E" w:rsidR="007263C0" w:rsidRPr="00076142" w:rsidRDefault="007263C0" w:rsidP="00F407C5">
      <w:pPr>
        <w:pStyle w:val="NormalWeb"/>
        <w:numPr>
          <w:ilvl w:val="0"/>
          <w:numId w:val="3"/>
        </w:numPr>
        <w:rPr>
          <w:rFonts w:asciiTheme="minorHAnsi" w:hAnsiTheme="minorHAnsi"/>
          <w:sz w:val="24"/>
          <w:szCs w:val="24"/>
        </w:rPr>
      </w:pPr>
      <w:r w:rsidRPr="00076142">
        <w:rPr>
          <w:rFonts w:asciiTheme="minorHAnsi" w:hAnsiTheme="minorHAnsi"/>
          <w:sz w:val="24"/>
          <w:szCs w:val="24"/>
        </w:rPr>
        <w:t xml:space="preserve">When the presence of metastatic disease was accounted for in this analysis, it was not significantly associated with time of treatment or with the choice of drug treatment. </w:t>
      </w:r>
    </w:p>
    <w:p w14:paraId="41931546" w14:textId="77777777" w:rsidR="006F1C7E" w:rsidRPr="00076142" w:rsidRDefault="00583003" w:rsidP="00F407C5">
      <w:pPr>
        <w:pStyle w:val="NormalWeb"/>
        <w:numPr>
          <w:ilvl w:val="0"/>
          <w:numId w:val="3"/>
        </w:numPr>
        <w:rPr>
          <w:rFonts w:asciiTheme="minorHAnsi" w:hAnsiTheme="minorHAnsi"/>
          <w:sz w:val="24"/>
          <w:szCs w:val="24"/>
        </w:rPr>
      </w:pPr>
      <w:r w:rsidRPr="00076142">
        <w:rPr>
          <w:rFonts w:asciiTheme="minorHAnsi" w:hAnsiTheme="minorHAnsi"/>
          <w:sz w:val="24"/>
          <w:szCs w:val="24"/>
        </w:rPr>
        <w:t>M</w:t>
      </w:r>
      <w:r w:rsidR="00FE5784" w:rsidRPr="00076142">
        <w:rPr>
          <w:rFonts w:asciiTheme="minorHAnsi" w:hAnsiTheme="minorHAnsi"/>
          <w:sz w:val="24"/>
          <w:szCs w:val="24"/>
        </w:rPr>
        <w:t>ulti- variable Cox proportional hazards model the presence of metastatic disease (HR 5.3; 95% CI, 2.06–13.5; P 5 .001) was significantly associated with an increased hazard of  death.</w:t>
      </w:r>
      <w:r w:rsidRPr="00076142">
        <w:rPr>
          <w:rFonts w:asciiTheme="minorHAnsi" w:hAnsiTheme="minorHAnsi"/>
          <w:sz w:val="24"/>
          <w:szCs w:val="24"/>
        </w:rPr>
        <w:t xml:space="preserve"> </w:t>
      </w:r>
    </w:p>
    <w:p w14:paraId="224E1E62" w14:textId="2EC051C0" w:rsidR="006F1C7E" w:rsidRPr="00076142" w:rsidRDefault="00583003" w:rsidP="00F407C5">
      <w:pPr>
        <w:pStyle w:val="NormalWeb"/>
        <w:numPr>
          <w:ilvl w:val="0"/>
          <w:numId w:val="3"/>
        </w:numPr>
        <w:rPr>
          <w:rFonts w:asciiTheme="minorHAnsi" w:hAnsiTheme="minorHAnsi"/>
          <w:sz w:val="24"/>
          <w:szCs w:val="24"/>
        </w:rPr>
      </w:pPr>
      <w:r w:rsidRPr="00076142">
        <w:rPr>
          <w:rFonts w:asciiTheme="minorHAnsi" w:hAnsiTheme="minorHAnsi"/>
          <w:sz w:val="24"/>
          <w:szCs w:val="24"/>
        </w:rPr>
        <w:t xml:space="preserve">There were no other predictor variables that were significant at either the level of the univariable or multi- variable model. </w:t>
      </w:r>
      <w:r w:rsidR="006F1C7E" w:rsidRPr="00076142">
        <w:rPr>
          <w:rFonts w:asciiTheme="minorHAnsi" w:hAnsiTheme="minorHAnsi"/>
          <w:sz w:val="24"/>
          <w:szCs w:val="24"/>
        </w:rPr>
        <w:t>Specifically, there was no significant effect of drug treatment</w:t>
      </w:r>
      <w:r w:rsidR="006D689F" w:rsidRPr="00076142">
        <w:rPr>
          <w:rFonts w:asciiTheme="minorHAnsi" w:hAnsiTheme="minorHAnsi"/>
          <w:sz w:val="24"/>
          <w:szCs w:val="24"/>
        </w:rPr>
        <w:t xml:space="preserve"> (mitotane compared with trilo</w:t>
      </w:r>
      <w:r w:rsidR="006F1C7E" w:rsidRPr="00076142">
        <w:rPr>
          <w:rFonts w:asciiTheme="minorHAnsi" w:hAnsiTheme="minorHAnsi"/>
          <w:sz w:val="24"/>
          <w:szCs w:val="24"/>
        </w:rPr>
        <w:t xml:space="preserve">stane or both drug treatments) on survival rates. </w:t>
      </w:r>
    </w:p>
    <w:p w14:paraId="771C7D20" w14:textId="46CB4CFA" w:rsidR="00583003" w:rsidRPr="00076142" w:rsidRDefault="006D689F" w:rsidP="00583003">
      <w:pPr>
        <w:pStyle w:val="NormalWeb"/>
        <w:rPr>
          <w:rFonts w:asciiTheme="minorHAnsi" w:hAnsiTheme="minorHAnsi"/>
          <w:sz w:val="24"/>
          <w:szCs w:val="24"/>
        </w:rPr>
      </w:pPr>
      <w:r w:rsidRPr="00076142">
        <w:rPr>
          <w:rFonts w:asciiTheme="minorHAnsi" w:hAnsiTheme="minorHAnsi"/>
          <w:b/>
          <w:sz w:val="24"/>
          <w:szCs w:val="24"/>
        </w:rPr>
        <w:t>Questions</w:t>
      </w:r>
      <w:r w:rsidRPr="00076142">
        <w:rPr>
          <w:rFonts w:asciiTheme="minorHAnsi" w:hAnsiTheme="minorHAnsi"/>
          <w:sz w:val="24"/>
          <w:szCs w:val="24"/>
        </w:rPr>
        <w:t>:</w:t>
      </w:r>
    </w:p>
    <w:p w14:paraId="230D0D7E" w14:textId="42F503E5" w:rsidR="006D689F" w:rsidRPr="00076142" w:rsidRDefault="006D689F" w:rsidP="006D689F">
      <w:pPr>
        <w:pStyle w:val="NormalWeb"/>
        <w:numPr>
          <w:ilvl w:val="0"/>
          <w:numId w:val="2"/>
        </w:numPr>
        <w:rPr>
          <w:rFonts w:asciiTheme="minorHAnsi" w:hAnsiTheme="minorHAnsi"/>
          <w:sz w:val="24"/>
          <w:szCs w:val="24"/>
        </w:rPr>
      </w:pPr>
      <w:r w:rsidRPr="00076142">
        <w:rPr>
          <w:rFonts w:asciiTheme="minorHAnsi" w:hAnsiTheme="minorHAnsi"/>
          <w:sz w:val="24"/>
          <w:szCs w:val="24"/>
        </w:rPr>
        <w:t>There was a difference detected for survival among the trilostane group vs mitotane group. T or F?</w:t>
      </w:r>
    </w:p>
    <w:p w14:paraId="13D08190" w14:textId="41071A73" w:rsidR="006D689F" w:rsidRPr="00076142" w:rsidRDefault="006D689F" w:rsidP="006D689F">
      <w:pPr>
        <w:pStyle w:val="NormalWeb"/>
        <w:ind w:left="720"/>
        <w:rPr>
          <w:rFonts w:asciiTheme="minorHAnsi" w:hAnsiTheme="minorHAnsi"/>
          <w:sz w:val="24"/>
          <w:szCs w:val="24"/>
        </w:rPr>
      </w:pPr>
      <w:r w:rsidRPr="00076142">
        <w:rPr>
          <w:rFonts w:asciiTheme="minorHAnsi" w:hAnsiTheme="minorHAnsi"/>
          <w:b/>
          <w:sz w:val="24"/>
          <w:szCs w:val="24"/>
        </w:rPr>
        <w:t>Answer:</w:t>
      </w:r>
      <w:r w:rsidRPr="00076142">
        <w:rPr>
          <w:rFonts w:asciiTheme="minorHAnsi" w:hAnsiTheme="minorHAnsi"/>
          <w:sz w:val="24"/>
          <w:szCs w:val="24"/>
        </w:rPr>
        <w:t xml:space="preserve"> False</w:t>
      </w:r>
    </w:p>
    <w:p w14:paraId="4054F4D9" w14:textId="33698791" w:rsidR="006D689F" w:rsidRPr="00076142" w:rsidRDefault="006D689F" w:rsidP="006D689F">
      <w:pPr>
        <w:pStyle w:val="NormalWeb"/>
        <w:numPr>
          <w:ilvl w:val="0"/>
          <w:numId w:val="2"/>
        </w:numPr>
        <w:rPr>
          <w:rFonts w:asciiTheme="minorHAnsi" w:hAnsiTheme="minorHAnsi"/>
          <w:sz w:val="24"/>
          <w:szCs w:val="24"/>
        </w:rPr>
      </w:pPr>
      <w:r w:rsidRPr="00076142">
        <w:rPr>
          <w:rFonts w:asciiTheme="minorHAnsi" w:hAnsiTheme="minorHAnsi"/>
          <w:sz w:val="24"/>
          <w:szCs w:val="24"/>
        </w:rPr>
        <w:t>The presence of metastatic disease was aossciated with a significant decrease in survival times? T or F?</w:t>
      </w:r>
    </w:p>
    <w:p w14:paraId="1D5A7C91" w14:textId="728284B0" w:rsidR="006D689F" w:rsidRPr="00076142" w:rsidRDefault="006D689F" w:rsidP="006D689F">
      <w:pPr>
        <w:pStyle w:val="NormalWeb"/>
        <w:ind w:left="720"/>
        <w:rPr>
          <w:rFonts w:asciiTheme="minorHAnsi" w:hAnsiTheme="minorHAnsi"/>
          <w:sz w:val="24"/>
          <w:szCs w:val="24"/>
        </w:rPr>
      </w:pPr>
      <w:r w:rsidRPr="00076142">
        <w:rPr>
          <w:rFonts w:asciiTheme="minorHAnsi" w:hAnsiTheme="minorHAnsi"/>
          <w:b/>
          <w:sz w:val="24"/>
          <w:szCs w:val="24"/>
        </w:rPr>
        <w:t>Answer:</w:t>
      </w:r>
      <w:r w:rsidRPr="00076142">
        <w:rPr>
          <w:rFonts w:asciiTheme="minorHAnsi" w:hAnsiTheme="minorHAnsi"/>
          <w:sz w:val="24"/>
          <w:szCs w:val="24"/>
        </w:rPr>
        <w:t xml:space="preserve"> True</w:t>
      </w:r>
    </w:p>
    <w:p w14:paraId="7133FE23" w14:textId="77777777" w:rsidR="00905187" w:rsidRPr="00076142" w:rsidRDefault="00905187" w:rsidP="00905187">
      <w:pPr>
        <w:pStyle w:val="NormalWeb"/>
        <w:rPr>
          <w:rFonts w:asciiTheme="minorHAnsi" w:hAnsiTheme="minorHAnsi"/>
          <w:b/>
          <w:sz w:val="24"/>
          <w:szCs w:val="24"/>
          <w:u w:val="single"/>
        </w:rPr>
      </w:pPr>
    </w:p>
    <w:p w14:paraId="7A149F46" w14:textId="77777777" w:rsidR="0045304B" w:rsidRPr="00076142" w:rsidRDefault="0045304B" w:rsidP="00905187">
      <w:pPr>
        <w:pStyle w:val="NormalWeb"/>
        <w:rPr>
          <w:rFonts w:asciiTheme="minorHAnsi" w:hAnsiTheme="minorHAnsi"/>
          <w:b/>
          <w:sz w:val="24"/>
          <w:szCs w:val="24"/>
          <w:u w:val="single"/>
        </w:rPr>
      </w:pPr>
    </w:p>
    <w:p w14:paraId="042F2B48" w14:textId="77777777" w:rsidR="0045304B" w:rsidRPr="00076142" w:rsidRDefault="0045304B" w:rsidP="00905187">
      <w:pPr>
        <w:pStyle w:val="NormalWeb"/>
        <w:rPr>
          <w:rFonts w:asciiTheme="minorHAnsi" w:hAnsiTheme="minorHAnsi"/>
          <w:b/>
          <w:sz w:val="24"/>
          <w:szCs w:val="24"/>
          <w:u w:val="single"/>
        </w:rPr>
      </w:pPr>
    </w:p>
    <w:p w14:paraId="32454E02" w14:textId="0CD56297" w:rsidR="00905187" w:rsidRPr="00076142" w:rsidRDefault="00905187" w:rsidP="00905187">
      <w:pPr>
        <w:pStyle w:val="NormalWeb"/>
        <w:rPr>
          <w:rFonts w:asciiTheme="minorHAnsi" w:hAnsiTheme="minorHAnsi"/>
          <w:b/>
          <w:sz w:val="24"/>
          <w:szCs w:val="24"/>
          <w:u w:val="single"/>
        </w:rPr>
      </w:pPr>
      <w:r w:rsidRPr="00076142">
        <w:rPr>
          <w:rFonts w:asciiTheme="minorHAnsi" w:hAnsiTheme="minorHAnsi"/>
          <w:b/>
          <w:sz w:val="24"/>
          <w:szCs w:val="24"/>
          <w:u w:val="single"/>
        </w:rPr>
        <w:t xml:space="preserve">Clinical Findings, Diagnostic Test Results, and Treatment Outcome in Cats with Spontaneous Hyperadrenocorticism: 30 Cases </w:t>
      </w:r>
    </w:p>
    <w:p w14:paraId="27CE6D22" w14:textId="77777777" w:rsidR="00905187" w:rsidRPr="00076142" w:rsidRDefault="00905187" w:rsidP="00905187">
      <w:pPr>
        <w:pStyle w:val="NormalWeb"/>
        <w:rPr>
          <w:rFonts w:asciiTheme="minorHAnsi" w:hAnsiTheme="minorHAnsi"/>
          <w:sz w:val="24"/>
          <w:szCs w:val="24"/>
        </w:rPr>
      </w:pPr>
      <w:r w:rsidRPr="00076142">
        <w:rPr>
          <w:rFonts w:asciiTheme="minorHAnsi" w:hAnsiTheme="minorHAnsi"/>
          <w:sz w:val="24"/>
          <w:szCs w:val="24"/>
        </w:rPr>
        <w:t xml:space="preserve">S.Y. Valentin, C.C. Cortright, R.W. Nelson, B.M. Pressler, D. Rosenberg, G.E. Moore, and J.C. Scott-Moncrieff </w:t>
      </w:r>
    </w:p>
    <w:p w14:paraId="7E1AC4EA" w14:textId="76088185" w:rsidR="005A4298" w:rsidRPr="00076142" w:rsidRDefault="005A4298" w:rsidP="00905187">
      <w:pPr>
        <w:pStyle w:val="NormalWeb"/>
        <w:rPr>
          <w:rFonts w:asciiTheme="minorHAnsi" w:hAnsiTheme="minorHAnsi"/>
          <w:b/>
          <w:sz w:val="24"/>
          <w:szCs w:val="24"/>
        </w:rPr>
      </w:pPr>
      <w:r w:rsidRPr="00076142">
        <w:rPr>
          <w:rFonts w:asciiTheme="minorHAnsi" w:hAnsiTheme="minorHAnsi"/>
          <w:b/>
          <w:sz w:val="24"/>
          <w:szCs w:val="24"/>
        </w:rPr>
        <w:t>Abstract:</w:t>
      </w:r>
    </w:p>
    <w:p w14:paraId="353D72FD" w14:textId="64015099" w:rsidR="00905187" w:rsidRPr="00076142" w:rsidRDefault="00905187" w:rsidP="00905187">
      <w:pPr>
        <w:pStyle w:val="NormalWeb"/>
        <w:rPr>
          <w:rFonts w:asciiTheme="minorHAnsi" w:hAnsiTheme="minorHAnsi"/>
          <w:sz w:val="24"/>
          <w:szCs w:val="24"/>
        </w:rPr>
      </w:pPr>
      <w:r w:rsidRPr="00076142">
        <w:rPr>
          <w:rFonts w:asciiTheme="minorHAnsi" w:hAnsiTheme="minorHAnsi"/>
          <w:b/>
          <w:sz w:val="24"/>
          <w:szCs w:val="24"/>
        </w:rPr>
        <w:t>Background</w:t>
      </w:r>
      <w:r w:rsidRPr="00076142">
        <w:rPr>
          <w:rFonts w:asciiTheme="minorHAnsi" w:hAnsiTheme="minorHAnsi"/>
          <w:sz w:val="24"/>
          <w:szCs w:val="24"/>
        </w:rPr>
        <w:t xml:space="preserve">: Spontaneous hyperadrenocorticism (HAC) is rare in cats. Clinical findings, diagnostic test results, and response to various treatment options must be better characterized. </w:t>
      </w:r>
    </w:p>
    <w:p w14:paraId="1171323F" w14:textId="77777777" w:rsidR="00905187" w:rsidRPr="00076142" w:rsidRDefault="00905187" w:rsidP="00905187">
      <w:pPr>
        <w:pStyle w:val="NormalWeb"/>
        <w:rPr>
          <w:rFonts w:asciiTheme="minorHAnsi" w:hAnsiTheme="minorHAnsi"/>
          <w:sz w:val="24"/>
          <w:szCs w:val="24"/>
        </w:rPr>
      </w:pPr>
      <w:r w:rsidRPr="00076142">
        <w:rPr>
          <w:rFonts w:asciiTheme="minorHAnsi" w:hAnsiTheme="minorHAnsi"/>
          <w:b/>
          <w:sz w:val="24"/>
          <w:szCs w:val="24"/>
        </w:rPr>
        <w:t>Objectives:</w:t>
      </w:r>
      <w:r w:rsidRPr="00076142">
        <w:rPr>
          <w:rFonts w:asciiTheme="minorHAnsi" w:hAnsiTheme="minorHAnsi"/>
          <w:sz w:val="24"/>
          <w:szCs w:val="24"/>
        </w:rPr>
        <w:t xml:space="preserve"> To report the clinical presentation, clinicopathologic findings, diagnostic imaging results, and response to treatment of cats with HAC. </w:t>
      </w:r>
    </w:p>
    <w:p w14:paraId="51390A10" w14:textId="18E0B6C2" w:rsidR="00905187" w:rsidRPr="00076142" w:rsidRDefault="00905187" w:rsidP="00905187">
      <w:pPr>
        <w:pStyle w:val="NormalWeb"/>
        <w:rPr>
          <w:rFonts w:asciiTheme="minorHAnsi" w:hAnsiTheme="minorHAnsi"/>
          <w:sz w:val="24"/>
          <w:szCs w:val="24"/>
        </w:rPr>
      </w:pPr>
      <w:r w:rsidRPr="00076142">
        <w:rPr>
          <w:rFonts w:asciiTheme="minorHAnsi" w:hAnsiTheme="minorHAnsi"/>
          <w:b/>
          <w:sz w:val="24"/>
          <w:szCs w:val="24"/>
        </w:rPr>
        <w:t>Animals</w:t>
      </w:r>
      <w:r w:rsidRPr="00076142">
        <w:rPr>
          <w:rFonts w:asciiTheme="minorHAnsi" w:hAnsiTheme="minorHAnsi"/>
          <w:sz w:val="24"/>
          <w:szCs w:val="24"/>
        </w:rPr>
        <w:t>: Cats with spontaneous HAC.</w:t>
      </w:r>
      <w:r w:rsidRPr="00076142">
        <w:rPr>
          <w:rFonts w:asciiTheme="minorHAnsi" w:hAnsiTheme="minorHAnsi"/>
          <w:sz w:val="24"/>
          <w:szCs w:val="24"/>
        </w:rPr>
        <w:br/>
        <w:t>Methods: Retrospective descriptive case series.</w:t>
      </w:r>
      <w:r w:rsidRPr="00076142">
        <w:rPr>
          <w:rFonts w:asciiTheme="minorHAnsi" w:hAnsiTheme="minorHAnsi"/>
          <w:sz w:val="24"/>
          <w:szCs w:val="24"/>
        </w:rPr>
        <w:br/>
        <w:t>Results: Thirty cats (15 neutered males, 15 spayed females; age, 4.0–17.6 years [median, 13.0 years]) were identified from 10 veterinary referral institutions. The most common reason for referral was unre</w:t>
      </w:r>
      <w:r w:rsidR="00163788" w:rsidRPr="00076142">
        <w:rPr>
          <w:rFonts w:asciiTheme="minorHAnsi" w:hAnsiTheme="minorHAnsi"/>
          <w:sz w:val="24"/>
          <w:szCs w:val="24"/>
        </w:rPr>
        <w:t>gulated diabetes mellitus; der</w:t>
      </w:r>
      <w:r w:rsidRPr="00076142">
        <w:rPr>
          <w:rFonts w:asciiTheme="minorHAnsi" w:hAnsiTheme="minorHAnsi"/>
          <w:sz w:val="24"/>
          <w:szCs w:val="24"/>
        </w:rPr>
        <w:t xml:space="preserve">matologic abnormalities were the most frequent physical examination finding. Low-dose dexamethasone suppression test results were consistent with HAC in 27 of 28 cats (96%), whereas ACTH stimulation testing was suggestive of HAC in only 9 of 16 cats (56%). Ultrasonographic appearance of the adrenal glands was consistent with the final clinical diagnosis of PDH or ADH in 28 of 30 cats (93%). Of the 17 cats available for follow-up at least 1 month beyond initial diagnosis of HAC, improved quality of life was reported most commonly in cats with PDH treated with trilostane. </w:t>
      </w:r>
    </w:p>
    <w:p w14:paraId="1443EC85" w14:textId="5F188738" w:rsidR="00905187" w:rsidRPr="00076142" w:rsidRDefault="00905187" w:rsidP="00905187">
      <w:pPr>
        <w:pStyle w:val="NormalWeb"/>
        <w:rPr>
          <w:rFonts w:asciiTheme="minorHAnsi" w:hAnsiTheme="minorHAnsi"/>
          <w:sz w:val="24"/>
          <w:szCs w:val="24"/>
        </w:rPr>
      </w:pPr>
      <w:r w:rsidRPr="00076142">
        <w:rPr>
          <w:rFonts w:asciiTheme="minorHAnsi" w:hAnsiTheme="minorHAnsi"/>
          <w:b/>
          <w:sz w:val="24"/>
          <w:szCs w:val="24"/>
        </w:rPr>
        <w:t>Conclusions and Clinical Importance:</w:t>
      </w:r>
      <w:r w:rsidRPr="00076142">
        <w:rPr>
          <w:rFonts w:asciiTheme="minorHAnsi" w:hAnsiTheme="minorHAnsi"/>
          <w:sz w:val="24"/>
          <w:szCs w:val="24"/>
        </w:rPr>
        <w:t xml:space="preserve"> Dermatologic abnormalities or unregulated diabetes mellitus are the most likely reasons for initial referral of cats with HAC. The dexamethasone suppression test </w:t>
      </w:r>
      <w:r w:rsidR="00163788" w:rsidRPr="00076142">
        <w:rPr>
          <w:rFonts w:asciiTheme="minorHAnsi" w:hAnsiTheme="minorHAnsi"/>
          <w:sz w:val="24"/>
          <w:szCs w:val="24"/>
        </w:rPr>
        <w:t>is recommended over ACTH stimu</w:t>
      </w:r>
      <w:r w:rsidRPr="00076142">
        <w:rPr>
          <w:rFonts w:asciiTheme="minorHAnsi" w:hAnsiTheme="minorHAnsi"/>
          <w:sz w:val="24"/>
          <w:szCs w:val="24"/>
        </w:rPr>
        <w:t xml:space="preserve">lation for initial screening of cats with suspected HAC. Diagnostic imaging of the adrenal glands may allow rapid and accurate differentiation of PDH from ADH in cats with confirmed disease, but additional prospective studies are needed. </w:t>
      </w:r>
    </w:p>
    <w:p w14:paraId="488E7CE7" w14:textId="77777777" w:rsidR="006D689F" w:rsidRPr="00076142" w:rsidRDefault="006D689F" w:rsidP="00E770EF">
      <w:pPr>
        <w:pStyle w:val="NormalWeb"/>
        <w:rPr>
          <w:rFonts w:asciiTheme="minorHAnsi" w:hAnsiTheme="minorHAnsi"/>
          <w:sz w:val="24"/>
          <w:szCs w:val="24"/>
        </w:rPr>
      </w:pPr>
    </w:p>
    <w:p w14:paraId="0054E120" w14:textId="56EBC102" w:rsidR="006D689F" w:rsidRPr="00076142" w:rsidRDefault="003A4315" w:rsidP="00583003">
      <w:pPr>
        <w:pStyle w:val="NormalWeb"/>
        <w:rPr>
          <w:rFonts w:asciiTheme="minorHAnsi" w:hAnsiTheme="minorHAnsi"/>
          <w:b/>
          <w:sz w:val="24"/>
          <w:szCs w:val="24"/>
          <w:u w:val="single"/>
        </w:rPr>
      </w:pPr>
      <w:r w:rsidRPr="00076142">
        <w:rPr>
          <w:rFonts w:asciiTheme="minorHAnsi" w:hAnsiTheme="minorHAnsi"/>
          <w:b/>
          <w:sz w:val="24"/>
          <w:szCs w:val="24"/>
          <w:u w:val="single"/>
        </w:rPr>
        <w:t>Summary:</w:t>
      </w:r>
    </w:p>
    <w:p w14:paraId="112CE11C" w14:textId="2D418A17" w:rsidR="001D5A1F" w:rsidRPr="00076142" w:rsidRDefault="001D5A1F" w:rsidP="001D5A1F">
      <w:pPr>
        <w:pStyle w:val="NormalWeb"/>
        <w:rPr>
          <w:rFonts w:asciiTheme="minorHAnsi" w:hAnsiTheme="minorHAnsi"/>
          <w:sz w:val="24"/>
          <w:szCs w:val="24"/>
        </w:rPr>
      </w:pPr>
      <w:r w:rsidRPr="00076142">
        <w:rPr>
          <w:rFonts w:asciiTheme="minorHAnsi" w:hAnsiTheme="minorHAnsi"/>
          <w:b/>
          <w:i/>
          <w:sz w:val="24"/>
          <w:szCs w:val="24"/>
        </w:rPr>
        <w:t>Inclusion criteria:</w:t>
      </w:r>
      <w:r w:rsidRPr="00076142">
        <w:rPr>
          <w:rFonts w:asciiTheme="minorHAnsi" w:hAnsiTheme="minorHAnsi"/>
          <w:sz w:val="24"/>
          <w:szCs w:val="24"/>
        </w:rPr>
        <w:t xml:space="preserve"> Cats were considered t</w:t>
      </w:r>
      <w:r w:rsidR="00A127C6" w:rsidRPr="00076142">
        <w:rPr>
          <w:rFonts w:asciiTheme="minorHAnsi" w:hAnsiTheme="minorHAnsi"/>
          <w:sz w:val="24"/>
          <w:szCs w:val="24"/>
        </w:rPr>
        <w:t>o have been appropriately diag</w:t>
      </w:r>
      <w:r w:rsidRPr="00076142">
        <w:rPr>
          <w:rFonts w:asciiTheme="minorHAnsi" w:hAnsiTheme="minorHAnsi"/>
          <w:sz w:val="24"/>
          <w:szCs w:val="24"/>
        </w:rPr>
        <w:t>nosed with HAC if ≥1 of the following criteria were satisfied: (1) histopathologic confirmation of primary adrenocortical neoplasm with concurrent historical or physical examination abnormalities (eg, unregulated DM, dermatopat</w:t>
      </w:r>
      <w:r w:rsidR="00A127C6" w:rsidRPr="00076142">
        <w:rPr>
          <w:rFonts w:asciiTheme="minorHAnsi" w:hAnsiTheme="minorHAnsi"/>
          <w:sz w:val="24"/>
          <w:szCs w:val="24"/>
        </w:rPr>
        <w:t>hy); (2) concurrent histopatho</w:t>
      </w:r>
      <w:r w:rsidRPr="00076142">
        <w:rPr>
          <w:rFonts w:asciiTheme="minorHAnsi" w:hAnsiTheme="minorHAnsi"/>
          <w:sz w:val="24"/>
          <w:szCs w:val="24"/>
        </w:rPr>
        <w:t>logic confirmation of adrenocortical hyperplasia and either intra- cranial diagnostic imaging or necropsy identification of a pituitary tumor; (3) ultrasound confirmation of bilaterally enlarged adrenal glands or an adre</w:t>
      </w:r>
      <w:r w:rsidR="00A127C6" w:rsidRPr="00076142">
        <w:rPr>
          <w:rFonts w:asciiTheme="minorHAnsi" w:hAnsiTheme="minorHAnsi"/>
          <w:sz w:val="24"/>
          <w:szCs w:val="24"/>
        </w:rPr>
        <w:t>nal mass with supportive clini</w:t>
      </w:r>
      <w:r w:rsidRPr="00076142">
        <w:rPr>
          <w:rFonts w:asciiTheme="minorHAnsi" w:hAnsiTheme="minorHAnsi"/>
          <w:sz w:val="24"/>
          <w:szCs w:val="24"/>
        </w:rPr>
        <w:t xml:space="preserve">cal signs and positive DST; (4) computed tomographic (CT) or magnetic resonance imaging (MRI) evidence of a pituitary mass with supportive clinical signs and positive DST. </w:t>
      </w:r>
    </w:p>
    <w:p w14:paraId="62CEB66C" w14:textId="01C49D8E" w:rsidR="001D5A1F" w:rsidRPr="00076142" w:rsidRDefault="001D5A1F" w:rsidP="001D5A1F">
      <w:pPr>
        <w:pStyle w:val="NormalWeb"/>
        <w:rPr>
          <w:rFonts w:asciiTheme="minorHAnsi" w:hAnsiTheme="minorHAnsi"/>
          <w:sz w:val="24"/>
          <w:szCs w:val="24"/>
        </w:rPr>
      </w:pPr>
      <w:r w:rsidRPr="00076142">
        <w:rPr>
          <w:rFonts w:asciiTheme="minorHAnsi" w:hAnsiTheme="minorHAnsi"/>
          <w:b/>
          <w:i/>
          <w:sz w:val="24"/>
          <w:szCs w:val="24"/>
        </w:rPr>
        <w:t>Exclusion criteria:</w:t>
      </w:r>
      <w:r w:rsidRPr="00076142">
        <w:rPr>
          <w:rFonts w:asciiTheme="minorHAnsi" w:hAnsiTheme="minorHAnsi"/>
          <w:sz w:val="24"/>
          <w:szCs w:val="24"/>
        </w:rPr>
        <w:t xml:space="preserve"> Cats that had been treated with exogenous glucocorticoids within 2 months of HAC diagnosis were excluded. Cats with sex hormone–producing adrenal tumors were also excluded. </w:t>
      </w:r>
    </w:p>
    <w:p w14:paraId="747F1070" w14:textId="77777777" w:rsidR="00B31733" w:rsidRPr="00076142" w:rsidRDefault="00B31733" w:rsidP="00B31733">
      <w:pPr>
        <w:pStyle w:val="NormalWeb"/>
        <w:rPr>
          <w:rFonts w:asciiTheme="minorHAnsi" w:hAnsiTheme="minorHAnsi"/>
          <w:sz w:val="24"/>
          <w:szCs w:val="24"/>
        </w:rPr>
      </w:pPr>
      <w:r w:rsidRPr="00076142">
        <w:rPr>
          <w:rFonts w:asciiTheme="minorHAnsi" w:hAnsiTheme="minorHAnsi"/>
          <w:sz w:val="24"/>
          <w:szCs w:val="24"/>
        </w:rPr>
        <w:t xml:space="preserve">Differentiation of PDH from ADH was determined by a com- bination of histopathology, advanced diagnostic imaging (CT or MRI), and ultrasound imaging. </w:t>
      </w:r>
    </w:p>
    <w:p w14:paraId="105F96F6" w14:textId="363E0FCD" w:rsidR="00163788" w:rsidRPr="00076142" w:rsidRDefault="00163788" w:rsidP="00163788">
      <w:pPr>
        <w:pStyle w:val="NormalWeb"/>
        <w:rPr>
          <w:rFonts w:asciiTheme="minorHAnsi" w:hAnsiTheme="minorHAnsi"/>
          <w:sz w:val="24"/>
          <w:szCs w:val="24"/>
        </w:rPr>
      </w:pPr>
      <w:r w:rsidRPr="00076142">
        <w:rPr>
          <w:rFonts w:asciiTheme="minorHAnsi" w:hAnsiTheme="minorHAnsi"/>
          <w:sz w:val="24"/>
          <w:szCs w:val="24"/>
        </w:rPr>
        <w:t>Owner-reported clinical signs and abnormal physical examination findings</w:t>
      </w:r>
      <w:r w:rsidR="00CF6C43" w:rsidRPr="00076142">
        <w:rPr>
          <w:rFonts w:asciiTheme="minorHAnsi" w:hAnsiTheme="minorHAnsi"/>
          <w:sz w:val="24"/>
          <w:szCs w:val="24"/>
        </w:rPr>
        <w:t xml:space="preserve"> in cats with HAC included der</w:t>
      </w:r>
      <w:r w:rsidRPr="00076142">
        <w:rPr>
          <w:rFonts w:asciiTheme="minorHAnsi" w:hAnsiTheme="minorHAnsi"/>
          <w:sz w:val="24"/>
          <w:szCs w:val="24"/>
        </w:rPr>
        <w:t>matologic lesions (n = 30 [100%]), PU/PD (n = 26 [87%]), polyphagia (n = 2</w:t>
      </w:r>
      <w:r w:rsidR="00CF6C43" w:rsidRPr="00076142">
        <w:rPr>
          <w:rFonts w:asciiTheme="minorHAnsi" w:hAnsiTheme="minorHAnsi"/>
          <w:sz w:val="24"/>
          <w:szCs w:val="24"/>
        </w:rPr>
        <w:t>1 [70%]), abdominal disten</w:t>
      </w:r>
      <w:r w:rsidRPr="00076142">
        <w:rPr>
          <w:rFonts w:asciiTheme="minorHAnsi" w:hAnsiTheme="minorHAnsi"/>
          <w:sz w:val="24"/>
          <w:szCs w:val="24"/>
        </w:rPr>
        <w:t xml:space="preserve">sion (n = 20 [67%]), muscle wasting (n = 20 [67%]), lethargy (n = 14 [47%]), weight loss (n = 14 [47%]), and weight gain (n = 7 [23%]). Dermatologic lesions included thin skin (n = 21 [70%]), alopecia (n = 18 [60%]), skin lacerations (n = </w:t>
      </w:r>
      <w:r w:rsidR="00391323" w:rsidRPr="00076142">
        <w:rPr>
          <w:rFonts w:asciiTheme="minorHAnsi" w:hAnsiTheme="minorHAnsi"/>
          <w:sz w:val="24"/>
          <w:szCs w:val="24"/>
        </w:rPr>
        <w:t>17 [57%]), and dull, scal</w:t>
      </w:r>
      <w:r w:rsidRPr="00076142">
        <w:rPr>
          <w:rFonts w:asciiTheme="minorHAnsi" w:hAnsiTheme="minorHAnsi"/>
          <w:sz w:val="24"/>
          <w:szCs w:val="24"/>
        </w:rPr>
        <w:t xml:space="preserve">ing, or seborrheic skin (n = 4 [13%]) </w:t>
      </w:r>
    </w:p>
    <w:p w14:paraId="5C084302" w14:textId="77777777" w:rsidR="00CA5469" w:rsidRPr="00076142" w:rsidRDefault="00CA5469" w:rsidP="00CA5469">
      <w:pPr>
        <w:pStyle w:val="NormalWeb"/>
        <w:rPr>
          <w:rFonts w:asciiTheme="minorHAnsi" w:hAnsiTheme="minorHAnsi"/>
          <w:sz w:val="24"/>
          <w:szCs w:val="24"/>
        </w:rPr>
      </w:pPr>
      <w:r w:rsidRPr="00076142">
        <w:rPr>
          <w:rFonts w:asciiTheme="minorHAnsi" w:hAnsiTheme="minorHAnsi"/>
          <w:sz w:val="24"/>
          <w:szCs w:val="24"/>
        </w:rPr>
        <w:t xml:space="preserve">The most frequently diagnosed concurrent illness was unregulated diabetes mellitus (n = 27 [90%]). Other final diagnoses noted in the medical records included pancreatitis (n = 9 [30%]), chronic kidney disease (n = 11 [36%]), bacterial infections (cutaneous abscesses, urinary tract infections, bacterial rhinitis, or bacterial cholangio-hepatitis) (n = 16 [53%]), heart dis- ease (hypertrophic cardiomyopathy, n = 3 [10%], restrictive cardiomyopathy, n = 1 [3%]), and pancreatic adenocarcinoma (n = 1 [3%]). </w:t>
      </w:r>
    </w:p>
    <w:p w14:paraId="4F11F53E" w14:textId="0DD65F2D" w:rsidR="00CA5469" w:rsidRPr="00076142" w:rsidRDefault="00CA5469" w:rsidP="00CA5469">
      <w:pPr>
        <w:pStyle w:val="NormalWeb"/>
        <w:rPr>
          <w:rFonts w:asciiTheme="minorHAnsi" w:hAnsiTheme="minorHAnsi"/>
          <w:sz w:val="24"/>
          <w:szCs w:val="24"/>
        </w:rPr>
      </w:pPr>
      <w:r w:rsidRPr="00076142">
        <w:rPr>
          <w:rFonts w:asciiTheme="minorHAnsi" w:hAnsiTheme="minorHAnsi"/>
          <w:sz w:val="24"/>
          <w:szCs w:val="24"/>
        </w:rPr>
        <w:t xml:space="preserve">Only 1 cat had no concurrent disease, although a 2-week episode of transient DM had been noted several months before diagnosis of HAC. </w:t>
      </w:r>
    </w:p>
    <w:p w14:paraId="2F3994D9" w14:textId="2AD79A79" w:rsidR="001D5A1F" w:rsidRPr="00076142" w:rsidRDefault="0045304B" w:rsidP="00583003">
      <w:pPr>
        <w:pStyle w:val="NormalWeb"/>
        <w:rPr>
          <w:rFonts w:asciiTheme="minorHAnsi" w:hAnsiTheme="minorHAnsi"/>
          <w:sz w:val="24"/>
          <w:szCs w:val="24"/>
        </w:rPr>
      </w:pPr>
      <w:r w:rsidRPr="00076142">
        <w:rPr>
          <w:rFonts w:asciiTheme="minorHAnsi" w:hAnsiTheme="minorHAnsi"/>
          <w:noProof/>
          <w:sz w:val="24"/>
          <w:szCs w:val="24"/>
        </w:rPr>
        <w:drawing>
          <wp:inline distT="0" distB="0" distL="0" distR="0" wp14:anchorId="521EC410" wp14:editId="527BFFE4">
            <wp:extent cx="5486400" cy="29823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2982349"/>
                    </a:xfrm>
                    <a:prstGeom prst="rect">
                      <a:avLst/>
                    </a:prstGeom>
                    <a:noFill/>
                    <a:ln>
                      <a:noFill/>
                    </a:ln>
                  </pic:spPr>
                </pic:pic>
              </a:graphicData>
            </a:graphic>
          </wp:inline>
        </w:drawing>
      </w:r>
    </w:p>
    <w:p w14:paraId="551B9F90" w14:textId="77777777" w:rsidR="00B17416" w:rsidRPr="00076142" w:rsidRDefault="00B17416" w:rsidP="00B17416">
      <w:pPr>
        <w:pStyle w:val="NormalWeb"/>
        <w:rPr>
          <w:rFonts w:asciiTheme="minorHAnsi" w:hAnsiTheme="minorHAnsi"/>
          <w:sz w:val="24"/>
          <w:szCs w:val="24"/>
        </w:rPr>
      </w:pPr>
      <w:r w:rsidRPr="00076142">
        <w:rPr>
          <w:rFonts w:asciiTheme="minorHAnsi" w:hAnsiTheme="minorHAnsi"/>
          <w:sz w:val="24"/>
          <w:szCs w:val="24"/>
        </w:rPr>
        <w:t xml:space="preserve">Nine of 16 (56%) ACTH stimulation tests were consistent with the diagnosis of HAC </w:t>
      </w:r>
    </w:p>
    <w:p w14:paraId="481B3A03" w14:textId="77777777" w:rsidR="00B17416" w:rsidRPr="00076142" w:rsidRDefault="00B17416" w:rsidP="00B17416">
      <w:pPr>
        <w:pStyle w:val="NormalWeb"/>
        <w:rPr>
          <w:rFonts w:asciiTheme="minorHAnsi" w:hAnsiTheme="minorHAnsi"/>
          <w:sz w:val="24"/>
          <w:szCs w:val="24"/>
        </w:rPr>
      </w:pPr>
      <w:r w:rsidRPr="00076142">
        <w:rPr>
          <w:rFonts w:asciiTheme="minorHAnsi" w:hAnsiTheme="minorHAnsi"/>
          <w:sz w:val="24"/>
          <w:szCs w:val="24"/>
        </w:rPr>
        <w:t xml:space="preserve">Twenty-one cats with nonadrenal illness were included in the study for specificity analysis. </w:t>
      </w:r>
    </w:p>
    <w:p w14:paraId="5DA0A1CF" w14:textId="77777777" w:rsidR="00B17416" w:rsidRPr="00076142" w:rsidRDefault="00B17416" w:rsidP="00B17416">
      <w:pPr>
        <w:pStyle w:val="NormalWeb"/>
        <w:rPr>
          <w:rFonts w:asciiTheme="minorHAnsi" w:hAnsiTheme="minorHAnsi"/>
          <w:sz w:val="24"/>
          <w:szCs w:val="24"/>
        </w:rPr>
      </w:pPr>
      <w:r w:rsidRPr="00076142">
        <w:rPr>
          <w:rFonts w:asciiTheme="minorHAnsi" w:hAnsiTheme="minorHAnsi"/>
          <w:sz w:val="24"/>
          <w:szCs w:val="24"/>
        </w:rPr>
        <w:t xml:space="preserve">The calculated specificity at 30 and 60 minutes for the ACTH stimulation test was 89% (95% CI, 67– 99%) and 86% (95% CI, 58–95%), respectively. The sensitivity of the ACTH stimulation test was 56% (95% CI, 25–75%) if all sampling times were consid- ered, and 46% (95% CI, 20–70%) if only the 60-min- ute sampling time was evaluated. </w:t>
      </w:r>
    </w:p>
    <w:p w14:paraId="33B9251B" w14:textId="77777777" w:rsidR="00B17416" w:rsidRPr="00076142" w:rsidRDefault="00B17416" w:rsidP="00B17416">
      <w:pPr>
        <w:pStyle w:val="NormalWeb"/>
        <w:rPr>
          <w:rFonts w:asciiTheme="minorHAnsi" w:hAnsiTheme="minorHAnsi"/>
          <w:sz w:val="24"/>
          <w:szCs w:val="24"/>
        </w:rPr>
      </w:pPr>
      <w:r w:rsidRPr="00076142">
        <w:rPr>
          <w:rFonts w:asciiTheme="minorHAnsi" w:hAnsiTheme="minorHAnsi"/>
          <w:sz w:val="24"/>
          <w:szCs w:val="24"/>
        </w:rPr>
        <w:t xml:space="preserve">Dexamethasone suppression test results were consistent with HAC in 25 of 25 cats with PDH and consistent with HAC in 2 of 3 cats with ADH </w:t>
      </w:r>
    </w:p>
    <w:p w14:paraId="0E33AE14" w14:textId="77777777" w:rsidR="00B17416" w:rsidRPr="00076142" w:rsidRDefault="00B17416" w:rsidP="00B17416">
      <w:pPr>
        <w:pStyle w:val="NormalWeb"/>
        <w:rPr>
          <w:rFonts w:asciiTheme="minorHAnsi" w:hAnsiTheme="minorHAnsi"/>
          <w:sz w:val="24"/>
          <w:szCs w:val="24"/>
        </w:rPr>
      </w:pPr>
      <w:r w:rsidRPr="00076142">
        <w:rPr>
          <w:rFonts w:asciiTheme="minorHAnsi" w:hAnsiTheme="minorHAnsi"/>
          <w:sz w:val="24"/>
          <w:szCs w:val="24"/>
        </w:rPr>
        <w:t xml:space="preserve">Overall, 27 of 28 DST were consistent with HAC, and 1 was equivocal (this cat had ADH). </w:t>
      </w:r>
    </w:p>
    <w:p w14:paraId="2F631840" w14:textId="77777777" w:rsidR="008F0EA7" w:rsidRPr="00076142" w:rsidRDefault="00BE1219" w:rsidP="008F0EA7">
      <w:pPr>
        <w:pStyle w:val="NormalWeb"/>
        <w:rPr>
          <w:rFonts w:asciiTheme="minorHAnsi" w:hAnsiTheme="minorHAnsi"/>
          <w:sz w:val="24"/>
          <w:szCs w:val="24"/>
        </w:rPr>
      </w:pPr>
      <w:r w:rsidRPr="00076142">
        <w:rPr>
          <w:rFonts w:asciiTheme="minorHAnsi" w:hAnsiTheme="minorHAnsi"/>
          <w:sz w:val="24"/>
          <w:szCs w:val="24"/>
        </w:rPr>
        <w:t>Differentiation tests performed in the 30 cats in this study included abdominal ultrasound examination in all 30 cases, meas</w:t>
      </w:r>
      <w:r w:rsidR="008F0EA7" w:rsidRPr="00076142">
        <w:rPr>
          <w:rFonts w:asciiTheme="minorHAnsi" w:hAnsiTheme="minorHAnsi"/>
          <w:sz w:val="24"/>
          <w:szCs w:val="24"/>
        </w:rPr>
        <w:t>urement of endogenous ACTH con</w:t>
      </w:r>
      <w:r w:rsidRPr="00076142">
        <w:rPr>
          <w:rFonts w:asciiTheme="minorHAnsi" w:hAnsiTheme="minorHAnsi"/>
          <w:sz w:val="24"/>
          <w:szCs w:val="24"/>
        </w:rPr>
        <w:t xml:space="preserve">centration (n = 8), and advanced cranial imaging (n = 9). </w:t>
      </w:r>
      <w:r w:rsidR="008F0EA7" w:rsidRPr="00076142">
        <w:rPr>
          <w:rFonts w:asciiTheme="minorHAnsi" w:hAnsiTheme="minorHAnsi"/>
          <w:sz w:val="24"/>
          <w:szCs w:val="24"/>
        </w:rPr>
        <w:t xml:space="preserve">The final diagnosis of PDH or ADH was made by histopathology in 15 cats, histopathology and advanced cranial imaging in 6 cats, advanced cranial imaging alone in 3 cats, and abdominal ultrasound examination in 12 cats. </w:t>
      </w:r>
    </w:p>
    <w:p w14:paraId="37044C68" w14:textId="77777777" w:rsidR="006101DC" w:rsidRPr="00076142" w:rsidRDefault="006101DC" w:rsidP="006101DC">
      <w:pPr>
        <w:pStyle w:val="NormalWeb"/>
        <w:rPr>
          <w:rFonts w:asciiTheme="minorHAnsi" w:hAnsiTheme="minorHAnsi"/>
          <w:sz w:val="24"/>
          <w:szCs w:val="24"/>
        </w:rPr>
      </w:pPr>
      <w:r w:rsidRPr="00076142">
        <w:rPr>
          <w:rFonts w:asciiTheme="minorHAnsi" w:hAnsiTheme="minorHAnsi"/>
          <w:sz w:val="24"/>
          <w:szCs w:val="24"/>
        </w:rPr>
        <w:t xml:space="preserve">the sensitivity of ultrasonography for differentiation of PDH (equal-sized adrenal glands regardless of their size) from ADH was 93% </w:t>
      </w:r>
    </w:p>
    <w:p w14:paraId="2496C4D5" w14:textId="77777777" w:rsidR="006101DC" w:rsidRPr="00076142" w:rsidRDefault="006101DC" w:rsidP="006101DC">
      <w:pPr>
        <w:pStyle w:val="NormalWeb"/>
        <w:rPr>
          <w:rFonts w:asciiTheme="minorHAnsi" w:hAnsiTheme="minorHAnsi"/>
          <w:sz w:val="24"/>
          <w:szCs w:val="24"/>
        </w:rPr>
      </w:pPr>
      <w:r w:rsidRPr="00076142">
        <w:rPr>
          <w:rFonts w:asciiTheme="minorHAnsi" w:hAnsiTheme="minorHAnsi"/>
          <w:sz w:val="24"/>
          <w:szCs w:val="24"/>
        </w:rPr>
        <w:t xml:space="preserve">Endogenous ACTH concentration was measured in 8 PDH cats (range 10–1250 pg/mL) and was consistent with a diagnosis of PDH in 7 cats </w:t>
      </w:r>
    </w:p>
    <w:p w14:paraId="0EA94EF3" w14:textId="77777777" w:rsidR="00C6066A" w:rsidRPr="00076142" w:rsidRDefault="0001342D" w:rsidP="00C6066A">
      <w:pPr>
        <w:pStyle w:val="NormalWeb"/>
        <w:rPr>
          <w:rFonts w:asciiTheme="minorHAnsi" w:hAnsiTheme="minorHAnsi"/>
          <w:sz w:val="24"/>
          <w:szCs w:val="24"/>
        </w:rPr>
      </w:pPr>
      <w:r w:rsidRPr="00076142">
        <w:rPr>
          <w:rFonts w:asciiTheme="minorHAnsi" w:hAnsiTheme="minorHAnsi"/>
          <w:sz w:val="24"/>
          <w:szCs w:val="24"/>
        </w:rPr>
        <w:t xml:space="preserve">Follow-up was available for 17 cats with PDH treated for HAC. Treatments included trilostane (n = 9), mitotane metyrapone (n = 2), radiation ther- apy (n = 3), ketoconazole (n = 1), and bilateral adre- nalectomy (n = 3). </w:t>
      </w:r>
      <w:r w:rsidR="00C6066A" w:rsidRPr="00076142">
        <w:rPr>
          <w:rFonts w:asciiTheme="minorHAnsi" w:hAnsiTheme="minorHAnsi"/>
          <w:sz w:val="24"/>
          <w:szCs w:val="24"/>
        </w:rPr>
        <w:t xml:space="preserve">Three cats were treated with multiple modalities. </w:t>
      </w:r>
    </w:p>
    <w:p w14:paraId="788CC38D" w14:textId="17B9F5C7" w:rsidR="00162BD8" w:rsidRPr="00076142" w:rsidRDefault="00162BD8" w:rsidP="00162BD8">
      <w:pPr>
        <w:pStyle w:val="NormalWeb"/>
        <w:rPr>
          <w:rFonts w:asciiTheme="minorHAnsi" w:hAnsiTheme="minorHAnsi"/>
          <w:sz w:val="24"/>
          <w:szCs w:val="24"/>
        </w:rPr>
      </w:pPr>
      <w:r w:rsidRPr="00076142">
        <w:rPr>
          <w:rFonts w:asciiTheme="minorHAnsi" w:hAnsiTheme="minorHAnsi"/>
          <w:sz w:val="24"/>
          <w:szCs w:val="24"/>
        </w:rPr>
        <w:t xml:space="preserve">hypertension was much less common than in canine HAC </w:t>
      </w:r>
    </w:p>
    <w:p w14:paraId="2FD091DC" w14:textId="4278B7A1" w:rsidR="00B17416" w:rsidRPr="00076142" w:rsidRDefault="00162BD8" w:rsidP="00583003">
      <w:pPr>
        <w:pStyle w:val="NormalWeb"/>
        <w:rPr>
          <w:rFonts w:asciiTheme="minorHAnsi" w:hAnsiTheme="minorHAnsi"/>
          <w:sz w:val="24"/>
          <w:szCs w:val="24"/>
        </w:rPr>
      </w:pPr>
      <w:r w:rsidRPr="00076142">
        <w:rPr>
          <w:rFonts w:asciiTheme="minorHAnsi" w:hAnsiTheme="minorHAnsi"/>
          <w:sz w:val="24"/>
          <w:szCs w:val="24"/>
        </w:rPr>
        <w:t xml:space="preserve">The ACTH stimulation test was least useful in cats with ADH, all of which had ACTH stimulation test results within the reference range. </w:t>
      </w:r>
    </w:p>
    <w:p w14:paraId="2C296E83" w14:textId="77777777" w:rsidR="007F3E2F" w:rsidRPr="00076142" w:rsidRDefault="007F3E2F" w:rsidP="00583003">
      <w:pPr>
        <w:pStyle w:val="NormalWeb"/>
        <w:rPr>
          <w:rFonts w:asciiTheme="minorHAnsi" w:hAnsiTheme="minorHAnsi"/>
          <w:sz w:val="24"/>
          <w:szCs w:val="24"/>
        </w:rPr>
      </w:pPr>
    </w:p>
    <w:p w14:paraId="47DBD0F2" w14:textId="30D6C450" w:rsidR="003A4315" w:rsidRPr="00076142" w:rsidRDefault="003A4315" w:rsidP="00583003">
      <w:pPr>
        <w:pStyle w:val="NormalWeb"/>
        <w:rPr>
          <w:rFonts w:asciiTheme="minorHAnsi" w:hAnsiTheme="minorHAnsi"/>
          <w:b/>
          <w:sz w:val="24"/>
          <w:szCs w:val="24"/>
        </w:rPr>
      </w:pPr>
      <w:r w:rsidRPr="00076142">
        <w:rPr>
          <w:rFonts w:asciiTheme="minorHAnsi" w:hAnsiTheme="minorHAnsi"/>
          <w:b/>
          <w:sz w:val="24"/>
          <w:szCs w:val="24"/>
        </w:rPr>
        <w:t>Key Points:</w:t>
      </w:r>
    </w:p>
    <w:p w14:paraId="3E2F1271" w14:textId="20AF5070" w:rsidR="00163788" w:rsidRPr="00076142" w:rsidRDefault="00163788" w:rsidP="007F3E2F">
      <w:pPr>
        <w:pStyle w:val="NormalWeb"/>
        <w:numPr>
          <w:ilvl w:val="0"/>
          <w:numId w:val="4"/>
        </w:numPr>
        <w:rPr>
          <w:rFonts w:asciiTheme="minorHAnsi" w:hAnsiTheme="minorHAnsi"/>
          <w:sz w:val="24"/>
          <w:szCs w:val="24"/>
        </w:rPr>
      </w:pPr>
      <w:r w:rsidRPr="00076142">
        <w:rPr>
          <w:rFonts w:asciiTheme="minorHAnsi" w:hAnsiTheme="minorHAnsi"/>
          <w:sz w:val="24"/>
          <w:szCs w:val="24"/>
        </w:rPr>
        <w:t>Dermatologic abnormalities were the most frequent physical examination finding</w:t>
      </w:r>
    </w:p>
    <w:p w14:paraId="740E047B" w14:textId="58CED94B" w:rsidR="00CA5469" w:rsidRPr="00076142" w:rsidRDefault="00CA5469" w:rsidP="007F3E2F">
      <w:pPr>
        <w:pStyle w:val="NormalWeb"/>
        <w:numPr>
          <w:ilvl w:val="0"/>
          <w:numId w:val="4"/>
        </w:numPr>
        <w:rPr>
          <w:rFonts w:asciiTheme="minorHAnsi" w:hAnsiTheme="minorHAnsi"/>
          <w:sz w:val="24"/>
          <w:szCs w:val="24"/>
        </w:rPr>
      </w:pPr>
      <w:r w:rsidRPr="00076142">
        <w:rPr>
          <w:rFonts w:asciiTheme="minorHAnsi" w:hAnsiTheme="minorHAnsi"/>
          <w:sz w:val="24"/>
          <w:szCs w:val="24"/>
        </w:rPr>
        <w:t>The most frequently diagnosed concurrent illness was unregulated diabetes mellitus</w:t>
      </w:r>
    </w:p>
    <w:p w14:paraId="40F794FE" w14:textId="5A63F768" w:rsidR="00162BD8" w:rsidRPr="00076142" w:rsidRDefault="00162BD8" w:rsidP="007F3E2F">
      <w:pPr>
        <w:pStyle w:val="NormalWeb"/>
        <w:numPr>
          <w:ilvl w:val="0"/>
          <w:numId w:val="4"/>
        </w:numPr>
        <w:rPr>
          <w:rFonts w:asciiTheme="minorHAnsi" w:hAnsiTheme="minorHAnsi"/>
          <w:sz w:val="24"/>
          <w:szCs w:val="24"/>
        </w:rPr>
      </w:pPr>
      <w:r w:rsidRPr="00076142">
        <w:rPr>
          <w:rFonts w:asciiTheme="minorHAnsi" w:hAnsiTheme="minorHAnsi"/>
          <w:sz w:val="24"/>
          <w:szCs w:val="24"/>
        </w:rPr>
        <w:t>Low-dose dexamethasone suppression test results were consistent with HAC in 27 of 28 cats (96%), whereas ACTH stimulation testing was suggestive of HAC in only 9 of 16 cats (56%).</w:t>
      </w:r>
    </w:p>
    <w:p w14:paraId="4EA8FDF7" w14:textId="4817278C" w:rsidR="00162BD8" w:rsidRPr="00076142" w:rsidRDefault="00162BD8" w:rsidP="007F3E2F">
      <w:pPr>
        <w:pStyle w:val="NormalWeb"/>
        <w:numPr>
          <w:ilvl w:val="0"/>
          <w:numId w:val="4"/>
        </w:numPr>
        <w:rPr>
          <w:rFonts w:asciiTheme="minorHAnsi" w:hAnsiTheme="minorHAnsi"/>
          <w:sz w:val="24"/>
          <w:szCs w:val="24"/>
        </w:rPr>
      </w:pPr>
      <w:r w:rsidRPr="00076142">
        <w:rPr>
          <w:rFonts w:asciiTheme="minorHAnsi" w:hAnsiTheme="minorHAnsi"/>
          <w:sz w:val="24"/>
          <w:szCs w:val="24"/>
        </w:rPr>
        <w:t xml:space="preserve">The ACTH stimulation test was least useful in cats with ADH, all of which had ACTH stimulation test results within the reference range. </w:t>
      </w:r>
    </w:p>
    <w:p w14:paraId="25C34C7D" w14:textId="751B9DC6" w:rsidR="00162BD8" w:rsidRPr="00076142" w:rsidRDefault="00162BD8" w:rsidP="007F3E2F">
      <w:pPr>
        <w:pStyle w:val="NormalWeb"/>
        <w:numPr>
          <w:ilvl w:val="0"/>
          <w:numId w:val="4"/>
        </w:numPr>
        <w:rPr>
          <w:rFonts w:asciiTheme="minorHAnsi" w:hAnsiTheme="minorHAnsi"/>
          <w:sz w:val="24"/>
          <w:szCs w:val="24"/>
        </w:rPr>
      </w:pPr>
      <w:r w:rsidRPr="00076142">
        <w:rPr>
          <w:rFonts w:asciiTheme="minorHAnsi" w:hAnsiTheme="minorHAnsi"/>
          <w:sz w:val="24"/>
          <w:szCs w:val="24"/>
        </w:rPr>
        <w:t>Ultrasonographic appearance of the adrenal glands was consistent with the final clinical diagnosis of PDH or ADH in 28 of 30 cats (93%).</w:t>
      </w:r>
    </w:p>
    <w:p w14:paraId="2ED82B45" w14:textId="5601624D" w:rsidR="00C04901" w:rsidRPr="00076142" w:rsidRDefault="00C04901" w:rsidP="007F3E2F">
      <w:pPr>
        <w:pStyle w:val="NormalWeb"/>
        <w:numPr>
          <w:ilvl w:val="0"/>
          <w:numId w:val="4"/>
        </w:numPr>
        <w:rPr>
          <w:rFonts w:asciiTheme="minorHAnsi" w:hAnsiTheme="minorHAnsi"/>
          <w:sz w:val="24"/>
          <w:szCs w:val="24"/>
        </w:rPr>
      </w:pPr>
      <w:r w:rsidRPr="00076142">
        <w:rPr>
          <w:rFonts w:asciiTheme="minorHAnsi" w:hAnsiTheme="minorHAnsi"/>
          <w:sz w:val="24"/>
          <w:szCs w:val="24"/>
        </w:rPr>
        <w:t xml:space="preserve">Measurement of endogenous ACTH was also useful for differentiation in the majority of cats in which it was performed. In 7 of 8 cats with PDH, the endogenous ACTH concentration was consistent with PDH. </w:t>
      </w:r>
    </w:p>
    <w:p w14:paraId="5CCC770A" w14:textId="77777777" w:rsidR="00C04901" w:rsidRPr="00076142" w:rsidRDefault="00C04901" w:rsidP="00583003">
      <w:pPr>
        <w:pStyle w:val="NormalWeb"/>
        <w:rPr>
          <w:rFonts w:asciiTheme="minorHAnsi" w:hAnsiTheme="minorHAnsi"/>
          <w:sz w:val="24"/>
          <w:szCs w:val="24"/>
        </w:rPr>
      </w:pPr>
    </w:p>
    <w:p w14:paraId="2D58558D" w14:textId="3A35EC7B" w:rsidR="003A4315" w:rsidRPr="00076142" w:rsidRDefault="003A4315" w:rsidP="00583003">
      <w:pPr>
        <w:pStyle w:val="NormalWeb"/>
        <w:rPr>
          <w:rFonts w:asciiTheme="minorHAnsi" w:hAnsiTheme="minorHAnsi"/>
          <w:b/>
          <w:sz w:val="24"/>
          <w:szCs w:val="24"/>
        </w:rPr>
      </w:pPr>
      <w:r w:rsidRPr="00076142">
        <w:rPr>
          <w:rFonts w:asciiTheme="minorHAnsi" w:hAnsiTheme="minorHAnsi"/>
          <w:b/>
          <w:sz w:val="24"/>
          <w:szCs w:val="24"/>
        </w:rPr>
        <w:t>Questions:</w:t>
      </w:r>
    </w:p>
    <w:p w14:paraId="6F9A0111" w14:textId="0DE5603A" w:rsidR="00F87C49" w:rsidRPr="00076142" w:rsidRDefault="00467AF7" w:rsidP="00F87C49">
      <w:pPr>
        <w:pStyle w:val="NormalWeb"/>
        <w:numPr>
          <w:ilvl w:val="0"/>
          <w:numId w:val="5"/>
        </w:numPr>
        <w:rPr>
          <w:rFonts w:asciiTheme="minorHAnsi" w:hAnsiTheme="minorHAnsi"/>
          <w:sz w:val="24"/>
          <w:szCs w:val="24"/>
        </w:rPr>
      </w:pPr>
      <w:r w:rsidRPr="00076142">
        <w:rPr>
          <w:rFonts w:asciiTheme="minorHAnsi" w:hAnsiTheme="minorHAnsi"/>
          <w:sz w:val="24"/>
          <w:szCs w:val="24"/>
        </w:rPr>
        <w:t>The most common presenting clinical signs for cats with HAC in this study were unregulated DM and dermatologic abnormalities. Therefore, the combination of dermatologic abnormalities and unregulated DM should prompt diagnostic testing for HAC. True or false?</w:t>
      </w:r>
    </w:p>
    <w:p w14:paraId="33A95ABA" w14:textId="030A5A41" w:rsidR="00F87C49" w:rsidRPr="00076142" w:rsidRDefault="00F87C49" w:rsidP="00F87C49">
      <w:pPr>
        <w:pStyle w:val="NormalWeb"/>
        <w:ind w:left="720"/>
        <w:rPr>
          <w:rFonts w:asciiTheme="minorHAnsi" w:hAnsiTheme="minorHAnsi"/>
          <w:sz w:val="24"/>
          <w:szCs w:val="24"/>
        </w:rPr>
      </w:pPr>
      <w:r w:rsidRPr="00076142">
        <w:rPr>
          <w:rFonts w:asciiTheme="minorHAnsi" w:hAnsiTheme="minorHAnsi"/>
          <w:b/>
          <w:sz w:val="24"/>
          <w:szCs w:val="24"/>
        </w:rPr>
        <w:t>Answer:</w:t>
      </w:r>
      <w:r w:rsidRPr="00076142">
        <w:rPr>
          <w:rFonts w:asciiTheme="minorHAnsi" w:hAnsiTheme="minorHAnsi"/>
          <w:sz w:val="24"/>
          <w:szCs w:val="24"/>
        </w:rPr>
        <w:t xml:space="preserve"> True</w:t>
      </w:r>
    </w:p>
    <w:p w14:paraId="15D70D4D" w14:textId="202AF429" w:rsidR="00F87C49" w:rsidRPr="00076142" w:rsidRDefault="00F87C49" w:rsidP="00F87C49">
      <w:pPr>
        <w:pStyle w:val="NormalWeb"/>
        <w:numPr>
          <w:ilvl w:val="0"/>
          <w:numId w:val="5"/>
        </w:numPr>
        <w:rPr>
          <w:rFonts w:asciiTheme="minorHAnsi" w:hAnsiTheme="minorHAnsi"/>
          <w:sz w:val="24"/>
          <w:szCs w:val="24"/>
        </w:rPr>
      </w:pPr>
      <w:r w:rsidRPr="00076142">
        <w:rPr>
          <w:rFonts w:asciiTheme="minorHAnsi" w:hAnsiTheme="minorHAnsi"/>
          <w:sz w:val="24"/>
          <w:szCs w:val="24"/>
        </w:rPr>
        <w:t>The use of ultrasound to differentiate PDH from ADH was determined to be accurate in this study</w:t>
      </w:r>
      <w:r w:rsidR="00925C3E" w:rsidRPr="00076142">
        <w:rPr>
          <w:rFonts w:asciiTheme="minorHAnsi" w:hAnsiTheme="minorHAnsi"/>
          <w:sz w:val="24"/>
          <w:szCs w:val="24"/>
        </w:rPr>
        <w:t>. T or F?</w:t>
      </w:r>
    </w:p>
    <w:p w14:paraId="7A3D63CF" w14:textId="2AE59B64" w:rsidR="00925C3E" w:rsidRPr="00076142" w:rsidRDefault="00925C3E" w:rsidP="00925C3E">
      <w:pPr>
        <w:pStyle w:val="NormalWeb"/>
        <w:ind w:left="720"/>
        <w:rPr>
          <w:rFonts w:asciiTheme="minorHAnsi" w:hAnsiTheme="minorHAnsi"/>
          <w:sz w:val="24"/>
          <w:szCs w:val="24"/>
        </w:rPr>
      </w:pPr>
      <w:r w:rsidRPr="00076142">
        <w:rPr>
          <w:rFonts w:asciiTheme="minorHAnsi" w:hAnsiTheme="minorHAnsi"/>
          <w:b/>
          <w:sz w:val="24"/>
          <w:szCs w:val="24"/>
        </w:rPr>
        <w:t>Answer:</w:t>
      </w:r>
      <w:r w:rsidRPr="00076142">
        <w:rPr>
          <w:rFonts w:asciiTheme="minorHAnsi" w:hAnsiTheme="minorHAnsi"/>
          <w:sz w:val="24"/>
          <w:szCs w:val="24"/>
        </w:rPr>
        <w:t xml:space="preserve"> True</w:t>
      </w:r>
    </w:p>
    <w:p w14:paraId="04EDF1F5" w14:textId="080CD6D3" w:rsidR="00F87C49" w:rsidRPr="00076142" w:rsidRDefault="00F87C49" w:rsidP="00F87C49">
      <w:pPr>
        <w:pStyle w:val="NormalWeb"/>
        <w:numPr>
          <w:ilvl w:val="0"/>
          <w:numId w:val="5"/>
        </w:numPr>
        <w:rPr>
          <w:rFonts w:asciiTheme="minorHAnsi" w:hAnsiTheme="minorHAnsi"/>
          <w:sz w:val="24"/>
          <w:szCs w:val="24"/>
        </w:rPr>
      </w:pPr>
      <w:r w:rsidRPr="00076142">
        <w:rPr>
          <w:rFonts w:asciiTheme="minorHAnsi" w:hAnsiTheme="minorHAnsi"/>
          <w:sz w:val="24"/>
          <w:szCs w:val="24"/>
        </w:rPr>
        <w:t xml:space="preserve">You have a feline patient with clinical signs consistent with hyperadrenocoticism. According to this study, _______________ should be performed as the initial part of the diagnosis. </w:t>
      </w:r>
    </w:p>
    <w:p w14:paraId="458724A5" w14:textId="6C959532" w:rsidR="00925C3E" w:rsidRPr="00076142" w:rsidRDefault="00925C3E" w:rsidP="00925C3E">
      <w:pPr>
        <w:pStyle w:val="NormalWeb"/>
        <w:ind w:left="720"/>
        <w:rPr>
          <w:rFonts w:asciiTheme="minorHAnsi" w:hAnsiTheme="minorHAnsi"/>
          <w:sz w:val="24"/>
          <w:szCs w:val="24"/>
        </w:rPr>
      </w:pPr>
      <w:r w:rsidRPr="00076142">
        <w:rPr>
          <w:rFonts w:asciiTheme="minorHAnsi" w:hAnsiTheme="minorHAnsi"/>
          <w:b/>
          <w:sz w:val="24"/>
          <w:szCs w:val="24"/>
        </w:rPr>
        <w:t>Answer</w:t>
      </w:r>
      <w:r w:rsidRPr="00076142">
        <w:rPr>
          <w:rFonts w:asciiTheme="minorHAnsi" w:hAnsiTheme="minorHAnsi"/>
          <w:sz w:val="24"/>
          <w:szCs w:val="24"/>
        </w:rPr>
        <w:t>: Low dose dexamethasone suppression test</w:t>
      </w:r>
    </w:p>
    <w:p w14:paraId="28567588" w14:textId="77777777" w:rsidR="00467AF7" w:rsidRPr="00076142" w:rsidRDefault="00467AF7" w:rsidP="00467AF7">
      <w:pPr>
        <w:pStyle w:val="NormalWeb"/>
        <w:rPr>
          <w:rFonts w:asciiTheme="minorHAnsi" w:hAnsiTheme="minorHAnsi"/>
          <w:sz w:val="24"/>
          <w:szCs w:val="24"/>
        </w:rPr>
      </w:pPr>
    </w:p>
    <w:p w14:paraId="0793956B" w14:textId="77777777" w:rsidR="00963AD1" w:rsidRPr="00076142" w:rsidRDefault="00963AD1" w:rsidP="00FE5784">
      <w:pPr>
        <w:pStyle w:val="NormalWeb"/>
        <w:rPr>
          <w:rFonts w:asciiTheme="minorHAnsi" w:hAnsiTheme="minorHAnsi"/>
          <w:sz w:val="24"/>
          <w:szCs w:val="24"/>
        </w:rPr>
      </w:pPr>
    </w:p>
    <w:p w14:paraId="43D7D195" w14:textId="77777777" w:rsidR="00963AD1" w:rsidRPr="00076142" w:rsidRDefault="00963AD1" w:rsidP="00FE5784">
      <w:pPr>
        <w:pStyle w:val="NormalWeb"/>
        <w:rPr>
          <w:rFonts w:asciiTheme="minorHAnsi" w:hAnsiTheme="minorHAnsi"/>
          <w:sz w:val="24"/>
          <w:szCs w:val="24"/>
        </w:rPr>
      </w:pPr>
    </w:p>
    <w:p w14:paraId="31FB2D9B" w14:textId="4990254F" w:rsidR="00FE5784" w:rsidRPr="00076142" w:rsidRDefault="00963AD1" w:rsidP="00FE5784">
      <w:pPr>
        <w:pStyle w:val="NormalWeb"/>
        <w:rPr>
          <w:rFonts w:asciiTheme="minorHAnsi" w:hAnsiTheme="minorHAnsi"/>
          <w:b/>
          <w:sz w:val="24"/>
          <w:szCs w:val="24"/>
          <w:u w:val="single"/>
        </w:rPr>
      </w:pPr>
      <w:r w:rsidRPr="00076142">
        <w:rPr>
          <w:rFonts w:asciiTheme="minorHAnsi" w:hAnsiTheme="minorHAnsi"/>
          <w:b/>
          <w:sz w:val="24"/>
          <w:szCs w:val="24"/>
          <w:u w:val="single"/>
        </w:rPr>
        <w:t>Feline Primary Hyperaldosteronism (Review)</w:t>
      </w:r>
    </w:p>
    <w:p w14:paraId="4D6C46B9" w14:textId="4DE1F38F" w:rsidR="00963AD1" w:rsidRPr="00076142" w:rsidRDefault="00963AD1" w:rsidP="00FE5784">
      <w:pPr>
        <w:pStyle w:val="NormalWeb"/>
        <w:rPr>
          <w:rFonts w:asciiTheme="minorHAnsi" w:hAnsiTheme="minorHAnsi"/>
          <w:sz w:val="24"/>
          <w:szCs w:val="24"/>
        </w:rPr>
      </w:pPr>
      <w:r w:rsidRPr="00076142">
        <w:rPr>
          <w:rFonts w:asciiTheme="minorHAnsi" w:hAnsiTheme="minorHAnsi"/>
          <w:sz w:val="24"/>
          <w:szCs w:val="24"/>
        </w:rPr>
        <w:t>Rhonda, L. Schulman</w:t>
      </w:r>
    </w:p>
    <w:p w14:paraId="1A353DE1" w14:textId="77777777" w:rsidR="00963AD1" w:rsidRPr="00076142" w:rsidRDefault="00963AD1" w:rsidP="00963AD1">
      <w:pPr>
        <w:pStyle w:val="NormalWeb"/>
        <w:rPr>
          <w:rFonts w:asciiTheme="minorHAnsi" w:hAnsiTheme="minorHAnsi"/>
          <w:sz w:val="24"/>
          <w:szCs w:val="24"/>
        </w:rPr>
      </w:pPr>
      <w:r w:rsidRPr="00076142">
        <w:rPr>
          <w:rFonts w:asciiTheme="minorHAnsi" w:hAnsiTheme="minorHAnsi"/>
          <w:sz w:val="24"/>
          <w:szCs w:val="24"/>
        </w:rPr>
        <w:t>Vet Clin Small Anim 40 (2010) 353–359</w:t>
      </w:r>
    </w:p>
    <w:p w14:paraId="7049924F" w14:textId="6CD99FA6" w:rsidR="00963AD1" w:rsidRPr="00076142" w:rsidRDefault="00995787" w:rsidP="00FE5784">
      <w:pPr>
        <w:pStyle w:val="NormalWeb"/>
        <w:rPr>
          <w:rFonts w:asciiTheme="minorHAnsi" w:hAnsiTheme="minorHAnsi"/>
          <w:b/>
          <w:sz w:val="24"/>
          <w:szCs w:val="24"/>
        </w:rPr>
      </w:pPr>
      <w:r w:rsidRPr="00076142">
        <w:rPr>
          <w:rFonts w:asciiTheme="minorHAnsi" w:hAnsiTheme="minorHAnsi"/>
          <w:b/>
          <w:sz w:val="24"/>
          <w:szCs w:val="24"/>
        </w:rPr>
        <w:t>Summary:</w:t>
      </w:r>
    </w:p>
    <w:p w14:paraId="1F431DC4" w14:textId="56052AC5" w:rsidR="00995787" w:rsidRPr="00076142" w:rsidRDefault="00995787" w:rsidP="00FE5784">
      <w:pPr>
        <w:pStyle w:val="NormalWeb"/>
        <w:rPr>
          <w:rFonts w:asciiTheme="minorHAnsi" w:hAnsiTheme="minorHAnsi"/>
          <w:sz w:val="24"/>
          <w:szCs w:val="24"/>
        </w:rPr>
      </w:pPr>
      <w:r w:rsidRPr="00076142">
        <w:rPr>
          <w:rFonts w:asciiTheme="minorHAnsi" w:hAnsiTheme="minorHAnsi"/>
          <w:sz w:val="24"/>
          <w:szCs w:val="24"/>
        </w:rPr>
        <w:t>First described in cats in 1983</w:t>
      </w:r>
    </w:p>
    <w:p w14:paraId="73CE8D07" w14:textId="1F46B0B1" w:rsidR="00995787" w:rsidRPr="00076142" w:rsidRDefault="00995787" w:rsidP="00FE5784">
      <w:pPr>
        <w:pStyle w:val="NormalWeb"/>
        <w:rPr>
          <w:rFonts w:asciiTheme="minorHAnsi" w:hAnsiTheme="minorHAnsi"/>
          <w:sz w:val="24"/>
          <w:szCs w:val="24"/>
        </w:rPr>
      </w:pPr>
      <w:r w:rsidRPr="00076142">
        <w:rPr>
          <w:rFonts w:asciiTheme="minorHAnsi" w:hAnsiTheme="minorHAnsi"/>
          <w:sz w:val="24"/>
          <w:szCs w:val="24"/>
        </w:rPr>
        <w:t>May cause hypertension in cats</w:t>
      </w:r>
    </w:p>
    <w:p w14:paraId="1DADBA44" w14:textId="6FBABB30" w:rsidR="007263C0" w:rsidRPr="00076142" w:rsidRDefault="002F7D1C">
      <w:r w:rsidRPr="00076142">
        <w:rPr>
          <w:b/>
        </w:rPr>
        <w:t>PHYSIOLOGY</w:t>
      </w:r>
      <w:r w:rsidRPr="00076142">
        <w:t>:</w:t>
      </w:r>
    </w:p>
    <w:p w14:paraId="2F41D7C9" w14:textId="77777777" w:rsidR="00B530FA" w:rsidRPr="00076142" w:rsidRDefault="002F7D1C" w:rsidP="002F7D1C">
      <w:pPr>
        <w:pStyle w:val="NormalWeb"/>
        <w:rPr>
          <w:rFonts w:asciiTheme="minorHAnsi" w:hAnsiTheme="minorHAnsi"/>
          <w:sz w:val="24"/>
          <w:szCs w:val="24"/>
        </w:rPr>
      </w:pPr>
      <w:r w:rsidRPr="00076142">
        <w:rPr>
          <w:rFonts w:asciiTheme="minorHAnsi" w:hAnsiTheme="minorHAnsi"/>
          <w:sz w:val="24"/>
          <w:szCs w:val="24"/>
        </w:rPr>
        <w:t xml:space="preserve">The principal known function of aldosterone is regulation of systemic blood pressure and homeostasis of extracellular fluid volume in response to changes in hemodynamics and electrolytes. </w:t>
      </w:r>
    </w:p>
    <w:p w14:paraId="78C1DF34" w14:textId="77777777" w:rsidR="00B530FA" w:rsidRPr="00076142" w:rsidRDefault="002F7D1C" w:rsidP="002F7D1C">
      <w:pPr>
        <w:pStyle w:val="NormalWeb"/>
        <w:rPr>
          <w:rFonts w:asciiTheme="minorHAnsi" w:hAnsiTheme="minorHAnsi"/>
          <w:sz w:val="24"/>
          <w:szCs w:val="24"/>
        </w:rPr>
      </w:pPr>
      <w:r w:rsidRPr="00076142">
        <w:rPr>
          <w:rFonts w:asciiTheme="minorHAnsi" w:hAnsiTheme="minorHAnsi"/>
          <w:sz w:val="24"/>
          <w:szCs w:val="24"/>
        </w:rPr>
        <w:t xml:space="preserve">Aldosterone acts by increasing secretion of potassium and hydrogen and resorption of sodium and chloride in the distal nephrons of the kidneys. </w:t>
      </w:r>
    </w:p>
    <w:p w14:paraId="05AB22BA" w14:textId="409CD2F7" w:rsidR="002F7D1C" w:rsidRPr="00076142" w:rsidRDefault="002F7D1C" w:rsidP="002F7D1C">
      <w:pPr>
        <w:pStyle w:val="NormalWeb"/>
        <w:rPr>
          <w:rFonts w:asciiTheme="minorHAnsi" w:hAnsiTheme="minorHAnsi"/>
          <w:sz w:val="24"/>
          <w:szCs w:val="24"/>
        </w:rPr>
      </w:pPr>
      <w:r w:rsidRPr="00076142">
        <w:rPr>
          <w:rFonts w:asciiTheme="minorHAnsi" w:hAnsiTheme="minorHAnsi"/>
          <w:sz w:val="24"/>
          <w:szCs w:val="24"/>
        </w:rPr>
        <w:t xml:space="preserve">Thus, increased plasma aldosterone concentrations cause increases in sodium concentration and volume of the extracellular fluid. </w:t>
      </w:r>
    </w:p>
    <w:p w14:paraId="10E2F89D" w14:textId="77777777" w:rsidR="00B530FA" w:rsidRPr="00076142" w:rsidRDefault="002F7D1C" w:rsidP="002F7D1C">
      <w:pPr>
        <w:pStyle w:val="NormalWeb"/>
        <w:rPr>
          <w:rFonts w:asciiTheme="minorHAnsi" w:hAnsiTheme="minorHAnsi"/>
          <w:sz w:val="24"/>
          <w:szCs w:val="24"/>
        </w:rPr>
      </w:pPr>
      <w:r w:rsidRPr="00076142">
        <w:rPr>
          <w:rFonts w:asciiTheme="minorHAnsi" w:hAnsiTheme="minorHAnsi"/>
          <w:sz w:val="24"/>
          <w:szCs w:val="24"/>
        </w:rPr>
        <w:t xml:space="preserve">Aldosterone production in the zona glomerulosa of the adrenal cortex is regulated by the renin–angiotensin system (also called the </w:t>
      </w:r>
      <w:r w:rsidRPr="00076142">
        <w:rPr>
          <w:rFonts w:asciiTheme="minorHAnsi" w:hAnsiTheme="minorHAnsi"/>
          <w:i/>
          <w:iCs/>
          <w:sz w:val="24"/>
          <w:szCs w:val="24"/>
        </w:rPr>
        <w:t>renin–angiotensin–aldosterone system</w:t>
      </w:r>
      <w:r w:rsidRPr="00076142">
        <w:rPr>
          <w:rFonts w:asciiTheme="minorHAnsi" w:hAnsiTheme="minorHAnsi"/>
          <w:sz w:val="24"/>
          <w:szCs w:val="24"/>
        </w:rPr>
        <w:t xml:space="preserve">;) and extracellular potassium concentrations. </w:t>
      </w:r>
    </w:p>
    <w:p w14:paraId="351AE747" w14:textId="77777777" w:rsidR="00B530FA" w:rsidRPr="00076142" w:rsidRDefault="002F7D1C" w:rsidP="002F7D1C">
      <w:pPr>
        <w:pStyle w:val="NormalWeb"/>
        <w:rPr>
          <w:rFonts w:asciiTheme="minorHAnsi" w:hAnsiTheme="minorHAnsi"/>
          <w:sz w:val="24"/>
          <w:szCs w:val="24"/>
        </w:rPr>
      </w:pPr>
      <w:r w:rsidRPr="00076142">
        <w:rPr>
          <w:rFonts w:asciiTheme="minorHAnsi" w:hAnsiTheme="minorHAnsi"/>
          <w:sz w:val="24"/>
          <w:szCs w:val="24"/>
        </w:rPr>
        <w:t xml:space="preserve">The kidneys increase renin secretion in response to a decrease in circulating blood volume or renal blood flow sensed by the juxtaglomerular apparatus. Decreased delivery of sodium and chloride to the macula densa cells in the distal tubules also stimulates renin secretion. </w:t>
      </w:r>
    </w:p>
    <w:p w14:paraId="57537F0B" w14:textId="64275E24" w:rsidR="002F7D1C" w:rsidRPr="00076142" w:rsidRDefault="002F7D1C" w:rsidP="002F7D1C">
      <w:pPr>
        <w:pStyle w:val="NormalWeb"/>
        <w:rPr>
          <w:rFonts w:asciiTheme="minorHAnsi" w:hAnsiTheme="minorHAnsi"/>
          <w:sz w:val="24"/>
          <w:szCs w:val="24"/>
        </w:rPr>
      </w:pPr>
      <w:r w:rsidRPr="00076142">
        <w:rPr>
          <w:rFonts w:asciiTheme="minorHAnsi" w:hAnsiTheme="minorHAnsi"/>
          <w:sz w:val="24"/>
          <w:szCs w:val="24"/>
        </w:rPr>
        <w:t xml:space="preserve">Renin cleaves angiotensinogen, produced by the liver, into angiotensin I, which is hydrolyzed to angiotensin II by angiotensin-converting enzyme (ACE). </w:t>
      </w:r>
    </w:p>
    <w:p w14:paraId="362E0AD3" w14:textId="77777777" w:rsidR="00CF4C69" w:rsidRPr="00076142" w:rsidRDefault="00CF4C69" w:rsidP="00CF4C69">
      <w:pPr>
        <w:pStyle w:val="NormalWeb"/>
        <w:rPr>
          <w:rFonts w:asciiTheme="minorHAnsi" w:hAnsiTheme="minorHAnsi"/>
          <w:sz w:val="24"/>
          <w:szCs w:val="24"/>
        </w:rPr>
      </w:pPr>
      <w:r w:rsidRPr="00076142">
        <w:rPr>
          <w:rFonts w:asciiTheme="minorHAnsi" w:hAnsiTheme="minorHAnsi"/>
          <w:sz w:val="24"/>
          <w:szCs w:val="24"/>
        </w:rPr>
        <w:t xml:space="preserve">In addition to being a powerful vasoconstrictor, angiotensin II stimulates aldosterone secretion. Potassium controls aldosterone secretion through a direct effect on the adrenal zona glomerulosa </w:t>
      </w:r>
    </w:p>
    <w:p w14:paraId="64CD5AC9" w14:textId="77777777" w:rsidR="00285B26" w:rsidRPr="00076142" w:rsidRDefault="00285B26" w:rsidP="00285B26">
      <w:pPr>
        <w:pStyle w:val="NormalWeb"/>
        <w:rPr>
          <w:rFonts w:asciiTheme="minorHAnsi" w:hAnsiTheme="minorHAnsi"/>
          <w:sz w:val="24"/>
          <w:szCs w:val="24"/>
        </w:rPr>
      </w:pPr>
      <w:r w:rsidRPr="00076142">
        <w:rPr>
          <w:rFonts w:asciiTheme="minorHAnsi" w:hAnsiTheme="minorHAnsi"/>
          <w:sz w:val="24"/>
          <w:szCs w:val="24"/>
        </w:rPr>
        <w:t xml:space="preserve">Therefore, when the kidneys experience decreased blood flow, renin, angiotensin II, and aldosterone are increased, resulting in increased sodium retention, increased extracellular fluid volume, and lower extracellular concentrations of potassium (through loss in the urine). </w:t>
      </w:r>
    </w:p>
    <w:p w14:paraId="39A85889" w14:textId="77777777" w:rsidR="00285B26" w:rsidRPr="00076142" w:rsidRDefault="00285B26" w:rsidP="00285B26">
      <w:pPr>
        <w:pStyle w:val="NormalWeb"/>
        <w:rPr>
          <w:rFonts w:asciiTheme="minorHAnsi" w:hAnsiTheme="minorHAnsi"/>
          <w:sz w:val="24"/>
          <w:szCs w:val="24"/>
        </w:rPr>
      </w:pPr>
      <w:r w:rsidRPr="00076142">
        <w:rPr>
          <w:rFonts w:asciiTheme="minorHAnsi" w:hAnsiTheme="minorHAnsi"/>
          <w:sz w:val="24"/>
          <w:szCs w:val="24"/>
        </w:rPr>
        <w:t xml:space="preserve">In PHA, excess aldosterone causes systemic hypertension. The increased urinary loss of potassium may result in profound hypokalemia. As potassium shifts extracellularly, hydrogen ions move intracellularly. Metabolic alkalosis may result from the increased urinary loss of hydrogen ions in addition to the intracellular shift </w:t>
      </w:r>
    </w:p>
    <w:p w14:paraId="5CC18B2B" w14:textId="41860765" w:rsidR="00CF4C69" w:rsidRPr="00076142" w:rsidRDefault="00BA6FA8" w:rsidP="00CF4C69">
      <w:pPr>
        <w:pStyle w:val="NormalWeb"/>
        <w:rPr>
          <w:rFonts w:asciiTheme="minorHAnsi" w:hAnsiTheme="minorHAnsi"/>
          <w:b/>
          <w:sz w:val="24"/>
          <w:szCs w:val="24"/>
        </w:rPr>
      </w:pPr>
      <w:r w:rsidRPr="00076142">
        <w:rPr>
          <w:rFonts w:asciiTheme="minorHAnsi" w:hAnsiTheme="minorHAnsi"/>
          <w:b/>
          <w:sz w:val="24"/>
          <w:szCs w:val="24"/>
        </w:rPr>
        <w:t>CLINICAL PRESENTATION:</w:t>
      </w:r>
    </w:p>
    <w:p w14:paraId="3893254E" w14:textId="77777777" w:rsidR="00FF28A6" w:rsidRPr="00076142" w:rsidRDefault="00FF28A6" w:rsidP="00FF28A6">
      <w:pPr>
        <w:pStyle w:val="NormalWeb"/>
        <w:rPr>
          <w:rFonts w:asciiTheme="minorHAnsi" w:hAnsiTheme="minorHAnsi"/>
          <w:sz w:val="24"/>
          <w:szCs w:val="24"/>
        </w:rPr>
      </w:pPr>
      <w:r w:rsidRPr="00076142">
        <w:rPr>
          <w:rFonts w:asciiTheme="minorHAnsi" w:hAnsiTheme="minorHAnsi"/>
          <w:sz w:val="24"/>
          <w:szCs w:val="24"/>
        </w:rPr>
        <w:t xml:space="preserve">There do not appear to be sex or breed predilections </w:t>
      </w:r>
    </w:p>
    <w:p w14:paraId="045FC0E8" w14:textId="77777777" w:rsidR="00FF28A6" w:rsidRPr="00076142" w:rsidRDefault="00FF28A6" w:rsidP="00FF28A6">
      <w:pPr>
        <w:pStyle w:val="NormalWeb"/>
        <w:rPr>
          <w:rFonts w:asciiTheme="minorHAnsi" w:hAnsiTheme="minorHAnsi"/>
          <w:sz w:val="24"/>
          <w:szCs w:val="24"/>
        </w:rPr>
      </w:pPr>
      <w:r w:rsidRPr="00076142">
        <w:rPr>
          <w:rFonts w:asciiTheme="minorHAnsi" w:hAnsiTheme="minorHAnsi"/>
          <w:sz w:val="24"/>
          <w:szCs w:val="24"/>
        </w:rPr>
        <w:t xml:space="preserve">Weakness is the most common presenting sign, followed by cervical ventriflexion. </w:t>
      </w:r>
    </w:p>
    <w:p w14:paraId="3C362ED8" w14:textId="77777777" w:rsidR="00FF28A6" w:rsidRPr="00076142" w:rsidRDefault="00FF28A6" w:rsidP="00FF28A6">
      <w:pPr>
        <w:pStyle w:val="NormalWeb"/>
        <w:rPr>
          <w:rFonts w:asciiTheme="minorHAnsi" w:hAnsiTheme="minorHAnsi"/>
          <w:sz w:val="24"/>
          <w:szCs w:val="24"/>
        </w:rPr>
      </w:pPr>
      <w:r w:rsidRPr="00076142">
        <w:rPr>
          <w:rFonts w:asciiTheme="minorHAnsi" w:hAnsiTheme="minorHAnsi"/>
          <w:sz w:val="24"/>
          <w:szCs w:val="24"/>
        </w:rPr>
        <w:t xml:space="preserve">Hind limb weakness, episodic forelimb stiffness, and dysphagia were also described </w:t>
      </w:r>
    </w:p>
    <w:p w14:paraId="6460A817" w14:textId="77777777" w:rsidR="00FF28A6" w:rsidRPr="00076142" w:rsidRDefault="00FF28A6" w:rsidP="00FF28A6">
      <w:pPr>
        <w:pStyle w:val="NormalWeb"/>
        <w:rPr>
          <w:rFonts w:asciiTheme="minorHAnsi" w:hAnsiTheme="minorHAnsi"/>
          <w:sz w:val="24"/>
          <w:szCs w:val="24"/>
        </w:rPr>
      </w:pPr>
      <w:r w:rsidRPr="00076142">
        <w:rPr>
          <w:rFonts w:asciiTheme="minorHAnsi" w:hAnsiTheme="minorHAnsi"/>
          <w:sz w:val="24"/>
          <w:szCs w:val="24"/>
        </w:rPr>
        <w:t xml:space="preserve">The weakness displayed by cats with PHA is typical of hypokalemic polymyopathy. </w:t>
      </w:r>
    </w:p>
    <w:p w14:paraId="6B1D6666" w14:textId="61EE5468" w:rsidR="00FF28A6" w:rsidRPr="00075314" w:rsidRDefault="00FF28A6" w:rsidP="00FF28A6">
      <w:pPr>
        <w:pStyle w:val="NormalWeb"/>
        <w:rPr>
          <w:rFonts w:asciiTheme="minorHAnsi" w:hAnsiTheme="minorHAnsi"/>
          <w:sz w:val="24"/>
          <w:szCs w:val="24"/>
        </w:rPr>
      </w:pPr>
      <w:r w:rsidRPr="00075314">
        <w:rPr>
          <w:rFonts w:asciiTheme="minorHAnsi" w:hAnsiTheme="minorHAnsi"/>
          <w:sz w:val="24"/>
          <w:szCs w:val="24"/>
        </w:rPr>
        <w:t>Lethargy, depression.</w:t>
      </w:r>
    </w:p>
    <w:p w14:paraId="19AD4E5E" w14:textId="7C2CFF70" w:rsidR="005839B0" w:rsidRPr="00075314" w:rsidRDefault="005839B0" w:rsidP="005839B0">
      <w:pPr>
        <w:pStyle w:val="NormalWeb"/>
        <w:rPr>
          <w:rFonts w:asciiTheme="minorHAnsi" w:hAnsiTheme="minorHAnsi"/>
          <w:sz w:val="24"/>
          <w:szCs w:val="24"/>
        </w:rPr>
      </w:pPr>
      <w:r w:rsidRPr="00075314">
        <w:rPr>
          <w:rFonts w:asciiTheme="minorHAnsi" w:hAnsiTheme="minorHAnsi"/>
          <w:sz w:val="24"/>
          <w:szCs w:val="24"/>
        </w:rPr>
        <w:t>Clinical signs related to systemic hypertension may be seen at initial presentation. May see changes secondary to systemic hypertension such as retinal detatchment, CKD, myocardial hypertrophy</w:t>
      </w:r>
    </w:p>
    <w:p w14:paraId="115FEB2D" w14:textId="28A4349B" w:rsidR="002F7D1C" w:rsidRPr="00075314" w:rsidRDefault="005839B0" w:rsidP="002F7D1C">
      <w:pPr>
        <w:pStyle w:val="NormalWeb"/>
        <w:rPr>
          <w:rFonts w:asciiTheme="minorHAnsi" w:hAnsiTheme="minorHAnsi"/>
          <w:sz w:val="24"/>
          <w:szCs w:val="24"/>
        </w:rPr>
      </w:pPr>
      <w:r w:rsidRPr="00075314">
        <w:rPr>
          <w:rFonts w:asciiTheme="minorHAnsi" w:hAnsiTheme="minorHAnsi"/>
          <w:sz w:val="24"/>
          <w:szCs w:val="24"/>
        </w:rPr>
        <w:t>PU/PD, weight loss, vomiting, diarrhea.</w:t>
      </w:r>
    </w:p>
    <w:p w14:paraId="2D38079D" w14:textId="6C0F88AF" w:rsidR="002E73A1" w:rsidRPr="00075314" w:rsidRDefault="002E73A1" w:rsidP="002E73A1">
      <w:pPr>
        <w:pStyle w:val="NormalWeb"/>
        <w:rPr>
          <w:rFonts w:asciiTheme="minorHAnsi" w:hAnsiTheme="minorHAnsi"/>
          <w:sz w:val="24"/>
          <w:szCs w:val="24"/>
        </w:rPr>
      </w:pPr>
      <w:r w:rsidRPr="00075314">
        <w:rPr>
          <w:rFonts w:asciiTheme="minorHAnsi" w:hAnsiTheme="minorHAnsi"/>
          <w:sz w:val="24"/>
          <w:szCs w:val="24"/>
        </w:rPr>
        <w:t>Biochemical abnormalities found in cats with PHA are consistent with the excessive circulating concentrations of aldosterone. Moderate-to-severe degrees of hypoka- lemia are typically seen, whereas serum sodium concentrations may be normal or mildly increased</w:t>
      </w:r>
      <w:r w:rsidR="00BF75AF" w:rsidRPr="00075314">
        <w:rPr>
          <w:rFonts w:asciiTheme="minorHAnsi" w:hAnsiTheme="minorHAnsi"/>
          <w:sz w:val="24"/>
          <w:szCs w:val="24"/>
        </w:rPr>
        <w:t>.</w:t>
      </w:r>
    </w:p>
    <w:p w14:paraId="41505DAE" w14:textId="77777777" w:rsidR="00BF75AF" w:rsidRPr="00075314" w:rsidRDefault="00BF75AF" w:rsidP="00BF75AF">
      <w:pPr>
        <w:pStyle w:val="NormalWeb"/>
        <w:rPr>
          <w:rFonts w:asciiTheme="minorHAnsi" w:hAnsiTheme="minorHAnsi"/>
          <w:sz w:val="24"/>
          <w:szCs w:val="24"/>
        </w:rPr>
      </w:pPr>
      <w:r w:rsidRPr="00075314">
        <w:rPr>
          <w:rFonts w:asciiTheme="minorHAnsi" w:hAnsiTheme="minorHAnsi"/>
          <w:sz w:val="24"/>
          <w:szCs w:val="24"/>
        </w:rPr>
        <w:t xml:space="preserve">It is not surprising that the serum sodium concentrations are only mildly increased, if at all, given the increased water resorption that accompanies the aldosterone-driven sodium resorption </w:t>
      </w:r>
    </w:p>
    <w:p w14:paraId="4E50E9AF" w14:textId="77777777" w:rsidR="00184767" w:rsidRPr="00075314" w:rsidRDefault="00184767" w:rsidP="00184767">
      <w:pPr>
        <w:pStyle w:val="NormalWeb"/>
        <w:rPr>
          <w:rFonts w:asciiTheme="minorHAnsi" w:hAnsiTheme="minorHAnsi"/>
          <w:sz w:val="24"/>
          <w:szCs w:val="24"/>
        </w:rPr>
      </w:pPr>
      <w:r w:rsidRPr="00075314">
        <w:rPr>
          <w:rFonts w:asciiTheme="minorHAnsi" w:hAnsiTheme="minorHAnsi"/>
          <w:sz w:val="24"/>
          <w:szCs w:val="24"/>
        </w:rPr>
        <w:t xml:space="preserve">Urinary fractional excretion of potassium is greatly increased because of the effects of aldosterone. Serum creatinine kinase concentrations are also usually markedly elevated, secondary to hypokalemic polymyopathy </w:t>
      </w:r>
    </w:p>
    <w:p w14:paraId="4789CEA3" w14:textId="77777777" w:rsidR="003F77DC" w:rsidRPr="00075314" w:rsidRDefault="003F77DC" w:rsidP="003F77DC">
      <w:pPr>
        <w:pStyle w:val="NormalWeb"/>
        <w:rPr>
          <w:rFonts w:asciiTheme="minorHAnsi" w:hAnsiTheme="minorHAnsi"/>
          <w:sz w:val="24"/>
          <w:szCs w:val="24"/>
        </w:rPr>
      </w:pPr>
      <w:r w:rsidRPr="00075314">
        <w:rPr>
          <w:rFonts w:asciiTheme="minorHAnsi" w:hAnsiTheme="minorHAnsi"/>
          <w:sz w:val="24"/>
          <w:szCs w:val="24"/>
        </w:rPr>
        <w:t xml:space="preserve">Cats with PHA may have evidence of renal disease, including isosthenuria and increases in serum creatinine and BUN concentrations. Hyperaldosteronism may lead to hyaline arteriolar sclerosis, glomerular sclerosis, tubular atrophy, and interstitial fibrosis, thus causing or worsening chronic kidney disease. </w:t>
      </w:r>
    </w:p>
    <w:p w14:paraId="7805DD61" w14:textId="77777777" w:rsidR="003F77DC" w:rsidRPr="00075314" w:rsidRDefault="003F77DC" w:rsidP="003F77DC">
      <w:pPr>
        <w:pStyle w:val="NormalWeb"/>
        <w:rPr>
          <w:rFonts w:asciiTheme="minorHAnsi" w:hAnsiTheme="minorHAnsi"/>
          <w:sz w:val="24"/>
          <w:szCs w:val="24"/>
        </w:rPr>
      </w:pPr>
      <w:r w:rsidRPr="00075314">
        <w:rPr>
          <w:rFonts w:asciiTheme="minorHAnsi" w:hAnsiTheme="minorHAnsi"/>
          <w:sz w:val="24"/>
          <w:szCs w:val="24"/>
        </w:rPr>
        <w:t xml:space="preserve">In cases of adrenal tumors, plasma renin activity is typically low or absent because of negative feedback inhibition from excessive aldosterone. </w:t>
      </w:r>
    </w:p>
    <w:p w14:paraId="180A4F6B" w14:textId="77777777" w:rsidR="003F77DC" w:rsidRPr="00075314" w:rsidRDefault="003F77DC" w:rsidP="003F77DC">
      <w:pPr>
        <w:pStyle w:val="NormalWeb"/>
        <w:rPr>
          <w:rFonts w:asciiTheme="minorHAnsi" w:hAnsiTheme="minorHAnsi"/>
          <w:sz w:val="24"/>
          <w:szCs w:val="24"/>
        </w:rPr>
      </w:pPr>
      <w:r w:rsidRPr="00075314">
        <w:rPr>
          <w:rFonts w:asciiTheme="minorHAnsi" w:hAnsiTheme="minorHAnsi"/>
          <w:sz w:val="24"/>
          <w:szCs w:val="24"/>
        </w:rPr>
        <w:t xml:space="preserve">In some cases, renin escapes from suppression because excessive aldosterone results in continued activation of RAAS, progression of renal disease caused by hypertension, and additional damage from excess angiotensin II. </w:t>
      </w:r>
    </w:p>
    <w:p w14:paraId="711A24CC" w14:textId="77777777" w:rsidR="003F77DC" w:rsidRPr="00075314" w:rsidRDefault="003F77DC" w:rsidP="003F77DC">
      <w:pPr>
        <w:pStyle w:val="NormalWeb"/>
        <w:rPr>
          <w:rFonts w:asciiTheme="minorHAnsi" w:hAnsiTheme="minorHAnsi"/>
          <w:sz w:val="24"/>
          <w:szCs w:val="24"/>
        </w:rPr>
      </w:pPr>
      <w:r w:rsidRPr="00075314">
        <w:rPr>
          <w:rFonts w:asciiTheme="minorHAnsi" w:hAnsiTheme="minorHAnsi"/>
          <w:sz w:val="24"/>
          <w:szCs w:val="24"/>
        </w:rPr>
        <w:t xml:space="preserve">The proteinuria of hyperaldosteronism is of greater magnitude than that seen with primary hypertension. </w:t>
      </w:r>
    </w:p>
    <w:p w14:paraId="26501D8D" w14:textId="5AA39D67" w:rsidR="009445F3" w:rsidRPr="00075314" w:rsidRDefault="009445F3" w:rsidP="009445F3">
      <w:pPr>
        <w:pStyle w:val="NormalWeb"/>
        <w:rPr>
          <w:rFonts w:asciiTheme="minorHAnsi" w:hAnsiTheme="minorHAnsi"/>
          <w:sz w:val="24"/>
          <w:szCs w:val="24"/>
        </w:rPr>
      </w:pPr>
      <w:r w:rsidRPr="00075314">
        <w:rPr>
          <w:rFonts w:asciiTheme="minorHAnsi" w:hAnsiTheme="minorHAnsi"/>
          <w:sz w:val="24"/>
          <w:szCs w:val="24"/>
        </w:rPr>
        <w:t xml:space="preserve">Hyperaldosteronism is also implicated in metabolic syndrome, which is characterized by insulin resistance, impaired beta-cell function, excessive proinflammatory proteins, and a prothrombotic tendency </w:t>
      </w:r>
    </w:p>
    <w:p w14:paraId="5A76D768" w14:textId="5CCB671A" w:rsidR="0011296F" w:rsidRPr="00075314" w:rsidRDefault="0011296F" w:rsidP="0011296F">
      <w:pPr>
        <w:pStyle w:val="NormalWeb"/>
        <w:rPr>
          <w:rFonts w:asciiTheme="minorHAnsi" w:hAnsiTheme="minorHAnsi"/>
          <w:sz w:val="24"/>
          <w:szCs w:val="24"/>
        </w:rPr>
      </w:pPr>
      <w:r w:rsidRPr="00075314">
        <w:rPr>
          <w:rFonts w:asciiTheme="minorHAnsi" w:hAnsiTheme="minorHAnsi"/>
          <w:sz w:val="24"/>
          <w:szCs w:val="24"/>
        </w:rPr>
        <w:t xml:space="preserve">In humans, six different subtypes of PHA have been identified. Patients most commonly experience either bilateral idiopathic hyperaldosteronism or an aldosterone-producing adenoma. </w:t>
      </w:r>
    </w:p>
    <w:p w14:paraId="5193CB8D" w14:textId="2281333E" w:rsidR="0011296F" w:rsidRPr="00075314" w:rsidRDefault="0011296F" w:rsidP="0011296F">
      <w:pPr>
        <w:pStyle w:val="NormalWeb"/>
        <w:rPr>
          <w:rFonts w:asciiTheme="minorHAnsi" w:hAnsiTheme="minorHAnsi"/>
          <w:sz w:val="24"/>
          <w:szCs w:val="24"/>
        </w:rPr>
      </w:pPr>
      <w:r w:rsidRPr="00075314">
        <w:rPr>
          <w:rFonts w:asciiTheme="minorHAnsi" w:hAnsiTheme="minorHAnsi"/>
          <w:sz w:val="24"/>
          <w:szCs w:val="24"/>
        </w:rPr>
        <w:t xml:space="preserve">In cats with PHA, most cases are attributed to either adrenal adenomas or carcinomas. </w:t>
      </w:r>
    </w:p>
    <w:p w14:paraId="0D1E2B3C" w14:textId="77777777" w:rsidR="009415B2" w:rsidRPr="00075314" w:rsidRDefault="009415B2" w:rsidP="009415B2">
      <w:pPr>
        <w:pStyle w:val="NormalWeb"/>
        <w:rPr>
          <w:rFonts w:asciiTheme="minorHAnsi" w:hAnsiTheme="minorHAnsi"/>
          <w:sz w:val="24"/>
          <w:szCs w:val="24"/>
        </w:rPr>
      </w:pPr>
      <w:r w:rsidRPr="00075314">
        <w:rPr>
          <w:rFonts w:asciiTheme="minorHAnsi" w:hAnsiTheme="minorHAnsi"/>
          <w:sz w:val="24"/>
          <w:szCs w:val="24"/>
        </w:rPr>
        <w:t xml:space="preserve">Feline PHA has also been diagnosed as part of other conditions. </w:t>
      </w:r>
    </w:p>
    <w:p w14:paraId="3152D073" w14:textId="596D621B" w:rsidR="002E73A1" w:rsidRPr="00075314" w:rsidRDefault="009415B2" w:rsidP="002F7D1C">
      <w:pPr>
        <w:pStyle w:val="NormalWeb"/>
        <w:rPr>
          <w:rFonts w:asciiTheme="minorHAnsi" w:hAnsiTheme="minorHAnsi"/>
          <w:b/>
          <w:sz w:val="24"/>
          <w:szCs w:val="24"/>
        </w:rPr>
      </w:pPr>
      <w:r w:rsidRPr="00075314">
        <w:rPr>
          <w:rFonts w:asciiTheme="minorHAnsi" w:hAnsiTheme="minorHAnsi"/>
          <w:b/>
          <w:sz w:val="24"/>
          <w:szCs w:val="24"/>
        </w:rPr>
        <w:t>DIAGNOSIS:</w:t>
      </w:r>
    </w:p>
    <w:p w14:paraId="09E338B8" w14:textId="18A112EA" w:rsidR="00AA0327" w:rsidRPr="00075314" w:rsidRDefault="00AA0327" w:rsidP="00AA0327">
      <w:pPr>
        <w:pStyle w:val="NormalWeb"/>
        <w:rPr>
          <w:rFonts w:asciiTheme="minorHAnsi" w:hAnsiTheme="minorHAnsi"/>
          <w:sz w:val="24"/>
          <w:szCs w:val="24"/>
        </w:rPr>
      </w:pPr>
      <w:r w:rsidRPr="00075314">
        <w:rPr>
          <w:rFonts w:asciiTheme="minorHAnsi" w:hAnsiTheme="minorHAnsi"/>
          <w:sz w:val="24"/>
          <w:szCs w:val="24"/>
        </w:rPr>
        <w:t>When first described in humans</w:t>
      </w:r>
      <w:r w:rsidR="00210D0B" w:rsidRPr="00075314">
        <w:rPr>
          <w:rFonts w:asciiTheme="minorHAnsi" w:hAnsiTheme="minorHAnsi"/>
          <w:sz w:val="24"/>
          <w:szCs w:val="24"/>
        </w:rPr>
        <w:t>,</w:t>
      </w:r>
      <w:r w:rsidRPr="00075314">
        <w:rPr>
          <w:rFonts w:asciiTheme="minorHAnsi" w:hAnsiTheme="minorHAnsi"/>
          <w:sz w:val="24"/>
          <w:szCs w:val="24"/>
        </w:rPr>
        <w:t xml:space="preserve"> primary hyperaldosteronism in 1955, discussed three hallmarks: hypertension, hypokalemia, and increas</w:t>
      </w:r>
      <w:r w:rsidR="00210D0B" w:rsidRPr="00075314">
        <w:rPr>
          <w:rFonts w:asciiTheme="minorHAnsi" w:hAnsiTheme="minorHAnsi"/>
          <w:sz w:val="24"/>
          <w:szCs w:val="24"/>
        </w:rPr>
        <w:t>ed serum aldosterone concentra</w:t>
      </w:r>
      <w:r w:rsidRPr="00075314">
        <w:rPr>
          <w:rFonts w:asciiTheme="minorHAnsi" w:hAnsiTheme="minorHAnsi"/>
          <w:sz w:val="24"/>
          <w:szCs w:val="24"/>
        </w:rPr>
        <w:t xml:space="preserve">tion. In contrast, in secondary hyperaldosteronism, the increase in aldosterone concentration results from a primary increase in renin. Secondary hyperaldosteronism is most often associated with renal disease, cardiovascular disease, and liver failure </w:t>
      </w:r>
    </w:p>
    <w:p w14:paraId="772788B1" w14:textId="77777777" w:rsidR="00210D0B" w:rsidRPr="00075314" w:rsidRDefault="00210D0B" w:rsidP="00210D0B">
      <w:pPr>
        <w:pStyle w:val="NormalWeb"/>
        <w:rPr>
          <w:rFonts w:asciiTheme="minorHAnsi" w:hAnsiTheme="minorHAnsi"/>
          <w:sz w:val="24"/>
          <w:szCs w:val="24"/>
        </w:rPr>
      </w:pPr>
      <w:r w:rsidRPr="00075314">
        <w:rPr>
          <w:rFonts w:asciiTheme="minorHAnsi" w:hAnsiTheme="minorHAnsi"/>
          <w:sz w:val="24"/>
          <w:szCs w:val="24"/>
        </w:rPr>
        <w:t xml:space="preserve">In veterinary patients, hyperaldosteronism is usually suspected in cats with hypoka- lemia and hypertension (often refractory) for which another cause cannot be identified. Hypokalemia can result from various disorders, including renal failure, hepatic </w:t>
      </w:r>
    </w:p>
    <w:p w14:paraId="7F099416" w14:textId="17AF6450" w:rsidR="00D6718A" w:rsidRPr="00075314" w:rsidRDefault="00D6718A" w:rsidP="00D6718A">
      <w:pPr>
        <w:pStyle w:val="NormalWeb"/>
        <w:rPr>
          <w:rFonts w:asciiTheme="minorHAnsi" w:hAnsiTheme="minorHAnsi"/>
          <w:sz w:val="24"/>
          <w:szCs w:val="24"/>
        </w:rPr>
      </w:pPr>
      <w:r w:rsidRPr="00075314">
        <w:rPr>
          <w:rFonts w:asciiTheme="minorHAnsi" w:hAnsiTheme="minorHAnsi"/>
          <w:sz w:val="24"/>
          <w:szCs w:val="24"/>
        </w:rPr>
        <w:t xml:space="preserve">A thorough history, physical examination, and minimum database consisting of a complete blood cell count, chemistry profile, and urinalysis will rule out most causes of hypokalemia. Similarly, systemic hypertension can have various causes in the cat, with renal disease and hyperthyroidism among the most common. </w:t>
      </w:r>
    </w:p>
    <w:p w14:paraId="72121E58" w14:textId="77777777" w:rsidR="00D6718A" w:rsidRPr="00075314" w:rsidRDefault="00D6718A" w:rsidP="00D6718A">
      <w:pPr>
        <w:pStyle w:val="NormalWeb"/>
        <w:rPr>
          <w:rFonts w:asciiTheme="minorHAnsi" w:hAnsiTheme="minorHAnsi"/>
          <w:i/>
          <w:color w:val="FF0000"/>
          <w:sz w:val="24"/>
          <w:szCs w:val="24"/>
        </w:rPr>
      </w:pPr>
      <w:r w:rsidRPr="00075314">
        <w:rPr>
          <w:rFonts w:asciiTheme="minorHAnsi" w:hAnsiTheme="minorHAnsi"/>
          <w:i/>
          <w:color w:val="FF0000"/>
          <w:sz w:val="24"/>
          <w:szCs w:val="24"/>
        </w:rPr>
        <w:t xml:space="preserve">Increased aldosterone concentration is the diagnostic hallmark of PHA, both in cats and humans. </w:t>
      </w:r>
    </w:p>
    <w:p w14:paraId="5876AC2D" w14:textId="77777777" w:rsidR="00B4101A" w:rsidRPr="00780E15" w:rsidRDefault="00653A7C" w:rsidP="00B4101A">
      <w:pPr>
        <w:pStyle w:val="NormalWeb"/>
        <w:rPr>
          <w:rFonts w:asciiTheme="minorHAnsi" w:hAnsiTheme="minorHAnsi"/>
          <w:sz w:val="24"/>
          <w:szCs w:val="24"/>
        </w:rPr>
      </w:pPr>
      <w:r w:rsidRPr="00780E15">
        <w:rPr>
          <w:rFonts w:asciiTheme="minorHAnsi" w:hAnsiTheme="minorHAnsi"/>
          <w:sz w:val="24"/>
          <w:szCs w:val="24"/>
        </w:rPr>
        <w:t xml:space="preserve">Patient aldosterone concentrations are interpreted in combination with serum potassium concentrations. Because potassium is a major stimulus for aldosterone secretion, hypokalemia is a potent suppressor of aldosterone secretion in the normal animal. </w:t>
      </w:r>
      <w:r w:rsidR="00B4101A" w:rsidRPr="00780E15">
        <w:rPr>
          <w:rFonts w:asciiTheme="minorHAnsi" w:hAnsiTheme="minorHAnsi"/>
          <w:sz w:val="24"/>
          <w:szCs w:val="24"/>
        </w:rPr>
        <w:t xml:space="preserve">Therefore, if an aldosterone concentration is in the high-normal range, but the potassium concentration is low, PHA should still be considered. </w:t>
      </w:r>
    </w:p>
    <w:p w14:paraId="67817AA8" w14:textId="019132AD" w:rsidR="00780E15" w:rsidRPr="00780E15" w:rsidRDefault="00780E15" w:rsidP="00780E15">
      <w:pPr>
        <w:pStyle w:val="NormalWeb"/>
        <w:rPr>
          <w:rFonts w:asciiTheme="minorHAnsi" w:hAnsiTheme="minorHAnsi"/>
          <w:sz w:val="24"/>
          <w:szCs w:val="24"/>
        </w:rPr>
      </w:pPr>
      <w:r w:rsidRPr="00780E15">
        <w:rPr>
          <w:rFonts w:asciiTheme="minorHAnsi" w:hAnsiTheme="minorHAnsi"/>
          <w:sz w:val="24"/>
          <w:szCs w:val="24"/>
        </w:rPr>
        <w:t xml:space="preserve">Recently, a reference range for the urinary aldosterone:creatinine ratio (UACR) was established for cats. The UACR offers advantages over plasma aldosterone concentrations in that it provides an indication of circulating aldosterone concentrations over time (the time over which the urine is made) without requiring frequent blood sampling or protracted urine collections. </w:t>
      </w:r>
    </w:p>
    <w:p w14:paraId="4B9873E0" w14:textId="77777777" w:rsidR="00780E15" w:rsidRPr="00780E15" w:rsidRDefault="00780E15" w:rsidP="00780E15">
      <w:pPr>
        <w:pStyle w:val="NormalWeb"/>
        <w:rPr>
          <w:rFonts w:asciiTheme="minorHAnsi" w:hAnsiTheme="minorHAnsi"/>
          <w:sz w:val="24"/>
          <w:szCs w:val="24"/>
        </w:rPr>
      </w:pPr>
      <w:r w:rsidRPr="00780E15">
        <w:rPr>
          <w:rFonts w:asciiTheme="minorHAnsi" w:hAnsiTheme="minorHAnsi"/>
          <w:sz w:val="24"/>
          <w:szCs w:val="24"/>
        </w:rPr>
        <w:t xml:space="preserve">The efficacy of the UACR in cats with spontaneously occurring PHA requires further examination. </w:t>
      </w:r>
    </w:p>
    <w:p w14:paraId="1FBB055F" w14:textId="77777777" w:rsidR="00EE1E7A" w:rsidRDefault="00780E15" w:rsidP="00EE1E7A">
      <w:pPr>
        <w:pStyle w:val="NormalWeb"/>
        <w:rPr>
          <w:rFonts w:asciiTheme="minorHAnsi" w:hAnsiTheme="minorHAnsi"/>
          <w:sz w:val="24"/>
          <w:szCs w:val="24"/>
        </w:rPr>
      </w:pPr>
      <w:r w:rsidRPr="00780E15">
        <w:rPr>
          <w:rFonts w:asciiTheme="minorHAnsi" w:hAnsiTheme="minorHAnsi"/>
          <w:sz w:val="24"/>
          <w:szCs w:val="24"/>
        </w:rPr>
        <w:t xml:space="preserve">In cats with hyperaldosteronemia and hypertension, plasma renin activity should be measured to differentiate primary from secondary hyperaldosteronism. </w:t>
      </w:r>
    </w:p>
    <w:p w14:paraId="270902BE" w14:textId="042117C2" w:rsidR="00EE1E7A" w:rsidRPr="00C63577" w:rsidRDefault="00EE1E7A" w:rsidP="00EE1E7A">
      <w:pPr>
        <w:pStyle w:val="NormalWeb"/>
        <w:rPr>
          <w:rFonts w:asciiTheme="minorHAnsi" w:hAnsiTheme="minorHAnsi"/>
          <w:sz w:val="24"/>
          <w:szCs w:val="24"/>
        </w:rPr>
      </w:pPr>
      <w:r w:rsidRPr="00C63577">
        <w:rPr>
          <w:rFonts w:asciiTheme="minorHAnsi" w:hAnsiTheme="minorHAnsi"/>
          <w:sz w:val="24"/>
          <w:szCs w:val="24"/>
        </w:rPr>
        <w:t>In primary hyperaldosteronism, plasma renin activity is minimal, r</w:t>
      </w:r>
      <w:r w:rsidR="00C63577">
        <w:rPr>
          <w:rFonts w:asciiTheme="minorHAnsi" w:hAnsiTheme="minorHAnsi"/>
          <w:sz w:val="24"/>
          <w:szCs w:val="24"/>
        </w:rPr>
        <w:t>eflecting the autonomous secre</w:t>
      </w:r>
      <w:r w:rsidRPr="00C63577">
        <w:rPr>
          <w:rFonts w:asciiTheme="minorHAnsi" w:hAnsiTheme="minorHAnsi"/>
          <w:sz w:val="24"/>
          <w:szCs w:val="24"/>
        </w:rPr>
        <w:t xml:space="preserve">tion of aldosterone by the adrenal glands </w:t>
      </w:r>
    </w:p>
    <w:p w14:paraId="63ACCD91" w14:textId="77777777" w:rsidR="00C63577" w:rsidRPr="00C63577" w:rsidRDefault="00C63577" w:rsidP="00C63577">
      <w:pPr>
        <w:pStyle w:val="NormalWeb"/>
        <w:rPr>
          <w:rFonts w:asciiTheme="minorHAnsi" w:hAnsiTheme="minorHAnsi"/>
          <w:sz w:val="24"/>
          <w:szCs w:val="24"/>
        </w:rPr>
      </w:pPr>
      <w:r w:rsidRPr="00C63577">
        <w:rPr>
          <w:rFonts w:asciiTheme="minorHAnsi" w:hAnsiTheme="minorHAnsi"/>
          <w:sz w:val="24"/>
          <w:szCs w:val="24"/>
        </w:rPr>
        <w:t xml:space="preserve">In humans, the aldosterone:renin ratio (ARR) is used as the primary screening test for PHA. In both humans and cats, cases of PHA have been reported with normal plasma renin activity, complicating definitive diagnosis. </w:t>
      </w:r>
    </w:p>
    <w:p w14:paraId="25F9E342" w14:textId="77777777" w:rsidR="00C63577" w:rsidRPr="00C63577" w:rsidRDefault="00C63577" w:rsidP="00C63577">
      <w:pPr>
        <w:pStyle w:val="NormalWeb"/>
        <w:rPr>
          <w:rFonts w:asciiTheme="minorHAnsi" w:hAnsiTheme="minorHAnsi"/>
          <w:sz w:val="24"/>
          <w:szCs w:val="24"/>
        </w:rPr>
      </w:pPr>
      <w:r w:rsidRPr="00C63577">
        <w:rPr>
          <w:rFonts w:asciiTheme="minorHAnsi" w:hAnsiTheme="minorHAnsi"/>
          <w:sz w:val="24"/>
          <w:szCs w:val="24"/>
        </w:rPr>
        <w:t xml:space="preserve">Imaging of the adrenal glands is frequently performed in veterinary patients with PHA. Ultrasound findings in cats include adrenal mass, adrenal calcification, and changes in echogenicity. </w:t>
      </w:r>
    </w:p>
    <w:p w14:paraId="5D170201" w14:textId="77777777" w:rsidR="00C63577" w:rsidRPr="00C63577" w:rsidRDefault="00C63577" w:rsidP="00C63577">
      <w:pPr>
        <w:pStyle w:val="NormalWeb"/>
        <w:rPr>
          <w:rFonts w:asciiTheme="minorHAnsi" w:hAnsiTheme="minorHAnsi"/>
          <w:sz w:val="24"/>
          <w:szCs w:val="24"/>
        </w:rPr>
      </w:pPr>
      <w:r w:rsidRPr="00C63577">
        <w:rPr>
          <w:rFonts w:asciiTheme="minorHAnsi" w:hAnsiTheme="minorHAnsi"/>
          <w:sz w:val="24"/>
          <w:szCs w:val="24"/>
        </w:rPr>
        <w:t xml:space="preserve">CT and MRI have also been used to improve imaging of the adrenal glands in cats. </w:t>
      </w:r>
    </w:p>
    <w:p w14:paraId="538BC2F8" w14:textId="77777777" w:rsidR="00C63577" w:rsidRPr="00C63577" w:rsidRDefault="00C63577" w:rsidP="00C63577">
      <w:pPr>
        <w:pStyle w:val="NormalWeb"/>
        <w:rPr>
          <w:rFonts w:asciiTheme="minorHAnsi" w:hAnsiTheme="minorHAnsi"/>
          <w:sz w:val="24"/>
          <w:szCs w:val="24"/>
        </w:rPr>
      </w:pPr>
      <w:r w:rsidRPr="00C63577">
        <w:rPr>
          <w:rFonts w:asciiTheme="minorHAnsi" w:hAnsiTheme="minorHAnsi"/>
          <w:sz w:val="24"/>
          <w:szCs w:val="24"/>
        </w:rPr>
        <w:t xml:space="preserve">Oral sodium loading was found to be not successful in cats (it did not increase the amount of sodium in the urine in more than half of the cats), nor did oral sodium loading decrease aldosterone secretion. Fludrocortisone administration suppressed urinary aldosterone secretion in three normal cats but not in one cat with confirmed PHA, and therefore may be a useful tool </w:t>
      </w:r>
    </w:p>
    <w:p w14:paraId="578E0686" w14:textId="581C56AE" w:rsidR="00C63577" w:rsidRPr="009A3ED1" w:rsidRDefault="00C63577" w:rsidP="00C63577">
      <w:pPr>
        <w:pStyle w:val="NormalWeb"/>
        <w:rPr>
          <w:rFonts w:asciiTheme="minorHAnsi" w:hAnsiTheme="minorHAnsi"/>
          <w:sz w:val="24"/>
          <w:szCs w:val="24"/>
        </w:rPr>
      </w:pPr>
      <w:r w:rsidRPr="00C63577">
        <w:rPr>
          <w:rFonts w:asciiTheme="minorHAnsi" w:hAnsiTheme="minorHAnsi"/>
          <w:sz w:val="24"/>
          <w:szCs w:val="24"/>
        </w:rPr>
        <w:t>Adrenal vein sampling is considered the gold standard for documenting lateralization of aldosterone secretion, and thus deciding whether surgery should be considered (</w:t>
      </w:r>
      <w:r w:rsidRPr="009A3ED1">
        <w:rPr>
          <w:rFonts w:asciiTheme="minorHAnsi" w:hAnsiTheme="minorHAnsi"/>
          <w:sz w:val="24"/>
          <w:szCs w:val="24"/>
        </w:rPr>
        <w:t>humans)</w:t>
      </w:r>
    </w:p>
    <w:p w14:paraId="7DE665AC" w14:textId="039094D6" w:rsidR="00D6718A" w:rsidRPr="00B36F7C" w:rsidRDefault="00C10C21" w:rsidP="00210D0B">
      <w:pPr>
        <w:pStyle w:val="NormalWeb"/>
        <w:rPr>
          <w:rFonts w:asciiTheme="minorHAnsi" w:hAnsiTheme="minorHAnsi"/>
          <w:b/>
          <w:sz w:val="24"/>
          <w:szCs w:val="24"/>
        </w:rPr>
      </w:pPr>
      <w:r w:rsidRPr="00B36F7C">
        <w:rPr>
          <w:rFonts w:asciiTheme="minorHAnsi" w:hAnsiTheme="minorHAnsi"/>
          <w:b/>
          <w:sz w:val="24"/>
          <w:szCs w:val="24"/>
        </w:rPr>
        <w:t>TREATMENT AND PROGNOSIS:</w:t>
      </w:r>
    </w:p>
    <w:p w14:paraId="5F98BE7D" w14:textId="2D98FF68" w:rsidR="00267956" w:rsidRPr="009A3ED1" w:rsidRDefault="00267956" w:rsidP="00267956">
      <w:pPr>
        <w:pStyle w:val="NormalWeb"/>
        <w:rPr>
          <w:rFonts w:asciiTheme="minorHAnsi" w:hAnsiTheme="minorHAnsi"/>
          <w:sz w:val="24"/>
          <w:szCs w:val="24"/>
        </w:rPr>
      </w:pPr>
      <w:r w:rsidRPr="009A3ED1">
        <w:rPr>
          <w:rFonts w:asciiTheme="minorHAnsi" w:hAnsiTheme="minorHAnsi"/>
          <w:sz w:val="24"/>
          <w:szCs w:val="24"/>
        </w:rPr>
        <w:t>For cats with unilateral disease, surgical removal of the affected adrenal gland remains preferred treatment. Surgery seems to be curative for both aden</w:t>
      </w:r>
      <w:r w:rsidRPr="009A3ED1">
        <w:rPr>
          <w:rFonts w:asciiTheme="minorHAnsi" w:hAnsiTheme="minorHAnsi"/>
          <w:sz w:val="24"/>
          <w:szCs w:val="24"/>
        </w:rPr>
        <w:t>omas and carci</w:t>
      </w:r>
      <w:r w:rsidRPr="009A3ED1">
        <w:rPr>
          <w:rFonts w:asciiTheme="minorHAnsi" w:hAnsiTheme="minorHAnsi"/>
          <w:sz w:val="24"/>
          <w:szCs w:val="24"/>
        </w:rPr>
        <w:t>nomas, with signs of hypokalemia and hypertension r</w:t>
      </w:r>
      <w:r w:rsidRPr="009A3ED1">
        <w:rPr>
          <w:rFonts w:asciiTheme="minorHAnsi" w:hAnsiTheme="minorHAnsi"/>
          <w:sz w:val="24"/>
          <w:szCs w:val="24"/>
        </w:rPr>
        <w:t>esolving without further treat</w:t>
      </w:r>
      <w:r w:rsidRPr="009A3ED1">
        <w:rPr>
          <w:rFonts w:asciiTheme="minorHAnsi" w:hAnsiTheme="minorHAnsi"/>
          <w:sz w:val="24"/>
          <w:szCs w:val="24"/>
        </w:rPr>
        <w:t xml:space="preserve">ment </w:t>
      </w:r>
    </w:p>
    <w:p w14:paraId="48A980CD" w14:textId="2028F004" w:rsidR="00267956" w:rsidRPr="009A3ED1" w:rsidRDefault="00267956" w:rsidP="00267956">
      <w:pPr>
        <w:pStyle w:val="NormalWeb"/>
        <w:rPr>
          <w:rFonts w:asciiTheme="minorHAnsi" w:hAnsiTheme="minorHAnsi"/>
          <w:sz w:val="24"/>
          <w:szCs w:val="24"/>
        </w:rPr>
      </w:pPr>
      <w:r w:rsidRPr="009A3ED1">
        <w:rPr>
          <w:rFonts w:asciiTheme="minorHAnsi" w:hAnsiTheme="minorHAnsi"/>
          <w:sz w:val="24"/>
          <w:szCs w:val="24"/>
        </w:rPr>
        <w:t>Cats with carcinomas seem to</w:t>
      </w:r>
      <w:r w:rsidRPr="009A3ED1">
        <w:rPr>
          <w:rFonts w:asciiTheme="minorHAnsi" w:hAnsiTheme="minorHAnsi"/>
          <w:sz w:val="24"/>
          <w:szCs w:val="24"/>
        </w:rPr>
        <w:t xml:space="preserve"> have a similarly good postsur</w:t>
      </w:r>
      <w:r w:rsidRPr="009A3ED1">
        <w:rPr>
          <w:rFonts w:asciiTheme="minorHAnsi" w:hAnsiTheme="minorHAnsi"/>
          <w:sz w:val="24"/>
          <w:szCs w:val="24"/>
        </w:rPr>
        <w:t xml:space="preserve">gical prognosis, as do those with adenomas </w:t>
      </w:r>
    </w:p>
    <w:p w14:paraId="2BC4CC37" w14:textId="77777777" w:rsidR="00267956" w:rsidRPr="009A3ED1" w:rsidRDefault="00267956" w:rsidP="00267956">
      <w:pPr>
        <w:pStyle w:val="NormalWeb"/>
        <w:rPr>
          <w:rFonts w:asciiTheme="minorHAnsi" w:hAnsiTheme="minorHAnsi"/>
          <w:sz w:val="24"/>
          <w:szCs w:val="24"/>
        </w:rPr>
      </w:pPr>
      <w:r w:rsidRPr="009A3ED1">
        <w:rPr>
          <w:rFonts w:asciiTheme="minorHAnsi" w:hAnsiTheme="minorHAnsi"/>
          <w:sz w:val="24"/>
          <w:szCs w:val="24"/>
        </w:rPr>
        <w:t xml:space="preserve">Cats may also do well with medical management, which consists of spironolactone therapy, potassium supplementation, and antihypertensive drugs as needed. </w:t>
      </w:r>
    </w:p>
    <w:p w14:paraId="20081C0C" w14:textId="22096C3B" w:rsidR="009A3ED1" w:rsidRDefault="009A3ED1" w:rsidP="009A3ED1">
      <w:pPr>
        <w:pStyle w:val="NormalWeb"/>
        <w:rPr>
          <w:rFonts w:asciiTheme="minorHAnsi" w:hAnsiTheme="minorHAnsi"/>
          <w:sz w:val="24"/>
          <w:szCs w:val="24"/>
        </w:rPr>
      </w:pPr>
      <w:r w:rsidRPr="009A3ED1">
        <w:rPr>
          <w:rFonts w:asciiTheme="minorHAnsi" w:hAnsiTheme="minorHAnsi"/>
          <w:sz w:val="24"/>
          <w:szCs w:val="24"/>
        </w:rPr>
        <w:t>Spirono</w:t>
      </w:r>
      <w:r w:rsidRPr="009A3ED1">
        <w:rPr>
          <w:rFonts w:asciiTheme="minorHAnsi" w:hAnsiTheme="minorHAnsi"/>
          <w:sz w:val="24"/>
          <w:szCs w:val="24"/>
        </w:rPr>
        <w:t xml:space="preserve">lactone is an aldosterone antagonist that binds to the aldosterone receptors </w:t>
      </w:r>
      <w:r w:rsidRPr="00F10F53">
        <w:rPr>
          <w:rFonts w:asciiTheme="minorHAnsi" w:hAnsiTheme="minorHAnsi"/>
          <w:sz w:val="24"/>
          <w:szCs w:val="24"/>
        </w:rPr>
        <w:t xml:space="preserve">in the distal convoluted tubules. </w:t>
      </w:r>
    </w:p>
    <w:p w14:paraId="0A3E8315" w14:textId="3B2D93A5" w:rsidR="00FE5F9E" w:rsidRPr="00FE5F9E" w:rsidRDefault="00FE5F9E" w:rsidP="00FE5F9E">
      <w:pPr>
        <w:pStyle w:val="NormalWeb"/>
        <w:rPr>
          <w:rFonts w:asciiTheme="minorHAnsi" w:hAnsiTheme="minorHAnsi"/>
          <w:sz w:val="24"/>
          <w:szCs w:val="24"/>
        </w:rPr>
      </w:pPr>
      <w:r>
        <w:rPr>
          <w:rFonts w:asciiTheme="minorHAnsi" w:hAnsiTheme="minorHAnsi"/>
          <w:sz w:val="24"/>
          <w:szCs w:val="24"/>
        </w:rPr>
        <w:t>E</w:t>
      </w:r>
      <w:r w:rsidRPr="00FE5F9E">
        <w:rPr>
          <w:rFonts w:asciiTheme="minorHAnsi" w:hAnsiTheme="minorHAnsi"/>
          <w:sz w:val="24"/>
          <w:szCs w:val="24"/>
        </w:rPr>
        <w:t xml:space="preserve">plerenone </w:t>
      </w:r>
      <w:r>
        <w:rPr>
          <w:rFonts w:asciiTheme="minorHAnsi" w:hAnsiTheme="minorHAnsi"/>
          <w:sz w:val="24"/>
          <w:szCs w:val="24"/>
        </w:rPr>
        <w:t xml:space="preserve"> is an andolsterone antagonist used in humans; further investigation is required in cats</w:t>
      </w:r>
      <w:bookmarkStart w:id="0" w:name="_GoBack"/>
      <w:bookmarkEnd w:id="0"/>
    </w:p>
    <w:p w14:paraId="52E418B1" w14:textId="77777777" w:rsidR="00FE5F9E" w:rsidRPr="00F10F53" w:rsidRDefault="00FE5F9E" w:rsidP="009A3ED1">
      <w:pPr>
        <w:pStyle w:val="NormalWeb"/>
        <w:rPr>
          <w:rFonts w:asciiTheme="minorHAnsi" w:hAnsiTheme="minorHAnsi"/>
          <w:sz w:val="24"/>
          <w:szCs w:val="24"/>
        </w:rPr>
      </w:pPr>
    </w:p>
    <w:p w14:paraId="6F0695B1" w14:textId="4CD0159A" w:rsidR="00F10F53" w:rsidRPr="00B36F7C" w:rsidRDefault="00B935AF" w:rsidP="00F10F53">
      <w:pPr>
        <w:pStyle w:val="NormalWeb"/>
        <w:rPr>
          <w:rFonts w:asciiTheme="minorHAnsi" w:hAnsiTheme="minorHAnsi"/>
          <w:b/>
          <w:sz w:val="24"/>
          <w:szCs w:val="24"/>
        </w:rPr>
      </w:pPr>
      <w:r>
        <w:rPr>
          <w:rFonts w:asciiTheme="minorHAnsi" w:hAnsiTheme="minorHAnsi"/>
          <w:b/>
          <w:sz w:val="24"/>
          <w:szCs w:val="24"/>
        </w:rPr>
        <w:t>KEY POINTS</w:t>
      </w:r>
    </w:p>
    <w:p w14:paraId="1328E19F" w14:textId="517D52C2" w:rsidR="00AA0327" w:rsidRPr="00076142" w:rsidRDefault="00F10F53" w:rsidP="002F7D1C">
      <w:pPr>
        <w:pStyle w:val="NormalWeb"/>
        <w:rPr>
          <w:rFonts w:asciiTheme="minorHAnsi" w:hAnsiTheme="minorHAnsi"/>
          <w:sz w:val="24"/>
          <w:szCs w:val="24"/>
        </w:rPr>
      </w:pPr>
      <w:r w:rsidRPr="00F10F53">
        <w:rPr>
          <w:rFonts w:asciiTheme="minorHAnsi" w:hAnsiTheme="minorHAnsi"/>
          <w:sz w:val="24"/>
          <w:szCs w:val="24"/>
        </w:rPr>
        <w:t>PHA is being recognized more frequently in cats. Usual hallmarks of the disease include hypokalemia and systemic hypertension. Ultrasound frequently detects an abnormality in the affected adrenal gland. Diagnosis is based on increased plasma or serum aldosterone concentrations, particularly in the face of hypokalemia and low renin activity (when measurement is available)</w:t>
      </w:r>
      <w:r w:rsidR="00B935AF">
        <w:rPr>
          <w:rFonts w:asciiTheme="minorHAnsi" w:hAnsiTheme="minorHAnsi"/>
          <w:sz w:val="24"/>
          <w:szCs w:val="24"/>
        </w:rPr>
        <w:t>. Cats with PHA have good prog</w:t>
      </w:r>
      <w:r w:rsidRPr="00F10F53">
        <w:rPr>
          <w:rFonts w:asciiTheme="minorHAnsi" w:hAnsiTheme="minorHAnsi"/>
          <w:sz w:val="24"/>
          <w:szCs w:val="24"/>
        </w:rPr>
        <w:t>noses with surgical excision of tumor-bearing adrenal glands. Medical management can stabilize patients for many months. If veterinarians choose to use humans as an experimental model, PHA should be considered a differential for cats with hypertension of unknown cause or that is refractory to treatment. Using hypokalemia as a definitive criterion in screening for PHA may result in late-stage diagnosi</w:t>
      </w:r>
      <w:r w:rsidR="00B935AF">
        <w:rPr>
          <w:rFonts w:asciiTheme="minorHAnsi" w:hAnsiTheme="minorHAnsi"/>
          <w:sz w:val="24"/>
          <w:szCs w:val="24"/>
        </w:rPr>
        <w:t>s and under</w:t>
      </w:r>
      <w:r w:rsidR="00795832">
        <w:rPr>
          <w:rFonts w:asciiTheme="minorHAnsi" w:hAnsiTheme="minorHAnsi"/>
          <w:sz w:val="24"/>
          <w:szCs w:val="24"/>
        </w:rPr>
        <w:t>-</w:t>
      </w:r>
      <w:r w:rsidR="00B935AF">
        <w:rPr>
          <w:rFonts w:asciiTheme="minorHAnsi" w:hAnsiTheme="minorHAnsi"/>
          <w:sz w:val="24"/>
          <w:szCs w:val="24"/>
        </w:rPr>
        <w:t>recognition of inci</w:t>
      </w:r>
      <w:r w:rsidRPr="00F10F53">
        <w:rPr>
          <w:rFonts w:asciiTheme="minorHAnsi" w:hAnsiTheme="minorHAnsi"/>
          <w:sz w:val="24"/>
          <w:szCs w:val="24"/>
        </w:rPr>
        <w:t xml:space="preserve">dence of PHA in the hypertensive population, and may also explain the discrepancy in the size of the adrenal glands in affected humans (often &lt;10–20 mm) and cats (enlarged enough to be detected by ultrasonography). Adrenal carcinoma seems to be a far more frequent cause of PHA in cats than in humans, but carries a far better prognosis in cats. </w:t>
      </w:r>
    </w:p>
    <w:p w14:paraId="6CBB7D17" w14:textId="7D61655F" w:rsidR="002F7D1C" w:rsidRPr="00076142" w:rsidRDefault="00B530FA">
      <w:pPr>
        <w:rPr>
          <w:b/>
        </w:rPr>
      </w:pPr>
      <w:r w:rsidRPr="00076142">
        <w:rPr>
          <w:b/>
        </w:rPr>
        <w:t>Questions:</w:t>
      </w:r>
    </w:p>
    <w:p w14:paraId="555372A1" w14:textId="77777777" w:rsidR="00B530FA" w:rsidRPr="00076142" w:rsidRDefault="00B530FA"/>
    <w:p w14:paraId="1C7AFA61" w14:textId="6A826847" w:rsidR="00B530FA" w:rsidRPr="00076142" w:rsidRDefault="00B530FA">
      <w:r w:rsidRPr="00076142">
        <w:t>1. List 2 main stimuli for aldosterone release</w:t>
      </w:r>
      <w:r w:rsidR="001D20D9" w:rsidRPr="00076142">
        <w:t>.</w:t>
      </w:r>
    </w:p>
    <w:p w14:paraId="34E4214C" w14:textId="4F2F8439" w:rsidR="00B530FA" w:rsidRPr="00076142" w:rsidRDefault="00B530FA" w:rsidP="00B530FA">
      <w:pPr>
        <w:pStyle w:val="ListParagraph"/>
        <w:numPr>
          <w:ilvl w:val="0"/>
          <w:numId w:val="6"/>
        </w:numPr>
      </w:pPr>
      <w:r w:rsidRPr="00076142">
        <w:t>Renin</w:t>
      </w:r>
    </w:p>
    <w:p w14:paraId="6794B6A3" w14:textId="6CF065F5" w:rsidR="00B530FA" w:rsidRPr="00076142" w:rsidRDefault="00B530FA" w:rsidP="00B530FA">
      <w:pPr>
        <w:pStyle w:val="ListParagraph"/>
        <w:numPr>
          <w:ilvl w:val="0"/>
          <w:numId w:val="6"/>
        </w:numPr>
      </w:pPr>
      <w:r w:rsidRPr="00076142">
        <w:t>Potassium (elevated levels stimulate release)</w:t>
      </w:r>
    </w:p>
    <w:p w14:paraId="0A5962E7" w14:textId="77777777" w:rsidR="00285B26" w:rsidRPr="00076142" w:rsidRDefault="00285B26" w:rsidP="00285B26"/>
    <w:p w14:paraId="43749BA2" w14:textId="715B2782" w:rsidR="00285B26" w:rsidRPr="00076142" w:rsidRDefault="00285B26" w:rsidP="00285B26">
      <w:r w:rsidRPr="00076142">
        <w:t>2. List at least 3 clinical or lab findings that occur commonly in patients with primary hyperaldosteronism</w:t>
      </w:r>
      <w:r w:rsidR="001D20D9" w:rsidRPr="00076142">
        <w:t>.</w:t>
      </w:r>
    </w:p>
    <w:p w14:paraId="27E75957" w14:textId="22FD0820" w:rsidR="001D20D9" w:rsidRPr="00076142" w:rsidRDefault="001D20D9" w:rsidP="001D20D9">
      <w:pPr>
        <w:pStyle w:val="ListParagraph"/>
        <w:numPr>
          <w:ilvl w:val="0"/>
          <w:numId w:val="7"/>
        </w:numPr>
      </w:pPr>
      <w:r w:rsidRPr="00076142">
        <w:t>Hypertension</w:t>
      </w:r>
    </w:p>
    <w:p w14:paraId="57FD1435" w14:textId="4DFDA6E3" w:rsidR="001D20D9" w:rsidRPr="00076142" w:rsidRDefault="001D20D9" w:rsidP="001D20D9">
      <w:pPr>
        <w:pStyle w:val="ListParagraph"/>
        <w:numPr>
          <w:ilvl w:val="0"/>
          <w:numId w:val="7"/>
        </w:numPr>
      </w:pPr>
      <w:r w:rsidRPr="00076142">
        <w:t>Hypokalemia</w:t>
      </w:r>
    </w:p>
    <w:p w14:paraId="602D896B" w14:textId="16F82437" w:rsidR="001D20D9" w:rsidRPr="00076142" w:rsidRDefault="001D20D9" w:rsidP="001D20D9">
      <w:pPr>
        <w:pStyle w:val="ListParagraph"/>
        <w:numPr>
          <w:ilvl w:val="0"/>
          <w:numId w:val="7"/>
        </w:numPr>
      </w:pPr>
      <w:r w:rsidRPr="00076142">
        <w:t>Metabolic alkalosis</w:t>
      </w:r>
    </w:p>
    <w:p w14:paraId="5988D6F8" w14:textId="4326C0EA" w:rsidR="002E73A1" w:rsidRPr="00076142" w:rsidRDefault="002E73A1" w:rsidP="001D20D9">
      <w:pPr>
        <w:pStyle w:val="ListParagraph"/>
        <w:numPr>
          <w:ilvl w:val="0"/>
          <w:numId w:val="7"/>
        </w:numPr>
      </w:pPr>
      <w:r w:rsidRPr="00076142">
        <w:t>Serum sodium may be normal to increased</w:t>
      </w:r>
      <w:r w:rsidR="00BF75AF" w:rsidRPr="00076142">
        <w:t xml:space="preserve"> (due to increased water resorption that occurs with elevated aldosterone)</w:t>
      </w:r>
    </w:p>
    <w:p w14:paraId="1121CC7F" w14:textId="494174CC" w:rsidR="00184767" w:rsidRPr="00076142" w:rsidRDefault="00184767" w:rsidP="001D20D9">
      <w:pPr>
        <w:pStyle w:val="ListParagraph"/>
        <w:numPr>
          <w:ilvl w:val="0"/>
          <w:numId w:val="7"/>
        </w:numPr>
      </w:pPr>
      <w:r w:rsidRPr="00076142">
        <w:t>High urinary fractional excretion of potassium</w:t>
      </w:r>
    </w:p>
    <w:p w14:paraId="58AEE985" w14:textId="0A1B9224" w:rsidR="00184767" w:rsidRPr="00407CEA" w:rsidRDefault="00184767" w:rsidP="001D20D9">
      <w:pPr>
        <w:pStyle w:val="ListParagraph"/>
        <w:numPr>
          <w:ilvl w:val="0"/>
          <w:numId w:val="7"/>
        </w:numPr>
      </w:pPr>
      <w:r w:rsidRPr="00076142">
        <w:t xml:space="preserve">May have </w:t>
      </w:r>
      <w:r w:rsidRPr="00407CEA">
        <w:t>high urinary fractional excretion of CK (due to hypokalemic polymyopathy)</w:t>
      </w:r>
    </w:p>
    <w:p w14:paraId="66BBE7EE" w14:textId="71AC3C7A" w:rsidR="003F77DC" w:rsidRPr="00407CEA" w:rsidRDefault="003F77DC" w:rsidP="001D20D9">
      <w:pPr>
        <w:pStyle w:val="ListParagraph"/>
        <w:numPr>
          <w:ilvl w:val="0"/>
          <w:numId w:val="7"/>
        </w:numPr>
      </w:pPr>
      <w:r w:rsidRPr="00407CEA">
        <w:t>Proteinuira (The proteinuria of hyperaldosteronism is of greater magnitude than that seen with primary hypertension)</w:t>
      </w:r>
    </w:p>
    <w:p w14:paraId="6B836DAA" w14:textId="77777777" w:rsidR="00285B26" w:rsidRPr="00407CEA" w:rsidRDefault="00285B26" w:rsidP="00285B26"/>
    <w:p w14:paraId="4D24E9B9" w14:textId="4FEBADB6" w:rsidR="0011296F" w:rsidRPr="00407CEA" w:rsidRDefault="0011296F" w:rsidP="0011296F">
      <w:pPr>
        <w:pStyle w:val="NormalWeb"/>
        <w:rPr>
          <w:rFonts w:asciiTheme="minorHAnsi" w:hAnsiTheme="minorHAnsi"/>
          <w:sz w:val="24"/>
          <w:szCs w:val="24"/>
        </w:rPr>
      </w:pPr>
      <w:r w:rsidRPr="00407CEA">
        <w:rPr>
          <w:rFonts w:asciiTheme="minorHAnsi" w:hAnsiTheme="minorHAnsi"/>
          <w:sz w:val="24"/>
          <w:szCs w:val="24"/>
        </w:rPr>
        <w:t>3.  In cats with PHA, most cases are attributed to either adrenal adenomas or carcinomas. T or F?</w:t>
      </w:r>
    </w:p>
    <w:p w14:paraId="2AF68F7E" w14:textId="1F741043" w:rsidR="0011296F" w:rsidRPr="00407CEA" w:rsidRDefault="0011296F" w:rsidP="0011296F">
      <w:pPr>
        <w:pStyle w:val="NormalWeb"/>
        <w:rPr>
          <w:rFonts w:asciiTheme="minorHAnsi" w:hAnsiTheme="minorHAnsi"/>
          <w:sz w:val="24"/>
          <w:szCs w:val="24"/>
        </w:rPr>
      </w:pPr>
      <w:r w:rsidRPr="00407CEA">
        <w:rPr>
          <w:rFonts w:asciiTheme="minorHAnsi" w:hAnsiTheme="minorHAnsi"/>
          <w:sz w:val="24"/>
          <w:szCs w:val="24"/>
        </w:rPr>
        <w:t xml:space="preserve">     </w:t>
      </w:r>
      <w:r w:rsidRPr="00407CEA">
        <w:rPr>
          <w:rFonts w:asciiTheme="minorHAnsi" w:hAnsiTheme="minorHAnsi"/>
          <w:b/>
          <w:sz w:val="24"/>
          <w:szCs w:val="24"/>
        </w:rPr>
        <w:t>Answer:</w:t>
      </w:r>
      <w:r w:rsidRPr="00407CEA">
        <w:rPr>
          <w:rFonts w:asciiTheme="minorHAnsi" w:hAnsiTheme="minorHAnsi"/>
          <w:sz w:val="24"/>
          <w:szCs w:val="24"/>
        </w:rPr>
        <w:t xml:space="preserve"> True</w:t>
      </w:r>
    </w:p>
    <w:p w14:paraId="14AFF8DB" w14:textId="7034CA4C" w:rsidR="00D6718A" w:rsidRPr="00407CEA" w:rsidRDefault="00D6718A" w:rsidP="00D6718A">
      <w:pPr>
        <w:pStyle w:val="NormalWeb"/>
        <w:rPr>
          <w:rFonts w:asciiTheme="minorHAnsi" w:hAnsiTheme="minorHAnsi"/>
          <w:sz w:val="24"/>
          <w:szCs w:val="24"/>
        </w:rPr>
      </w:pPr>
      <w:r w:rsidRPr="00407CEA">
        <w:rPr>
          <w:rFonts w:asciiTheme="minorHAnsi" w:hAnsiTheme="minorHAnsi"/>
          <w:sz w:val="24"/>
          <w:szCs w:val="24"/>
        </w:rPr>
        <w:t xml:space="preserve">4. Increased __________________________concentration is the diagnostic hallmark of PHA, both in cats and humans. </w:t>
      </w:r>
    </w:p>
    <w:p w14:paraId="3441AEBC" w14:textId="488A5181" w:rsidR="00D6718A" w:rsidRPr="00407CEA" w:rsidRDefault="00407CEA" w:rsidP="00D6718A">
      <w:pPr>
        <w:pStyle w:val="NormalWeb"/>
        <w:rPr>
          <w:rFonts w:asciiTheme="minorHAnsi" w:hAnsiTheme="minorHAnsi"/>
          <w:sz w:val="24"/>
          <w:szCs w:val="24"/>
        </w:rPr>
      </w:pPr>
      <w:r>
        <w:rPr>
          <w:rFonts w:asciiTheme="minorHAnsi" w:hAnsiTheme="minorHAnsi"/>
          <w:b/>
          <w:sz w:val="24"/>
          <w:szCs w:val="24"/>
        </w:rPr>
        <w:t xml:space="preserve">    </w:t>
      </w:r>
      <w:r w:rsidR="00D6718A" w:rsidRPr="00407CEA">
        <w:rPr>
          <w:rFonts w:asciiTheme="minorHAnsi" w:hAnsiTheme="minorHAnsi"/>
          <w:b/>
          <w:sz w:val="24"/>
          <w:szCs w:val="24"/>
        </w:rPr>
        <w:t>Answer</w:t>
      </w:r>
      <w:r w:rsidR="00D6718A" w:rsidRPr="00407CEA">
        <w:rPr>
          <w:rFonts w:asciiTheme="minorHAnsi" w:hAnsiTheme="minorHAnsi"/>
          <w:sz w:val="24"/>
          <w:szCs w:val="24"/>
        </w:rPr>
        <w:t>: Aldosterone</w:t>
      </w:r>
    </w:p>
    <w:p w14:paraId="3FC740CA" w14:textId="40C7DAE5" w:rsidR="0011296F" w:rsidRDefault="00407CEA" w:rsidP="00285B26">
      <w:r>
        <w:t>5. How may you differentiate primary from secondary hyperaldosteronism?</w:t>
      </w:r>
    </w:p>
    <w:p w14:paraId="7D65ADC2" w14:textId="77777777" w:rsidR="00407CEA" w:rsidRDefault="00407CEA" w:rsidP="00285B26"/>
    <w:p w14:paraId="0184A413" w14:textId="77777777" w:rsidR="00EE1E7A" w:rsidRDefault="00407CEA" w:rsidP="00EE1E7A">
      <w:r>
        <w:t xml:space="preserve">   </w:t>
      </w:r>
      <w:r w:rsidRPr="00407CEA">
        <w:rPr>
          <w:b/>
        </w:rPr>
        <w:t>Answer</w:t>
      </w:r>
      <w:r>
        <w:t>: measure plasma renin</w:t>
      </w:r>
    </w:p>
    <w:p w14:paraId="3B0930D6" w14:textId="77777777" w:rsidR="00EE1E7A" w:rsidRDefault="00EE1E7A" w:rsidP="00EE1E7A">
      <w:r w:rsidRPr="00EE1E7A">
        <w:t xml:space="preserve"> (In primary hyperaldosteronism, plasma renin activity is minimal, reflecting the </w:t>
      </w:r>
    </w:p>
    <w:p w14:paraId="79FF1703" w14:textId="14EF57FB" w:rsidR="00EE1E7A" w:rsidRPr="00EE1E7A" w:rsidRDefault="00EE1E7A" w:rsidP="00EE1E7A">
      <w:r>
        <w:t xml:space="preserve">  </w:t>
      </w:r>
      <w:r w:rsidRPr="00EE1E7A">
        <w:t>autonomous secretion of aldosterone by the adrenal glands)</w:t>
      </w:r>
    </w:p>
    <w:p w14:paraId="75829939" w14:textId="2E3D06F6" w:rsidR="00EE1E7A" w:rsidRDefault="00EE1E7A" w:rsidP="00285B26"/>
    <w:p w14:paraId="04992D3F" w14:textId="50DB4B2F" w:rsidR="00C63577" w:rsidRDefault="00C63577" w:rsidP="00285B26">
      <w:r>
        <w:t>6. List at least 2 other ways to help diagnose primary hyperaldosteronism, as stated in this review:</w:t>
      </w:r>
    </w:p>
    <w:p w14:paraId="03696D1B" w14:textId="3B1F6D14" w:rsidR="00C63577" w:rsidRDefault="00C63577" w:rsidP="00C63577">
      <w:pPr>
        <w:pStyle w:val="ListParagraph"/>
        <w:numPr>
          <w:ilvl w:val="0"/>
          <w:numId w:val="8"/>
        </w:numPr>
      </w:pPr>
      <w:r>
        <w:t>Abdominal imaging</w:t>
      </w:r>
    </w:p>
    <w:p w14:paraId="07E018AE" w14:textId="3CC3C0C2" w:rsidR="00C63577" w:rsidRDefault="00C63577" w:rsidP="00C63577">
      <w:pPr>
        <w:pStyle w:val="ListParagraph"/>
        <w:numPr>
          <w:ilvl w:val="0"/>
          <w:numId w:val="8"/>
        </w:numPr>
      </w:pPr>
      <w:r>
        <w:t>Oral sodium loading (ineffective in cats)</w:t>
      </w:r>
    </w:p>
    <w:p w14:paraId="3FA87600" w14:textId="2D1C45A7" w:rsidR="00C63577" w:rsidRDefault="00C63577" w:rsidP="00C63577">
      <w:pPr>
        <w:pStyle w:val="ListParagraph"/>
        <w:numPr>
          <w:ilvl w:val="0"/>
          <w:numId w:val="8"/>
        </w:numPr>
      </w:pPr>
      <w:r>
        <w:t>Fludrocortisone suppression testing</w:t>
      </w:r>
    </w:p>
    <w:p w14:paraId="6F5864B4" w14:textId="25DF0BBC" w:rsidR="00C63577" w:rsidRPr="00D6718A" w:rsidRDefault="00C63577" w:rsidP="00C63577">
      <w:pPr>
        <w:pStyle w:val="ListParagraph"/>
        <w:numPr>
          <w:ilvl w:val="0"/>
          <w:numId w:val="8"/>
        </w:numPr>
      </w:pPr>
      <w:r>
        <w:t>Sampling the adrenal</w:t>
      </w:r>
      <w:r w:rsidR="006D3058">
        <w:t xml:space="preserve"> vein (gold s</w:t>
      </w:r>
      <w:r>
        <w:t>tandard in humans</w:t>
      </w:r>
      <w:r w:rsidR="006D3058">
        <w:t xml:space="preserve">; </w:t>
      </w:r>
      <w:r>
        <w:t xml:space="preserve">elevated </w:t>
      </w:r>
      <w:r w:rsidR="006D3058">
        <w:t>aldosterone levels reflects pos</w:t>
      </w:r>
      <w:r>
        <w:t>itive test)</w:t>
      </w:r>
    </w:p>
    <w:sectPr w:rsidR="00C63577" w:rsidRPr="00D6718A"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070E2"/>
    <w:multiLevelType w:val="hybridMultilevel"/>
    <w:tmpl w:val="AD3ED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E83523"/>
    <w:multiLevelType w:val="hybridMultilevel"/>
    <w:tmpl w:val="9D58E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8018A4"/>
    <w:multiLevelType w:val="hybridMultilevel"/>
    <w:tmpl w:val="1D82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A22DB5"/>
    <w:multiLevelType w:val="hybridMultilevel"/>
    <w:tmpl w:val="CF00B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062C04"/>
    <w:multiLevelType w:val="hybridMultilevel"/>
    <w:tmpl w:val="8B4AF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3103C8"/>
    <w:multiLevelType w:val="hybridMultilevel"/>
    <w:tmpl w:val="60B8E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F5301C"/>
    <w:multiLevelType w:val="hybridMultilevel"/>
    <w:tmpl w:val="AFCEE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EC4AAB"/>
    <w:multiLevelType w:val="hybridMultilevel"/>
    <w:tmpl w:val="2DD83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2"/>
  </w:num>
  <w:num w:numId="5">
    <w:abstractNumId w:val="7"/>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883"/>
    <w:rsid w:val="0001342D"/>
    <w:rsid w:val="00075314"/>
    <w:rsid w:val="00076142"/>
    <w:rsid w:val="000768DB"/>
    <w:rsid w:val="001068C6"/>
    <w:rsid w:val="0011296F"/>
    <w:rsid w:val="00162BD8"/>
    <w:rsid w:val="00163788"/>
    <w:rsid w:val="00184767"/>
    <w:rsid w:val="001D0ABF"/>
    <w:rsid w:val="001D20D9"/>
    <w:rsid w:val="001D5A1F"/>
    <w:rsid w:val="00210D0B"/>
    <w:rsid w:val="00265DC0"/>
    <w:rsid w:val="00267956"/>
    <w:rsid w:val="00285B26"/>
    <w:rsid w:val="002E73A1"/>
    <w:rsid w:val="002E7883"/>
    <w:rsid w:val="002F7D1C"/>
    <w:rsid w:val="00391323"/>
    <w:rsid w:val="003A4315"/>
    <w:rsid w:val="003F77DC"/>
    <w:rsid w:val="00407CEA"/>
    <w:rsid w:val="004236F4"/>
    <w:rsid w:val="0045304B"/>
    <w:rsid w:val="00467AF7"/>
    <w:rsid w:val="00502A2E"/>
    <w:rsid w:val="00583003"/>
    <w:rsid w:val="005839B0"/>
    <w:rsid w:val="005A4298"/>
    <w:rsid w:val="006101DC"/>
    <w:rsid w:val="0061789D"/>
    <w:rsid w:val="0064317C"/>
    <w:rsid w:val="00653A7C"/>
    <w:rsid w:val="006A76D4"/>
    <w:rsid w:val="006C78B8"/>
    <w:rsid w:val="006D3058"/>
    <w:rsid w:val="006D689F"/>
    <w:rsid w:val="006F1C7E"/>
    <w:rsid w:val="007263C0"/>
    <w:rsid w:val="00780E15"/>
    <w:rsid w:val="00795832"/>
    <w:rsid w:val="007F3E2F"/>
    <w:rsid w:val="007F61DF"/>
    <w:rsid w:val="00873E37"/>
    <w:rsid w:val="008F0EA7"/>
    <w:rsid w:val="00905187"/>
    <w:rsid w:val="00925C3E"/>
    <w:rsid w:val="009415B2"/>
    <w:rsid w:val="009445F3"/>
    <w:rsid w:val="00963AD1"/>
    <w:rsid w:val="00995787"/>
    <w:rsid w:val="009A3ED1"/>
    <w:rsid w:val="00A127C6"/>
    <w:rsid w:val="00AA0327"/>
    <w:rsid w:val="00B17416"/>
    <w:rsid w:val="00B31733"/>
    <w:rsid w:val="00B36F7C"/>
    <w:rsid w:val="00B4101A"/>
    <w:rsid w:val="00B530FA"/>
    <w:rsid w:val="00B935AF"/>
    <w:rsid w:val="00BA6FA8"/>
    <w:rsid w:val="00BE1219"/>
    <w:rsid w:val="00BF75AF"/>
    <w:rsid w:val="00C0427D"/>
    <w:rsid w:val="00C04901"/>
    <w:rsid w:val="00C10C21"/>
    <w:rsid w:val="00C6066A"/>
    <w:rsid w:val="00C63577"/>
    <w:rsid w:val="00CA5469"/>
    <w:rsid w:val="00CB1A92"/>
    <w:rsid w:val="00CF4C69"/>
    <w:rsid w:val="00CF6C43"/>
    <w:rsid w:val="00D20C50"/>
    <w:rsid w:val="00D22F78"/>
    <w:rsid w:val="00D6718A"/>
    <w:rsid w:val="00D83A3B"/>
    <w:rsid w:val="00E770EF"/>
    <w:rsid w:val="00E8628D"/>
    <w:rsid w:val="00EB5BA1"/>
    <w:rsid w:val="00EE1E7A"/>
    <w:rsid w:val="00F10F53"/>
    <w:rsid w:val="00F3279A"/>
    <w:rsid w:val="00F407C5"/>
    <w:rsid w:val="00F87C49"/>
    <w:rsid w:val="00FE5784"/>
    <w:rsid w:val="00FE5F9E"/>
    <w:rsid w:val="00FF28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62EBD0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7883"/>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4530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304B"/>
    <w:rPr>
      <w:rFonts w:ascii="Lucida Grande" w:hAnsi="Lucida Grande" w:cs="Lucida Grande"/>
      <w:sz w:val="18"/>
      <w:szCs w:val="18"/>
    </w:rPr>
  </w:style>
  <w:style w:type="paragraph" w:styleId="ListParagraph">
    <w:name w:val="List Paragraph"/>
    <w:basedOn w:val="Normal"/>
    <w:uiPriority w:val="34"/>
    <w:qFormat/>
    <w:rsid w:val="00B530F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7883"/>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4530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304B"/>
    <w:rPr>
      <w:rFonts w:ascii="Lucida Grande" w:hAnsi="Lucida Grande" w:cs="Lucida Grande"/>
      <w:sz w:val="18"/>
      <w:szCs w:val="18"/>
    </w:rPr>
  </w:style>
  <w:style w:type="paragraph" w:styleId="ListParagraph">
    <w:name w:val="List Paragraph"/>
    <w:basedOn w:val="Normal"/>
    <w:uiPriority w:val="34"/>
    <w:qFormat/>
    <w:rsid w:val="00B530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3192">
      <w:bodyDiv w:val="1"/>
      <w:marLeft w:val="0"/>
      <w:marRight w:val="0"/>
      <w:marTop w:val="0"/>
      <w:marBottom w:val="0"/>
      <w:divBdr>
        <w:top w:val="none" w:sz="0" w:space="0" w:color="auto"/>
        <w:left w:val="none" w:sz="0" w:space="0" w:color="auto"/>
        <w:bottom w:val="none" w:sz="0" w:space="0" w:color="auto"/>
        <w:right w:val="none" w:sz="0" w:space="0" w:color="auto"/>
      </w:divBdr>
      <w:divsChild>
        <w:div w:id="1653750474">
          <w:marLeft w:val="0"/>
          <w:marRight w:val="0"/>
          <w:marTop w:val="0"/>
          <w:marBottom w:val="0"/>
          <w:divBdr>
            <w:top w:val="none" w:sz="0" w:space="0" w:color="auto"/>
            <w:left w:val="none" w:sz="0" w:space="0" w:color="auto"/>
            <w:bottom w:val="none" w:sz="0" w:space="0" w:color="auto"/>
            <w:right w:val="none" w:sz="0" w:space="0" w:color="auto"/>
          </w:divBdr>
          <w:divsChild>
            <w:div w:id="1642885107">
              <w:marLeft w:val="0"/>
              <w:marRight w:val="0"/>
              <w:marTop w:val="0"/>
              <w:marBottom w:val="0"/>
              <w:divBdr>
                <w:top w:val="none" w:sz="0" w:space="0" w:color="auto"/>
                <w:left w:val="none" w:sz="0" w:space="0" w:color="auto"/>
                <w:bottom w:val="none" w:sz="0" w:space="0" w:color="auto"/>
                <w:right w:val="none" w:sz="0" w:space="0" w:color="auto"/>
              </w:divBdr>
              <w:divsChild>
                <w:div w:id="7304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6809">
      <w:bodyDiv w:val="1"/>
      <w:marLeft w:val="0"/>
      <w:marRight w:val="0"/>
      <w:marTop w:val="0"/>
      <w:marBottom w:val="0"/>
      <w:divBdr>
        <w:top w:val="none" w:sz="0" w:space="0" w:color="auto"/>
        <w:left w:val="none" w:sz="0" w:space="0" w:color="auto"/>
        <w:bottom w:val="none" w:sz="0" w:space="0" w:color="auto"/>
        <w:right w:val="none" w:sz="0" w:space="0" w:color="auto"/>
      </w:divBdr>
      <w:divsChild>
        <w:div w:id="1029911956">
          <w:marLeft w:val="0"/>
          <w:marRight w:val="0"/>
          <w:marTop w:val="0"/>
          <w:marBottom w:val="0"/>
          <w:divBdr>
            <w:top w:val="none" w:sz="0" w:space="0" w:color="auto"/>
            <w:left w:val="none" w:sz="0" w:space="0" w:color="auto"/>
            <w:bottom w:val="none" w:sz="0" w:space="0" w:color="auto"/>
            <w:right w:val="none" w:sz="0" w:space="0" w:color="auto"/>
          </w:divBdr>
          <w:divsChild>
            <w:div w:id="336616593">
              <w:marLeft w:val="0"/>
              <w:marRight w:val="0"/>
              <w:marTop w:val="0"/>
              <w:marBottom w:val="0"/>
              <w:divBdr>
                <w:top w:val="none" w:sz="0" w:space="0" w:color="auto"/>
                <w:left w:val="none" w:sz="0" w:space="0" w:color="auto"/>
                <w:bottom w:val="none" w:sz="0" w:space="0" w:color="auto"/>
                <w:right w:val="none" w:sz="0" w:space="0" w:color="auto"/>
              </w:divBdr>
              <w:divsChild>
                <w:div w:id="78284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8265">
      <w:bodyDiv w:val="1"/>
      <w:marLeft w:val="0"/>
      <w:marRight w:val="0"/>
      <w:marTop w:val="0"/>
      <w:marBottom w:val="0"/>
      <w:divBdr>
        <w:top w:val="none" w:sz="0" w:space="0" w:color="auto"/>
        <w:left w:val="none" w:sz="0" w:space="0" w:color="auto"/>
        <w:bottom w:val="none" w:sz="0" w:space="0" w:color="auto"/>
        <w:right w:val="none" w:sz="0" w:space="0" w:color="auto"/>
      </w:divBdr>
      <w:divsChild>
        <w:div w:id="2111314749">
          <w:marLeft w:val="0"/>
          <w:marRight w:val="0"/>
          <w:marTop w:val="0"/>
          <w:marBottom w:val="0"/>
          <w:divBdr>
            <w:top w:val="none" w:sz="0" w:space="0" w:color="auto"/>
            <w:left w:val="none" w:sz="0" w:space="0" w:color="auto"/>
            <w:bottom w:val="none" w:sz="0" w:space="0" w:color="auto"/>
            <w:right w:val="none" w:sz="0" w:space="0" w:color="auto"/>
          </w:divBdr>
          <w:divsChild>
            <w:div w:id="209584295">
              <w:marLeft w:val="0"/>
              <w:marRight w:val="0"/>
              <w:marTop w:val="0"/>
              <w:marBottom w:val="0"/>
              <w:divBdr>
                <w:top w:val="none" w:sz="0" w:space="0" w:color="auto"/>
                <w:left w:val="none" w:sz="0" w:space="0" w:color="auto"/>
                <w:bottom w:val="none" w:sz="0" w:space="0" w:color="auto"/>
                <w:right w:val="none" w:sz="0" w:space="0" w:color="auto"/>
              </w:divBdr>
              <w:divsChild>
                <w:div w:id="42585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3240">
      <w:bodyDiv w:val="1"/>
      <w:marLeft w:val="0"/>
      <w:marRight w:val="0"/>
      <w:marTop w:val="0"/>
      <w:marBottom w:val="0"/>
      <w:divBdr>
        <w:top w:val="none" w:sz="0" w:space="0" w:color="auto"/>
        <w:left w:val="none" w:sz="0" w:space="0" w:color="auto"/>
        <w:bottom w:val="none" w:sz="0" w:space="0" w:color="auto"/>
        <w:right w:val="none" w:sz="0" w:space="0" w:color="auto"/>
      </w:divBdr>
      <w:divsChild>
        <w:div w:id="1602760460">
          <w:marLeft w:val="0"/>
          <w:marRight w:val="0"/>
          <w:marTop w:val="0"/>
          <w:marBottom w:val="0"/>
          <w:divBdr>
            <w:top w:val="none" w:sz="0" w:space="0" w:color="auto"/>
            <w:left w:val="none" w:sz="0" w:space="0" w:color="auto"/>
            <w:bottom w:val="none" w:sz="0" w:space="0" w:color="auto"/>
            <w:right w:val="none" w:sz="0" w:space="0" w:color="auto"/>
          </w:divBdr>
          <w:divsChild>
            <w:div w:id="2146925889">
              <w:marLeft w:val="0"/>
              <w:marRight w:val="0"/>
              <w:marTop w:val="0"/>
              <w:marBottom w:val="0"/>
              <w:divBdr>
                <w:top w:val="none" w:sz="0" w:space="0" w:color="auto"/>
                <w:left w:val="none" w:sz="0" w:space="0" w:color="auto"/>
                <w:bottom w:val="none" w:sz="0" w:space="0" w:color="auto"/>
                <w:right w:val="none" w:sz="0" w:space="0" w:color="auto"/>
              </w:divBdr>
              <w:divsChild>
                <w:div w:id="1144270861">
                  <w:marLeft w:val="0"/>
                  <w:marRight w:val="0"/>
                  <w:marTop w:val="0"/>
                  <w:marBottom w:val="0"/>
                  <w:divBdr>
                    <w:top w:val="none" w:sz="0" w:space="0" w:color="auto"/>
                    <w:left w:val="none" w:sz="0" w:space="0" w:color="auto"/>
                    <w:bottom w:val="none" w:sz="0" w:space="0" w:color="auto"/>
                    <w:right w:val="none" w:sz="0" w:space="0" w:color="auto"/>
                  </w:divBdr>
                  <w:divsChild>
                    <w:div w:id="3618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56544">
      <w:bodyDiv w:val="1"/>
      <w:marLeft w:val="0"/>
      <w:marRight w:val="0"/>
      <w:marTop w:val="0"/>
      <w:marBottom w:val="0"/>
      <w:divBdr>
        <w:top w:val="none" w:sz="0" w:space="0" w:color="auto"/>
        <w:left w:val="none" w:sz="0" w:space="0" w:color="auto"/>
        <w:bottom w:val="none" w:sz="0" w:space="0" w:color="auto"/>
        <w:right w:val="none" w:sz="0" w:space="0" w:color="auto"/>
      </w:divBdr>
      <w:divsChild>
        <w:div w:id="745158">
          <w:marLeft w:val="0"/>
          <w:marRight w:val="0"/>
          <w:marTop w:val="0"/>
          <w:marBottom w:val="0"/>
          <w:divBdr>
            <w:top w:val="none" w:sz="0" w:space="0" w:color="auto"/>
            <w:left w:val="none" w:sz="0" w:space="0" w:color="auto"/>
            <w:bottom w:val="none" w:sz="0" w:space="0" w:color="auto"/>
            <w:right w:val="none" w:sz="0" w:space="0" w:color="auto"/>
          </w:divBdr>
          <w:divsChild>
            <w:div w:id="2051104531">
              <w:marLeft w:val="0"/>
              <w:marRight w:val="0"/>
              <w:marTop w:val="0"/>
              <w:marBottom w:val="0"/>
              <w:divBdr>
                <w:top w:val="none" w:sz="0" w:space="0" w:color="auto"/>
                <w:left w:val="none" w:sz="0" w:space="0" w:color="auto"/>
                <w:bottom w:val="none" w:sz="0" w:space="0" w:color="auto"/>
                <w:right w:val="none" w:sz="0" w:space="0" w:color="auto"/>
              </w:divBdr>
              <w:divsChild>
                <w:div w:id="99996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18632">
      <w:bodyDiv w:val="1"/>
      <w:marLeft w:val="0"/>
      <w:marRight w:val="0"/>
      <w:marTop w:val="0"/>
      <w:marBottom w:val="0"/>
      <w:divBdr>
        <w:top w:val="none" w:sz="0" w:space="0" w:color="auto"/>
        <w:left w:val="none" w:sz="0" w:space="0" w:color="auto"/>
        <w:bottom w:val="none" w:sz="0" w:space="0" w:color="auto"/>
        <w:right w:val="none" w:sz="0" w:space="0" w:color="auto"/>
      </w:divBdr>
      <w:divsChild>
        <w:div w:id="1029262288">
          <w:marLeft w:val="0"/>
          <w:marRight w:val="0"/>
          <w:marTop w:val="0"/>
          <w:marBottom w:val="0"/>
          <w:divBdr>
            <w:top w:val="none" w:sz="0" w:space="0" w:color="auto"/>
            <w:left w:val="none" w:sz="0" w:space="0" w:color="auto"/>
            <w:bottom w:val="none" w:sz="0" w:space="0" w:color="auto"/>
            <w:right w:val="none" w:sz="0" w:space="0" w:color="auto"/>
          </w:divBdr>
          <w:divsChild>
            <w:div w:id="500123901">
              <w:marLeft w:val="0"/>
              <w:marRight w:val="0"/>
              <w:marTop w:val="0"/>
              <w:marBottom w:val="0"/>
              <w:divBdr>
                <w:top w:val="none" w:sz="0" w:space="0" w:color="auto"/>
                <w:left w:val="none" w:sz="0" w:space="0" w:color="auto"/>
                <w:bottom w:val="none" w:sz="0" w:space="0" w:color="auto"/>
                <w:right w:val="none" w:sz="0" w:space="0" w:color="auto"/>
              </w:divBdr>
              <w:divsChild>
                <w:div w:id="190587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31698">
      <w:bodyDiv w:val="1"/>
      <w:marLeft w:val="0"/>
      <w:marRight w:val="0"/>
      <w:marTop w:val="0"/>
      <w:marBottom w:val="0"/>
      <w:divBdr>
        <w:top w:val="none" w:sz="0" w:space="0" w:color="auto"/>
        <w:left w:val="none" w:sz="0" w:space="0" w:color="auto"/>
        <w:bottom w:val="none" w:sz="0" w:space="0" w:color="auto"/>
        <w:right w:val="none" w:sz="0" w:space="0" w:color="auto"/>
      </w:divBdr>
      <w:divsChild>
        <w:div w:id="1212426880">
          <w:marLeft w:val="0"/>
          <w:marRight w:val="0"/>
          <w:marTop w:val="0"/>
          <w:marBottom w:val="0"/>
          <w:divBdr>
            <w:top w:val="none" w:sz="0" w:space="0" w:color="auto"/>
            <w:left w:val="none" w:sz="0" w:space="0" w:color="auto"/>
            <w:bottom w:val="none" w:sz="0" w:space="0" w:color="auto"/>
            <w:right w:val="none" w:sz="0" w:space="0" w:color="auto"/>
          </w:divBdr>
          <w:divsChild>
            <w:div w:id="1613315959">
              <w:marLeft w:val="0"/>
              <w:marRight w:val="0"/>
              <w:marTop w:val="0"/>
              <w:marBottom w:val="0"/>
              <w:divBdr>
                <w:top w:val="none" w:sz="0" w:space="0" w:color="auto"/>
                <w:left w:val="none" w:sz="0" w:space="0" w:color="auto"/>
                <w:bottom w:val="none" w:sz="0" w:space="0" w:color="auto"/>
                <w:right w:val="none" w:sz="0" w:space="0" w:color="auto"/>
              </w:divBdr>
              <w:divsChild>
                <w:div w:id="54611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143036">
      <w:bodyDiv w:val="1"/>
      <w:marLeft w:val="0"/>
      <w:marRight w:val="0"/>
      <w:marTop w:val="0"/>
      <w:marBottom w:val="0"/>
      <w:divBdr>
        <w:top w:val="none" w:sz="0" w:space="0" w:color="auto"/>
        <w:left w:val="none" w:sz="0" w:space="0" w:color="auto"/>
        <w:bottom w:val="none" w:sz="0" w:space="0" w:color="auto"/>
        <w:right w:val="none" w:sz="0" w:space="0" w:color="auto"/>
      </w:divBdr>
      <w:divsChild>
        <w:div w:id="1327440445">
          <w:marLeft w:val="0"/>
          <w:marRight w:val="0"/>
          <w:marTop w:val="0"/>
          <w:marBottom w:val="0"/>
          <w:divBdr>
            <w:top w:val="none" w:sz="0" w:space="0" w:color="auto"/>
            <w:left w:val="none" w:sz="0" w:space="0" w:color="auto"/>
            <w:bottom w:val="none" w:sz="0" w:space="0" w:color="auto"/>
            <w:right w:val="none" w:sz="0" w:space="0" w:color="auto"/>
          </w:divBdr>
          <w:divsChild>
            <w:div w:id="1029648940">
              <w:marLeft w:val="0"/>
              <w:marRight w:val="0"/>
              <w:marTop w:val="0"/>
              <w:marBottom w:val="0"/>
              <w:divBdr>
                <w:top w:val="none" w:sz="0" w:space="0" w:color="auto"/>
                <w:left w:val="none" w:sz="0" w:space="0" w:color="auto"/>
                <w:bottom w:val="none" w:sz="0" w:space="0" w:color="auto"/>
                <w:right w:val="none" w:sz="0" w:space="0" w:color="auto"/>
              </w:divBdr>
              <w:divsChild>
                <w:div w:id="511837873">
                  <w:marLeft w:val="0"/>
                  <w:marRight w:val="0"/>
                  <w:marTop w:val="0"/>
                  <w:marBottom w:val="0"/>
                  <w:divBdr>
                    <w:top w:val="none" w:sz="0" w:space="0" w:color="auto"/>
                    <w:left w:val="none" w:sz="0" w:space="0" w:color="auto"/>
                    <w:bottom w:val="none" w:sz="0" w:space="0" w:color="auto"/>
                    <w:right w:val="none" w:sz="0" w:space="0" w:color="auto"/>
                  </w:divBdr>
                  <w:divsChild>
                    <w:div w:id="71809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681425">
      <w:bodyDiv w:val="1"/>
      <w:marLeft w:val="0"/>
      <w:marRight w:val="0"/>
      <w:marTop w:val="0"/>
      <w:marBottom w:val="0"/>
      <w:divBdr>
        <w:top w:val="none" w:sz="0" w:space="0" w:color="auto"/>
        <w:left w:val="none" w:sz="0" w:space="0" w:color="auto"/>
        <w:bottom w:val="none" w:sz="0" w:space="0" w:color="auto"/>
        <w:right w:val="none" w:sz="0" w:space="0" w:color="auto"/>
      </w:divBdr>
      <w:divsChild>
        <w:div w:id="1795363211">
          <w:marLeft w:val="0"/>
          <w:marRight w:val="0"/>
          <w:marTop w:val="0"/>
          <w:marBottom w:val="0"/>
          <w:divBdr>
            <w:top w:val="none" w:sz="0" w:space="0" w:color="auto"/>
            <w:left w:val="none" w:sz="0" w:space="0" w:color="auto"/>
            <w:bottom w:val="none" w:sz="0" w:space="0" w:color="auto"/>
            <w:right w:val="none" w:sz="0" w:space="0" w:color="auto"/>
          </w:divBdr>
          <w:divsChild>
            <w:div w:id="1349405651">
              <w:marLeft w:val="0"/>
              <w:marRight w:val="0"/>
              <w:marTop w:val="0"/>
              <w:marBottom w:val="0"/>
              <w:divBdr>
                <w:top w:val="none" w:sz="0" w:space="0" w:color="auto"/>
                <w:left w:val="none" w:sz="0" w:space="0" w:color="auto"/>
                <w:bottom w:val="none" w:sz="0" w:space="0" w:color="auto"/>
                <w:right w:val="none" w:sz="0" w:space="0" w:color="auto"/>
              </w:divBdr>
              <w:divsChild>
                <w:div w:id="189415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540517">
      <w:bodyDiv w:val="1"/>
      <w:marLeft w:val="0"/>
      <w:marRight w:val="0"/>
      <w:marTop w:val="0"/>
      <w:marBottom w:val="0"/>
      <w:divBdr>
        <w:top w:val="none" w:sz="0" w:space="0" w:color="auto"/>
        <w:left w:val="none" w:sz="0" w:space="0" w:color="auto"/>
        <w:bottom w:val="none" w:sz="0" w:space="0" w:color="auto"/>
        <w:right w:val="none" w:sz="0" w:space="0" w:color="auto"/>
      </w:divBdr>
      <w:divsChild>
        <w:div w:id="207110823">
          <w:marLeft w:val="0"/>
          <w:marRight w:val="0"/>
          <w:marTop w:val="0"/>
          <w:marBottom w:val="0"/>
          <w:divBdr>
            <w:top w:val="none" w:sz="0" w:space="0" w:color="auto"/>
            <w:left w:val="none" w:sz="0" w:space="0" w:color="auto"/>
            <w:bottom w:val="none" w:sz="0" w:space="0" w:color="auto"/>
            <w:right w:val="none" w:sz="0" w:space="0" w:color="auto"/>
          </w:divBdr>
          <w:divsChild>
            <w:div w:id="382797004">
              <w:marLeft w:val="0"/>
              <w:marRight w:val="0"/>
              <w:marTop w:val="0"/>
              <w:marBottom w:val="0"/>
              <w:divBdr>
                <w:top w:val="none" w:sz="0" w:space="0" w:color="auto"/>
                <w:left w:val="none" w:sz="0" w:space="0" w:color="auto"/>
                <w:bottom w:val="none" w:sz="0" w:space="0" w:color="auto"/>
                <w:right w:val="none" w:sz="0" w:space="0" w:color="auto"/>
              </w:divBdr>
              <w:divsChild>
                <w:div w:id="38911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9307">
      <w:bodyDiv w:val="1"/>
      <w:marLeft w:val="0"/>
      <w:marRight w:val="0"/>
      <w:marTop w:val="0"/>
      <w:marBottom w:val="0"/>
      <w:divBdr>
        <w:top w:val="none" w:sz="0" w:space="0" w:color="auto"/>
        <w:left w:val="none" w:sz="0" w:space="0" w:color="auto"/>
        <w:bottom w:val="none" w:sz="0" w:space="0" w:color="auto"/>
        <w:right w:val="none" w:sz="0" w:space="0" w:color="auto"/>
      </w:divBdr>
      <w:divsChild>
        <w:div w:id="1805780669">
          <w:marLeft w:val="0"/>
          <w:marRight w:val="0"/>
          <w:marTop w:val="0"/>
          <w:marBottom w:val="0"/>
          <w:divBdr>
            <w:top w:val="none" w:sz="0" w:space="0" w:color="auto"/>
            <w:left w:val="none" w:sz="0" w:space="0" w:color="auto"/>
            <w:bottom w:val="none" w:sz="0" w:space="0" w:color="auto"/>
            <w:right w:val="none" w:sz="0" w:space="0" w:color="auto"/>
          </w:divBdr>
          <w:divsChild>
            <w:div w:id="111289656">
              <w:marLeft w:val="0"/>
              <w:marRight w:val="0"/>
              <w:marTop w:val="0"/>
              <w:marBottom w:val="0"/>
              <w:divBdr>
                <w:top w:val="none" w:sz="0" w:space="0" w:color="auto"/>
                <w:left w:val="none" w:sz="0" w:space="0" w:color="auto"/>
                <w:bottom w:val="none" w:sz="0" w:space="0" w:color="auto"/>
                <w:right w:val="none" w:sz="0" w:space="0" w:color="auto"/>
              </w:divBdr>
              <w:divsChild>
                <w:div w:id="18399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041625">
      <w:bodyDiv w:val="1"/>
      <w:marLeft w:val="0"/>
      <w:marRight w:val="0"/>
      <w:marTop w:val="0"/>
      <w:marBottom w:val="0"/>
      <w:divBdr>
        <w:top w:val="none" w:sz="0" w:space="0" w:color="auto"/>
        <w:left w:val="none" w:sz="0" w:space="0" w:color="auto"/>
        <w:bottom w:val="none" w:sz="0" w:space="0" w:color="auto"/>
        <w:right w:val="none" w:sz="0" w:space="0" w:color="auto"/>
      </w:divBdr>
      <w:divsChild>
        <w:div w:id="1650939864">
          <w:marLeft w:val="0"/>
          <w:marRight w:val="0"/>
          <w:marTop w:val="0"/>
          <w:marBottom w:val="0"/>
          <w:divBdr>
            <w:top w:val="none" w:sz="0" w:space="0" w:color="auto"/>
            <w:left w:val="none" w:sz="0" w:space="0" w:color="auto"/>
            <w:bottom w:val="none" w:sz="0" w:space="0" w:color="auto"/>
            <w:right w:val="none" w:sz="0" w:space="0" w:color="auto"/>
          </w:divBdr>
          <w:divsChild>
            <w:div w:id="1693847445">
              <w:marLeft w:val="0"/>
              <w:marRight w:val="0"/>
              <w:marTop w:val="0"/>
              <w:marBottom w:val="0"/>
              <w:divBdr>
                <w:top w:val="none" w:sz="0" w:space="0" w:color="auto"/>
                <w:left w:val="none" w:sz="0" w:space="0" w:color="auto"/>
                <w:bottom w:val="none" w:sz="0" w:space="0" w:color="auto"/>
                <w:right w:val="none" w:sz="0" w:space="0" w:color="auto"/>
              </w:divBdr>
              <w:divsChild>
                <w:div w:id="23674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173861">
      <w:bodyDiv w:val="1"/>
      <w:marLeft w:val="0"/>
      <w:marRight w:val="0"/>
      <w:marTop w:val="0"/>
      <w:marBottom w:val="0"/>
      <w:divBdr>
        <w:top w:val="none" w:sz="0" w:space="0" w:color="auto"/>
        <w:left w:val="none" w:sz="0" w:space="0" w:color="auto"/>
        <w:bottom w:val="none" w:sz="0" w:space="0" w:color="auto"/>
        <w:right w:val="none" w:sz="0" w:space="0" w:color="auto"/>
      </w:divBdr>
      <w:divsChild>
        <w:div w:id="19865433">
          <w:marLeft w:val="0"/>
          <w:marRight w:val="0"/>
          <w:marTop w:val="0"/>
          <w:marBottom w:val="0"/>
          <w:divBdr>
            <w:top w:val="none" w:sz="0" w:space="0" w:color="auto"/>
            <w:left w:val="none" w:sz="0" w:space="0" w:color="auto"/>
            <w:bottom w:val="none" w:sz="0" w:space="0" w:color="auto"/>
            <w:right w:val="none" w:sz="0" w:space="0" w:color="auto"/>
          </w:divBdr>
          <w:divsChild>
            <w:div w:id="1119882197">
              <w:marLeft w:val="0"/>
              <w:marRight w:val="0"/>
              <w:marTop w:val="0"/>
              <w:marBottom w:val="0"/>
              <w:divBdr>
                <w:top w:val="none" w:sz="0" w:space="0" w:color="auto"/>
                <w:left w:val="none" w:sz="0" w:space="0" w:color="auto"/>
                <w:bottom w:val="none" w:sz="0" w:space="0" w:color="auto"/>
                <w:right w:val="none" w:sz="0" w:space="0" w:color="auto"/>
              </w:divBdr>
              <w:divsChild>
                <w:div w:id="212102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546737">
      <w:bodyDiv w:val="1"/>
      <w:marLeft w:val="0"/>
      <w:marRight w:val="0"/>
      <w:marTop w:val="0"/>
      <w:marBottom w:val="0"/>
      <w:divBdr>
        <w:top w:val="none" w:sz="0" w:space="0" w:color="auto"/>
        <w:left w:val="none" w:sz="0" w:space="0" w:color="auto"/>
        <w:bottom w:val="none" w:sz="0" w:space="0" w:color="auto"/>
        <w:right w:val="none" w:sz="0" w:space="0" w:color="auto"/>
      </w:divBdr>
      <w:divsChild>
        <w:div w:id="1600528220">
          <w:marLeft w:val="0"/>
          <w:marRight w:val="0"/>
          <w:marTop w:val="0"/>
          <w:marBottom w:val="0"/>
          <w:divBdr>
            <w:top w:val="none" w:sz="0" w:space="0" w:color="auto"/>
            <w:left w:val="none" w:sz="0" w:space="0" w:color="auto"/>
            <w:bottom w:val="none" w:sz="0" w:space="0" w:color="auto"/>
            <w:right w:val="none" w:sz="0" w:space="0" w:color="auto"/>
          </w:divBdr>
          <w:divsChild>
            <w:div w:id="266549391">
              <w:marLeft w:val="0"/>
              <w:marRight w:val="0"/>
              <w:marTop w:val="0"/>
              <w:marBottom w:val="0"/>
              <w:divBdr>
                <w:top w:val="none" w:sz="0" w:space="0" w:color="auto"/>
                <w:left w:val="none" w:sz="0" w:space="0" w:color="auto"/>
                <w:bottom w:val="none" w:sz="0" w:space="0" w:color="auto"/>
                <w:right w:val="none" w:sz="0" w:space="0" w:color="auto"/>
              </w:divBdr>
              <w:divsChild>
                <w:div w:id="133249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47805">
      <w:bodyDiv w:val="1"/>
      <w:marLeft w:val="0"/>
      <w:marRight w:val="0"/>
      <w:marTop w:val="0"/>
      <w:marBottom w:val="0"/>
      <w:divBdr>
        <w:top w:val="none" w:sz="0" w:space="0" w:color="auto"/>
        <w:left w:val="none" w:sz="0" w:space="0" w:color="auto"/>
        <w:bottom w:val="none" w:sz="0" w:space="0" w:color="auto"/>
        <w:right w:val="none" w:sz="0" w:space="0" w:color="auto"/>
      </w:divBdr>
      <w:divsChild>
        <w:div w:id="1767772789">
          <w:marLeft w:val="0"/>
          <w:marRight w:val="0"/>
          <w:marTop w:val="0"/>
          <w:marBottom w:val="0"/>
          <w:divBdr>
            <w:top w:val="none" w:sz="0" w:space="0" w:color="auto"/>
            <w:left w:val="none" w:sz="0" w:space="0" w:color="auto"/>
            <w:bottom w:val="none" w:sz="0" w:space="0" w:color="auto"/>
            <w:right w:val="none" w:sz="0" w:space="0" w:color="auto"/>
          </w:divBdr>
          <w:divsChild>
            <w:div w:id="955986917">
              <w:marLeft w:val="0"/>
              <w:marRight w:val="0"/>
              <w:marTop w:val="0"/>
              <w:marBottom w:val="0"/>
              <w:divBdr>
                <w:top w:val="none" w:sz="0" w:space="0" w:color="auto"/>
                <w:left w:val="none" w:sz="0" w:space="0" w:color="auto"/>
                <w:bottom w:val="none" w:sz="0" w:space="0" w:color="auto"/>
                <w:right w:val="none" w:sz="0" w:space="0" w:color="auto"/>
              </w:divBdr>
              <w:divsChild>
                <w:div w:id="1877353676">
                  <w:marLeft w:val="0"/>
                  <w:marRight w:val="0"/>
                  <w:marTop w:val="0"/>
                  <w:marBottom w:val="0"/>
                  <w:divBdr>
                    <w:top w:val="none" w:sz="0" w:space="0" w:color="auto"/>
                    <w:left w:val="none" w:sz="0" w:space="0" w:color="auto"/>
                    <w:bottom w:val="none" w:sz="0" w:space="0" w:color="auto"/>
                    <w:right w:val="none" w:sz="0" w:space="0" w:color="auto"/>
                  </w:divBdr>
                  <w:divsChild>
                    <w:div w:id="6400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008410">
      <w:bodyDiv w:val="1"/>
      <w:marLeft w:val="0"/>
      <w:marRight w:val="0"/>
      <w:marTop w:val="0"/>
      <w:marBottom w:val="0"/>
      <w:divBdr>
        <w:top w:val="none" w:sz="0" w:space="0" w:color="auto"/>
        <w:left w:val="none" w:sz="0" w:space="0" w:color="auto"/>
        <w:bottom w:val="none" w:sz="0" w:space="0" w:color="auto"/>
        <w:right w:val="none" w:sz="0" w:space="0" w:color="auto"/>
      </w:divBdr>
      <w:divsChild>
        <w:div w:id="305477963">
          <w:marLeft w:val="0"/>
          <w:marRight w:val="0"/>
          <w:marTop w:val="0"/>
          <w:marBottom w:val="0"/>
          <w:divBdr>
            <w:top w:val="none" w:sz="0" w:space="0" w:color="auto"/>
            <w:left w:val="none" w:sz="0" w:space="0" w:color="auto"/>
            <w:bottom w:val="none" w:sz="0" w:space="0" w:color="auto"/>
            <w:right w:val="none" w:sz="0" w:space="0" w:color="auto"/>
          </w:divBdr>
          <w:divsChild>
            <w:div w:id="1338387616">
              <w:marLeft w:val="0"/>
              <w:marRight w:val="0"/>
              <w:marTop w:val="0"/>
              <w:marBottom w:val="0"/>
              <w:divBdr>
                <w:top w:val="none" w:sz="0" w:space="0" w:color="auto"/>
                <w:left w:val="none" w:sz="0" w:space="0" w:color="auto"/>
                <w:bottom w:val="none" w:sz="0" w:space="0" w:color="auto"/>
                <w:right w:val="none" w:sz="0" w:space="0" w:color="auto"/>
              </w:divBdr>
              <w:divsChild>
                <w:div w:id="3337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009422">
      <w:bodyDiv w:val="1"/>
      <w:marLeft w:val="0"/>
      <w:marRight w:val="0"/>
      <w:marTop w:val="0"/>
      <w:marBottom w:val="0"/>
      <w:divBdr>
        <w:top w:val="none" w:sz="0" w:space="0" w:color="auto"/>
        <w:left w:val="none" w:sz="0" w:space="0" w:color="auto"/>
        <w:bottom w:val="none" w:sz="0" w:space="0" w:color="auto"/>
        <w:right w:val="none" w:sz="0" w:space="0" w:color="auto"/>
      </w:divBdr>
      <w:divsChild>
        <w:div w:id="1237397998">
          <w:marLeft w:val="0"/>
          <w:marRight w:val="0"/>
          <w:marTop w:val="0"/>
          <w:marBottom w:val="0"/>
          <w:divBdr>
            <w:top w:val="none" w:sz="0" w:space="0" w:color="auto"/>
            <w:left w:val="none" w:sz="0" w:space="0" w:color="auto"/>
            <w:bottom w:val="none" w:sz="0" w:space="0" w:color="auto"/>
            <w:right w:val="none" w:sz="0" w:space="0" w:color="auto"/>
          </w:divBdr>
          <w:divsChild>
            <w:div w:id="1465006543">
              <w:marLeft w:val="0"/>
              <w:marRight w:val="0"/>
              <w:marTop w:val="0"/>
              <w:marBottom w:val="0"/>
              <w:divBdr>
                <w:top w:val="none" w:sz="0" w:space="0" w:color="auto"/>
                <w:left w:val="none" w:sz="0" w:space="0" w:color="auto"/>
                <w:bottom w:val="none" w:sz="0" w:space="0" w:color="auto"/>
                <w:right w:val="none" w:sz="0" w:space="0" w:color="auto"/>
              </w:divBdr>
              <w:divsChild>
                <w:div w:id="187861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49385">
      <w:bodyDiv w:val="1"/>
      <w:marLeft w:val="0"/>
      <w:marRight w:val="0"/>
      <w:marTop w:val="0"/>
      <w:marBottom w:val="0"/>
      <w:divBdr>
        <w:top w:val="none" w:sz="0" w:space="0" w:color="auto"/>
        <w:left w:val="none" w:sz="0" w:space="0" w:color="auto"/>
        <w:bottom w:val="none" w:sz="0" w:space="0" w:color="auto"/>
        <w:right w:val="none" w:sz="0" w:space="0" w:color="auto"/>
      </w:divBdr>
      <w:divsChild>
        <w:div w:id="1338923215">
          <w:marLeft w:val="0"/>
          <w:marRight w:val="0"/>
          <w:marTop w:val="0"/>
          <w:marBottom w:val="0"/>
          <w:divBdr>
            <w:top w:val="none" w:sz="0" w:space="0" w:color="auto"/>
            <w:left w:val="none" w:sz="0" w:space="0" w:color="auto"/>
            <w:bottom w:val="none" w:sz="0" w:space="0" w:color="auto"/>
            <w:right w:val="none" w:sz="0" w:space="0" w:color="auto"/>
          </w:divBdr>
          <w:divsChild>
            <w:div w:id="620768872">
              <w:marLeft w:val="0"/>
              <w:marRight w:val="0"/>
              <w:marTop w:val="0"/>
              <w:marBottom w:val="0"/>
              <w:divBdr>
                <w:top w:val="none" w:sz="0" w:space="0" w:color="auto"/>
                <w:left w:val="none" w:sz="0" w:space="0" w:color="auto"/>
                <w:bottom w:val="none" w:sz="0" w:space="0" w:color="auto"/>
                <w:right w:val="none" w:sz="0" w:space="0" w:color="auto"/>
              </w:divBdr>
              <w:divsChild>
                <w:div w:id="1999652346">
                  <w:marLeft w:val="0"/>
                  <w:marRight w:val="0"/>
                  <w:marTop w:val="0"/>
                  <w:marBottom w:val="0"/>
                  <w:divBdr>
                    <w:top w:val="none" w:sz="0" w:space="0" w:color="auto"/>
                    <w:left w:val="none" w:sz="0" w:space="0" w:color="auto"/>
                    <w:bottom w:val="none" w:sz="0" w:space="0" w:color="auto"/>
                    <w:right w:val="none" w:sz="0" w:space="0" w:color="auto"/>
                  </w:divBdr>
                  <w:divsChild>
                    <w:div w:id="191674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302185">
      <w:bodyDiv w:val="1"/>
      <w:marLeft w:val="0"/>
      <w:marRight w:val="0"/>
      <w:marTop w:val="0"/>
      <w:marBottom w:val="0"/>
      <w:divBdr>
        <w:top w:val="none" w:sz="0" w:space="0" w:color="auto"/>
        <w:left w:val="none" w:sz="0" w:space="0" w:color="auto"/>
        <w:bottom w:val="none" w:sz="0" w:space="0" w:color="auto"/>
        <w:right w:val="none" w:sz="0" w:space="0" w:color="auto"/>
      </w:divBdr>
      <w:divsChild>
        <w:div w:id="1990596911">
          <w:marLeft w:val="0"/>
          <w:marRight w:val="0"/>
          <w:marTop w:val="0"/>
          <w:marBottom w:val="0"/>
          <w:divBdr>
            <w:top w:val="none" w:sz="0" w:space="0" w:color="auto"/>
            <w:left w:val="none" w:sz="0" w:space="0" w:color="auto"/>
            <w:bottom w:val="none" w:sz="0" w:space="0" w:color="auto"/>
            <w:right w:val="none" w:sz="0" w:space="0" w:color="auto"/>
          </w:divBdr>
          <w:divsChild>
            <w:div w:id="201525862">
              <w:marLeft w:val="0"/>
              <w:marRight w:val="0"/>
              <w:marTop w:val="0"/>
              <w:marBottom w:val="0"/>
              <w:divBdr>
                <w:top w:val="none" w:sz="0" w:space="0" w:color="auto"/>
                <w:left w:val="none" w:sz="0" w:space="0" w:color="auto"/>
                <w:bottom w:val="none" w:sz="0" w:space="0" w:color="auto"/>
                <w:right w:val="none" w:sz="0" w:space="0" w:color="auto"/>
              </w:divBdr>
              <w:divsChild>
                <w:div w:id="19031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284693">
      <w:bodyDiv w:val="1"/>
      <w:marLeft w:val="0"/>
      <w:marRight w:val="0"/>
      <w:marTop w:val="0"/>
      <w:marBottom w:val="0"/>
      <w:divBdr>
        <w:top w:val="none" w:sz="0" w:space="0" w:color="auto"/>
        <w:left w:val="none" w:sz="0" w:space="0" w:color="auto"/>
        <w:bottom w:val="none" w:sz="0" w:space="0" w:color="auto"/>
        <w:right w:val="none" w:sz="0" w:space="0" w:color="auto"/>
      </w:divBdr>
      <w:divsChild>
        <w:div w:id="135025284">
          <w:marLeft w:val="0"/>
          <w:marRight w:val="0"/>
          <w:marTop w:val="0"/>
          <w:marBottom w:val="0"/>
          <w:divBdr>
            <w:top w:val="none" w:sz="0" w:space="0" w:color="auto"/>
            <w:left w:val="none" w:sz="0" w:space="0" w:color="auto"/>
            <w:bottom w:val="none" w:sz="0" w:space="0" w:color="auto"/>
            <w:right w:val="none" w:sz="0" w:space="0" w:color="auto"/>
          </w:divBdr>
          <w:divsChild>
            <w:div w:id="673341760">
              <w:marLeft w:val="0"/>
              <w:marRight w:val="0"/>
              <w:marTop w:val="0"/>
              <w:marBottom w:val="0"/>
              <w:divBdr>
                <w:top w:val="none" w:sz="0" w:space="0" w:color="auto"/>
                <w:left w:val="none" w:sz="0" w:space="0" w:color="auto"/>
                <w:bottom w:val="none" w:sz="0" w:space="0" w:color="auto"/>
                <w:right w:val="none" w:sz="0" w:space="0" w:color="auto"/>
              </w:divBdr>
              <w:divsChild>
                <w:div w:id="16109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410914">
      <w:bodyDiv w:val="1"/>
      <w:marLeft w:val="0"/>
      <w:marRight w:val="0"/>
      <w:marTop w:val="0"/>
      <w:marBottom w:val="0"/>
      <w:divBdr>
        <w:top w:val="none" w:sz="0" w:space="0" w:color="auto"/>
        <w:left w:val="none" w:sz="0" w:space="0" w:color="auto"/>
        <w:bottom w:val="none" w:sz="0" w:space="0" w:color="auto"/>
        <w:right w:val="none" w:sz="0" w:space="0" w:color="auto"/>
      </w:divBdr>
      <w:divsChild>
        <w:div w:id="169411431">
          <w:marLeft w:val="0"/>
          <w:marRight w:val="0"/>
          <w:marTop w:val="0"/>
          <w:marBottom w:val="0"/>
          <w:divBdr>
            <w:top w:val="none" w:sz="0" w:space="0" w:color="auto"/>
            <w:left w:val="none" w:sz="0" w:space="0" w:color="auto"/>
            <w:bottom w:val="none" w:sz="0" w:space="0" w:color="auto"/>
            <w:right w:val="none" w:sz="0" w:space="0" w:color="auto"/>
          </w:divBdr>
          <w:divsChild>
            <w:div w:id="447552974">
              <w:marLeft w:val="0"/>
              <w:marRight w:val="0"/>
              <w:marTop w:val="0"/>
              <w:marBottom w:val="0"/>
              <w:divBdr>
                <w:top w:val="none" w:sz="0" w:space="0" w:color="auto"/>
                <w:left w:val="none" w:sz="0" w:space="0" w:color="auto"/>
                <w:bottom w:val="none" w:sz="0" w:space="0" w:color="auto"/>
                <w:right w:val="none" w:sz="0" w:space="0" w:color="auto"/>
              </w:divBdr>
              <w:divsChild>
                <w:div w:id="169110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633807">
      <w:bodyDiv w:val="1"/>
      <w:marLeft w:val="0"/>
      <w:marRight w:val="0"/>
      <w:marTop w:val="0"/>
      <w:marBottom w:val="0"/>
      <w:divBdr>
        <w:top w:val="none" w:sz="0" w:space="0" w:color="auto"/>
        <w:left w:val="none" w:sz="0" w:space="0" w:color="auto"/>
        <w:bottom w:val="none" w:sz="0" w:space="0" w:color="auto"/>
        <w:right w:val="none" w:sz="0" w:space="0" w:color="auto"/>
      </w:divBdr>
      <w:divsChild>
        <w:div w:id="715616622">
          <w:marLeft w:val="0"/>
          <w:marRight w:val="0"/>
          <w:marTop w:val="0"/>
          <w:marBottom w:val="0"/>
          <w:divBdr>
            <w:top w:val="none" w:sz="0" w:space="0" w:color="auto"/>
            <w:left w:val="none" w:sz="0" w:space="0" w:color="auto"/>
            <w:bottom w:val="none" w:sz="0" w:space="0" w:color="auto"/>
            <w:right w:val="none" w:sz="0" w:space="0" w:color="auto"/>
          </w:divBdr>
          <w:divsChild>
            <w:div w:id="1603802264">
              <w:marLeft w:val="0"/>
              <w:marRight w:val="0"/>
              <w:marTop w:val="0"/>
              <w:marBottom w:val="0"/>
              <w:divBdr>
                <w:top w:val="none" w:sz="0" w:space="0" w:color="auto"/>
                <w:left w:val="none" w:sz="0" w:space="0" w:color="auto"/>
                <w:bottom w:val="none" w:sz="0" w:space="0" w:color="auto"/>
                <w:right w:val="none" w:sz="0" w:space="0" w:color="auto"/>
              </w:divBdr>
              <w:divsChild>
                <w:div w:id="100023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158213">
      <w:bodyDiv w:val="1"/>
      <w:marLeft w:val="0"/>
      <w:marRight w:val="0"/>
      <w:marTop w:val="0"/>
      <w:marBottom w:val="0"/>
      <w:divBdr>
        <w:top w:val="none" w:sz="0" w:space="0" w:color="auto"/>
        <w:left w:val="none" w:sz="0" w:space="0" w:color="auto"/>
        <w:bottom w:val="none" w:sz="0" w:space="0" w:color="auto"/>
        <w:right w:val="none" w:sz="0" w:space="0" w:color="auto"/>
      </w:divBdr>
      <w:divsChild>
        <w:div w:id="41373305">
          <w:marLeft w:val="0"/>
          <w:marRight w:val="0"/>
          <w:marTop w:val="0"/>
          <w:marBottom w:val="0"/>
          <w:divBdr>
            <w:top w:val="none" w:sz="0" w:space="0" w:color="auto"/>
            <w:left w:val="none" w:sz="0" w:space="0" w:color="auto"/>
            <w:bottom w:val="none" w:sz="0" w:space="0" w:color="auto"/>
            <w:right w:val="none" w:sz="0" w:space="0" w:color="auto"/>
          </w:divBdr>
          <w:divsChild>
            <w:div w:id="438725496">
              <w:marLeft w:val="0"/>
              <w:marRight w:val="0"/>
              <w:marTop w:val="0"/>
              <w:marBottom w:val="0"/>
              <w:divBdr>
                <w:top w:val="none" w:sz="0" w:space="0" w:color="auto"/>
                <w:left w:val="none" w:sz="0" w:space="0" w:color="auto"/>
                <w:bottom w:val="none" w:sz="0" w:space="0" w:color="auto"/>
                <w:right w:val="none" w:sz="0" w:space="0" w:color="auto"/>
              </w:divBdr>
              <w:divsChild>
                <w:div w:id="177304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509690">
      <w:bodyDiv w:val="1"/>
      <w:marLeft w:val="0"/>
      <w:marRight w:val="0"/>
      <w:marTop w:val="0"/>
      <w:marBottom w:val="0"/>
      <w:divBdr>
        <w:top w:val="none" w:sz="0" w:space="0" w:color="auto"/>
        <w:left w:val="none" w:sz="0" w:space="0" w:color="auto"/>
        <w:bottom w:val="none" w:sz="0" w:space="0" w:color="auto"/>
        <w:right w:val="none" w:sz="0" w:space="0" w:color="auto"/>
      </w:divBdr>
      <w:divsChild>
        <w:div w:id="1450322127">
          <w:marLeft w:val="0"/>
          <w:marRight w:val="0"/>
          <w:marTop w:val="0"/>
          <w:marBottom w:val="0"/>
          <w:divBdr>
            <w:top w:val="none" w:sz="0" w:space="0" w:color="auto"/>
            <w:left w:val="none" w:sz="0" w:space="0" w:color="auto"/>
            <w:bottom w:val="none" w:sz="0" w:space="0" w:color="auto"/>
            <w:right w:val="none" w:sz="0" w:space="0" w:color="auto"/>
          </w:divBdr>
          <w:divsChild>
            <w:div w:id="928537732">
              <w:marLeft w:val="0"/>
              <w:marRight w:val="0"/>
              <w:marTop w:val="0"/>
              <w:marBottom w:val="0"/>
              <w:divBdr>
                <w:top w:val="none" w:sz="0" w:space="0" w:color="auto"/>
                <w:left w:val="none" w:sz="0" w:space="0" w:color="auto"/>
                <w:bottom w:val="none" w:sz="0" w:space="0" w:color="auto"/>
                <w:right w:val="none" w:sz="0" w:space="0" w:color="auto"/>
              </w:divBdr>
              <w:divsChild>
                <w:div w:id="15870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906922">
      <w:bodyDiv w:val="1"/>
      <w:marLeft w:val="0"/>
      <w:marRight w:val="0"/>
      <w:marTop w:val="0"/>
      <w:marBottom w:val="0"/>
      <w:divBdr>
        <w:top w:val="none" w:sz="0" w:space="0" w:color="auto"/>
        <w:left w:val="none" w:sz="0" w:space="0" w:color="auto"/>
        <w:bottom w:val="none" w:sz="0" w:space="0" w:color="auto"/>
        <w:right w:val="none" w:sz="0" w:space="0" w:color="auto"/>
      </w:divBdr>
      <w:divsChild>
        <w:div w:id="1822426490">
          <w:marLeft w:val="0"/>
          <w:marRight w:val="0"/>
          <w:marTop w:val="0"/>
          <w:marBottom w:val="0"/>
          <w:divBdr>
            <w:top w:val="none" w:sz="0" w:space="0" w:color="auto"/>
            <w:left w:val="none" w:sz="0" w:space="0" w:color="auto"/>
            <w:bottom w:val="none" w:sz="0" w:space="0" w:color="auto"/>
            <w:right w:val="none" w:sz="0" w:space="0" w:color="auto"/>
          </w:divBdr>
          <w:divsChild>
            <w:div w:id="728461219">
              <w:marLeft w:val="0"/>
              <w:marRight w:val="0"/>
              <w:marTop w:val="0"/>
              <w:marBottom w:val="0"/>
              <w:divBdr>
                <w:top w:val="none" w:sz="0" w:space="0" w:color="auto"/>
                <w:left w:val="none" w:sz="0" w:space="0" w:color="auto"/>
                <w:bottom w:val="none" w:sz="0" w:space="0" w:color="auto"/>
                <w:right w:val="none" w:sz="0" w:space="0" w:color="auto"/>
              </w:divBdr>
              <w:divsChild>
                <w:div w:id="204652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5220">
      <w:bodyDiv w:val="1"/>
      <w:marLeft w:val="0"/>
      <w:marRight w:val="0"/>
      <w:marTop w:val="0"/>
      <w:marBottom w:val="0"/>
      <w:divBdr>
        <w:top w:val="none" w:sz="0" w:space="0" w:color="auto"/>
        <w:left w:val="none" w:sz="0" w:space="0" w:color="auto"/>
        <w:bottom w:val="none" w:sz="0" w:space="0" w:color="auto"/>
        <w:right w:val="none" w:sz="0" w:space="0" w:color="auto"/>
      </w:divBdr>
      <w:divsChild>
        <w:div w:id="2116099372">
          <w:marLeft w:val="0"/>
          <w:marRight w:val="0"/>
          <w:marTop w:val="0"/>
          <w:marBottom w:val="0"/>
          <w:divBdr>
            <w:top w:val="none" w:sz="0" w:space="0" w:color="auto"/>
            <w:left w:val="none" w:sz="0" w:space="0" w:color="auto"/>
            <w:bottom w:val="none" w:sz="0" w:space="0" w:color="auto"/>
            <w:right w:val="none" w:sz="0" w:space="0" w:color="auto"/>
          </w:divBdr>
          <w:divsChild>
            <w:div w:id="2035886059">
              <w:marLeft w:val="0"/>
              <w:marRight w:val="0"/>
              <w:marTop w:val="0"/>
              <w:marBottom w:val="0"/>
              <w:divBdr>
                <w:top w:val="none" w:sz="0" w:space="0" w:color="auto"/>
                <w:left w:val="none" w:sz="0" w:space="0" w:color="auto"/>
                <w:bottom w:val="none" w:sz="0" w:space="0" w:color="auto"/>
                <w:right w:val="none" w:sz="0" w:space="0" w:color="auto"/>
              </w:divBdr>
              <w:divsChild>
                <w:div w:id="141558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761956">
      <w:bodyDiv w:val="1"/>
      <w:marLeft w:val="0"/>
      <w:marRight w:val="0"/>
      <w:marTop w:val="0"/>
      <w:marBottom w:val="0"/>
      <w:divBdr>
        <w:top w:val="none" w:sz="0" w:space="0" w:color="auto"/>
        <w:left w:val="none" w:sz="0" w:space="0" w:color="auto"/>
        <w:bottom w:val="none" w:sz="0" w:space="0" w:color="auto"/>
        <w:right w:val="none" w:sz="0" w:space="0" w:color="auto"/>
      </w:divBdr>
      <w:divsChild>
        <w:div w:id="171377562">
          <w:marLeft w:val="0"/>
          <w:marRight w:val="0"/>
          <w:marTop w:val="0"/>
          <w:marBottom w:val="0"/>
          <w:divBdr>
            <w:top w:val="none" w:sz="0" w:space="0" w:color="auto"/>
            <w:left w:val="none" w:sz="0" w:space="0" w:color="auto"/>
            <w:bottom w:val="none" w:sz="0" w:space="0" w:color="auto"/>
            <w:right w:val="none" w:sz="0" w:space="0" w:color="auto"/>
          </w:divBdr>
          <w:divsChild>
            <w:div w:id="39599392">
              <w:marLeft w:val="0"/>
              <w:marRight w:val="0"/>
              <w:marTop w:val="0"/>
              <w:marBottom w:val="0"/>
              <w:divBdr>
                <w:top w:val="none" w:sz="0" w:space="0" w:color="auto"/>
                <w:left w:val="none" w:sz="0" w:space="0" w:color="auto"/>
                <w:bottom w:val="none" w:sz="0" w:space="0" w:color="auto"/>
                <w:right w:val="none" w:sz="0" w:space="0" w:color="auto"/>
              </w:divBdr>
              <w:divsChild>
                <w:div w:id="55007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821929">
      <w:bodyDiv w:val="1"/>
      <w:marLeft w:val="0"/>
      <w:marRight w:val="0"/>
      <w:marTop w:val="0"/>
      <w:marBottom w:val="0"/>
      <w:divBdr>
        <w:top w:val="none" w:sz="0" w:space="0" w:color="auto"/>
        <w:left w:val="none" w:sz="0" w:space="0" w:color="auto"/>
        <w:bottom w:val="none" w:sz="0" w:space="0" w:color="auto"/>
        <w:right w:val="none" w:sz="0" w:space="0" w:color="auto"/>
      </w:divBdr>
      <w:divsChild>
        <w:div w:id="1270622712">
          <w:marLeft w:val="0"/>
          <w:marRight w:val="0"/>
          <w:marTop w:val="0"/>
          <w:marBottom w:val="0"/>
          <w:divBdr>
            <w:top w:val="none" w:sz="0" w:space="0" w:color="auto"/>
            <w:left w:val="none" w:sz="0" w:space="0" w:color="auto"/>
            <w:bottom w:val="none" w:sz="0" w:space="0" w:color="auto"/>
            <w:right w:val="none" w:sz="0" w:space="0" w:color="auto"/>
          </w:divBdr>
          <w:divsChild>
            <w:div w:id="173617204">
              <w:marLeft w:val="0"/>
              <w:marRight w:val="0"/>
              <w:marTop w:val="0"/>
              <w:marBottom w:val="0"/>
              <w:divBdr>
                <w:top w:val="none" w:sz="0" w:space="0" w:color="auto"/>
                <w:left w:val="none" w:sz="0" w:space="0" w:color="auto"/>
                <w:bottom w:val="none" w:sz="0" w:space="0" w:color="auto"/>
                <w:right w:val="none" w:sz="0" w:space="0" w:color="auto"/>
              </w:divBdr>
              <w:divsChild>
                <w:div w:id="100879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91421">
      <w:bodyDiv w:val="1"/>
      <w:marLeft w:val="0"/>
      <w:marRight w:val="0"/>
      <w:marTop w:val="0"/>
      <w:marBottom w:val="0"/>
      <w:divBdr>
        <w:top w:val="none" w:sz="0" w:space="0" w:color="auto"/>
        <w:left w:val="none" w:sz="0" w:space="0" w:color="auto"/>
        <w:bottom w:val="none" w:sz="0" w:space="0" w:color="auto"/>
        <w:right w:val="none" w:sz="0" w:space="0" w:color="auto"/>
      </w:divBdr>
      <w:divsChild>
        <w:div w:id="30543290">
          <w:marLeft w:val="0"/>
          <w:marRight w:val="0"/>
          <w:marTop w:val="0"/>
          <w:marBottom w:val="0"/>
          <w:divBdr>
            <w:top w:val="none" w:sz="0" w:space="0" w:color="auto"/>
            <w:left w:val="none" w:sz="0" w:space="0" w:color="auto"/>
            <w:bottom w:val="none" w:sz="0" w:space="0" w:color="auto"/>
            <w:right w:val="none" w:sz="0" w:space="0" w:color="auto"/>
          </w:divBdr>
          <w:divsChild>
            <w:div w:id="666786896">
              <w:marLeft w:val="0"/>
              <w:marRight w:val="0"/>
              <w:marTop w:val="0"/>
              <w:marBottom w:val="0"/>
              <w:divBdr>
                <w:top w:val="none" w:sz="0" w:space="0" w:color="auto"/>
                <w:left w:val="none" w:sz="0" w:space="0" w:color="auto"/>
                <w:bottom w:val="none" w:sz="0" w:space="0" w:color="auto"/>
                <w:right w:val="none" w:sz="0" w:space="0" w:color="auto"/>
              </w:divBdr>
              <w:divsChild>
                <w:div w:id="2067414305">
                  <w:marLeft w:val="0"/>
                  <w:marRight w:val="0"/>
                  <w:marTop w:val="0"/>
                  <w:marBottom w:val="0"/>
                  <w:divBdr>
                    <w:top w:val="none" w:sz="0" w:space="0" w:color="auto"/>
                    <w:left w:val="none" w:sz="0" w:space="0" w:color="auto"/>
                    <w:bottom w:val="none" w:sz="0" w:space="0" w:color="auto"/>
                    <w:right w:val="none" w:sz="0" w:space="0" w:color="auto"/>
                  </w:divBdr>
                  <w:divsChild>
                    <w:div w:id="149594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260506">
      <w:bodyDiv w:val="1"/>
      <w:marLeft w:val="0"/>
      <w:marRight w:val="0"/>
      <w:marTop w:val="0"/>
      <w:marBottom w:val="0"/>
      <w:divBdr>
        <w:top w:val="none" w:sz="0" w:space="0" w:color="auto"/>
        <w:left w:val="none" w:sz="0" w:space="0" w:color="auto"/>
        <w:bottom w:val="none" w:sz="0" w:space="0" w:color="auto"/>
        <w:right w:val="none" w:sz="0" w:space="0" w:color="auto"/>
      </w:divBdr>
      <w:divsChild>
        <w:div w:id="917905565">
          <w:marLeft w:val="0"/>
          <w:marRight w:val="0"/>
          <w:marTop w:val="0"/>
          <w:marBottom w:val="0"/>
          <w:divBdr>
            <w:top w:val="none" w:sz="0" w:space="0" w:color="auto"/>
            <w:left w:val="none" w:sz="0" w:space="0" w:color="auto"/>
            <w:bottom w:val="none" w:sz="0" w:space="0" w:color="auto"/>
            <w:right w:val="none" w:sz="0" w:space="0" w:color="auto"/>
          </w:divBdr>
          <w:divsChild>
            <w:div w:id="2069186670">
              <w:marLeft w:val="0"/>
              <w:marRight w:val="0"/>
              <w:marTop w:val="0"/>
              <w:marBottom w:val="0"/>
              <w:divBdr>
                <w:top w:val="none" w:sz="0" w:space="0" w:color="auto"/>
                <w:left w:val="none" w:sz="0" w:space="0" w:color="auto"/>
                <w:bottom w:val="none" w:sz="0" w:space="0" w:color="auto"/>
                <w:right w:val="none" w:sz="0" w:space="0" w:color="auto"/>
              </w:divBdr>
              <w:divsChild>
                <w:div w:id="64809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99067">
      <w:bodyDiv w:val="1"/>
      <w:marLeft w:val="0"/>
      <w:marRight w:val="0"/>
      <w:marTop w:val="0"/>
      <w:marBottom w:val="0"/>
      <w:divBdr>
        <w:top w:val="none" w:sz="0" w:space="0" w:color="auto"/>
        <w:left w:val="none" w:sz="0" w:space="0" w:color="auto"/>
        <w:bottom w:val="none" w:sz="0" w:space="0" w:color="auto"/>
        <w:right w:val="none" w:sz="0" w:space="0" w:color="auto"/>
      </w:divBdr>
      <w:divsChild>
        <w:div w:id="2034069096">
          <w:marLeft w:val="0"/>
          <w:marRight w:val="0"/>
          <w:marTop w:val="0"/>
          <w:marBottom w:val="0"/>
          <w:divBdr>
            <w:top w:val="none" w:sz="0" w:space="0" w:color="auto"/>
            <w:left w:val="none" w:sz="0" w:space="0" w:color="auto"/>
            <w:bottom w:val="none" w:sz="0" w:space="0" w:color="auto"/>
            <w:right w:val="none" w:sz="0" w:space="0" w:color="auto"/>
          </w:divBdr>
          <w:divsChild>
            <w:div w:id="1319072516">
              <w:marLeft w:val="0"/>
              <w:marRight w:val="0"/>
              <w:marTop w:val="0"/>
              <w:marBottom w:val="0"/>
              <w:divBdr>
                <w:top w:val="none" w:sz="0" w:space="0" w:color="auto"/>
                <w:left w:val="none" w:sz="0" w:space="0" w:color="auto"/>
                <w:bottom w:val="none" w:sz="0" w:space="0" w:color="auto"/>
                <w:right w:val="none" w:sz="0" w:space="0" w:color="auto"/>
              </w:divBdr>
              <w:divsChild>
                <w:div w:id="155427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390811">
      <w:bodyDiv w:val="1"/>
      <w:marLeft w:val="0"/>
      <w:marRight w:val="0"/>
      <w:marTop w:val="0"/>
      <w:marBottom w:val="0"/>
      <w:divBdr>
        <w:top w:val="none" w:sz="0" w:space="0" w:color="auto"/>
        <w:left w:val="none" w:sz="0" w:space="0" w:color="auto"/>
        <w:bottom w:val="none" w:sz="0" w:space="0" w:color="auto"/>
        <w:right w:val="none" w:sz="0" w:space="0" w:color="auto"/>
      </w:divBdr>
      <w:divsChild>
        <w:div w:id="706948394">
          <w:marLeft w:val="0"/>
          <w:marRight w:val="0"/>
          <w:marTop w:val="0"/>
          <w:marBottom w:val="0"/>
          <w:divBdr>
            <w:top w:val="none" w:sz="0" w:space="0" w:color="auto"/>
            <w:left w:val="none" w:sz="0" w:space="0" w:color="auto"/>
            <w:bottom w:val="none" w:sz="0" w:space="0" w:color="auto"/>
            <w:right w:val="none" w:sz="0" w:space="0" w:color="auto"/>
          </w:divBdr>
          <w:divsChild>
            <w:div w:id="402147497">
              <w:marLeft w:val="0"/>
              <w:marRight w:val="0"/>
              <w:marTop w:val="0"/>
              <w:marBottom w:val="0"/>
              <w:divBdr>
                <w:top w:val="none" w:sz="0" w:space="0" w:color="auto"/>
                <w:left w:val="none" w:sz="0" w:space="0" w:color="auto"/>
                <w:bottom w:val="none" w:sz="0" w:space="0" w:color="auto"/>
                <w:right w:val="none" w:sz="0" w:space="0" w:color="auto"/>
              </w:divBdr>
              <w:divsChild>
                <w:div w:id="1118720043">
                  <w:marLeft w:val="0"/>
                  <w:marRight w:val="0"/>
                  <w:marTop w:val="0"/>
                  <w:marBottom w:val="0"/>
                  <w:divBdr>
                    <w:top w:val="none" w:sz="0" w:space="0" w:color="auto"/>
                    <w:left w:val="none" w:sz="0" w:space="0" w:color="auto"/>
                    <w:bottom w:val="none" w:sz="0" w:space="0" w:color="auto"/>
                    <w:right w:val="none" w:sz="0" w:space="0" w:color="auto"/>
                  </w:divBdr>
                  <w:divsChild>
                    <w:div w:id="151592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432494">
      <w:bodyDiv w:val="1"/>
      <w:marLeft w:val="0"/>
      <w:marRight w:val="0"/>
      <w:marTop w:val="0"/>
      <w:marBottom w:val="0"/>
      <w:divBdr>
        <w:top w:val="none" w:sz="0" w:space="0" w:color="auto"/>
        <w:left w:val="none" w:sz="0" w:space="0" w:color="auto"/>
        <w:bottom w:val="none" w:sz="0" w:space="0" w:color="auto"/>
        <w:right w:val="none" w:sz="0" w:space="0" w:color="auto"/>
      </w:divBdr>
      <w:divsChild>
        <w:div w:id="615719255">
          <w:marLeft w:val="0"/>
          <w:marRight w:val="0"/>
          <w:marTop w:val="0"/>
          <w:marBottom w:val="0"/>
          <w:divBdr>
            <w:top w:val="none" w:sz="0" w:space="0" w:color="auto"/>
            <w:left w:val="none" w:sz="0" w:space="0" w:color="auto"/>
            <w:bottom w:val="none" w:sz="0" w:space="0" w:color="auto"/>
            <w:right w:val="none" w:sz="0" w:space="0" w:color="auto"/>
          </w:divBdr>
          <w:divsChild>
            <w:div w:id="744493995">
              <w:marLeft w:val="0"/>
              <w:marRight w:val="0"/>
              <w:marTop w:val="0"/>
              <w:marBottom w:val="0"/>
              <w:divBdr>
                <w:top w:val="none" w:sz="0" w:space="0" w:color="auto"/>
                <w:left w:val="none" w:sz="0" w:space="0" w:color="auto"/>
                <w:bottom w:val="none" w:sz="0" w:space="0" w:color="auto"/>
                <w:right w:val="none" w:sz="0" w:space="0" w:color="auto"/>
              </w:divBdr>
              <w:divsChild>
                <w:div w:id="203280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7902">
      <w:bodyDiv w:val="1"/>
      <w:marLeft w:val="0"/>
      <w:marRight w:val="0"/>
      <w:marTop w:val="0"/>
      <w:marBottom w:val="0"/>
      <w:divBdr>
        <w:top w:val="none" w:sz="0" w:space="0" w:color="auto"/>
        <w:left w:val="none" w:sz="0" w:space="0" w:color="auto"/>
        <w:bottom w:val="none" w:sz="0" w:space="0" w:color="auto"/>
        <w:right w:val="none" w:sz="0" w:space="0" w:color="auto"/>
      </w:divBdr>
      <w:divsChild>
        <w:div w:id="735666477">
          <w:marLeft w:val="0"/>
          <w:marRight w:val="0"/>
          <w:marTop w:val="0"/>
          <w:marBottom w:val="0"/>
          <w:divBdr>
            <w:top w:val="none" w:sz="0" w:space="0" w:color="auto"/>
            <w:left w:val="none" w:sz="0" w:space="0" w:color="auto"/>
            <w:bottom w:val="none" w:sz="0" w:space="0" w:color="auto"/>
            <w:right w:val="none" w:sz="0" w:space="0" w:color="auto"/>
          </w:divBdr>
          <w:divsChild>
            <w:div w:id="919172319">
              <w:marLeft w:val="0"/>
              <w:marRight w:val="0"/>
              <w:marTop w:val="0"/>
              <w:marBottom w:val="0"/>
              <w:divBdr>
                <w:top w:val="none" w:sz="0" w:space="0" w:color="auto"/>
                <w:left w:val="none" w:sz="0" w:space="0" w:color="auto"/>
                <w:bottom w:val="none" w:sz="0" w:space="0" w:color="auto"/>
                <w:right w:val="none" w:sz="0" w:space="0" w:color="auto"/>
              </w:divBdr>
              <w:divsChild>
                <w:div w:id="30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091979">
      <w:bodyDiv w:val="1"/>
      <w:marLeft w:val="0"/>
      <w:marRight w:val="0"/>
      <w:marTop w:val="0"/>
      <w:marBottom w:val="0"/>
      <w:divBdr>
        <w:top w:val="none" w:sz="0" w:space="0" w:color="auto"/>
        <w:left w:val="none" w:sz="0" w:space="0" w:color="auto"/>
        <w:bottom w:val="none" w:sz="0" w:space="0" w:color="auto"/>
        <w:right w:val="none" w:sz="0" w:space="0" w:color="auto"/>
      </w:divBdr>
      <w:divsChild>
        <w:div w:id="30349101">
          <w:marLeft w:val="0"/>
          <w:marRight w:val="0"/>
          <w:marTop w:val="0"/>
          <w:marBottom w:val="0"/>
          <w:divBdr>
            <w:top w:val="none" w:sz="0" w:space="0" w:color="auto"/>
            <w:left w:val="none" w:sz="0" w:space="0" w:color="auto"/>
            <w:bottom w:val="none" w:sz="0" w:space="0" w:color="auto"/>
            <w:right w:val="none" w:sz="0" w:space="0" w:color="auto"/>
          </w:divBdr>
          <w:divsChild>
            <w:div w:id="491145718">
              <w:marLeft w:val="0"/>
              <w:marRight w:val="0"/>
              <w:marTop w:val="0"/>
              <w:marBottom w:val="0"/>
              <w:divBdr>
                <w:top w:val="none" w:sz="0" w:space="0" w:color="auto"/>
                <w:left w:val="none" w:sz="0" w:space="0" w:color="auto"/>
                <w:bottom w:val="none" w:sz="0" w:space="0" w:color="auto"/>
                <w:right w:val="none" w:sz="0" w:space="0" w:color="auto"/>
              </w:divBdr>
              <w:divsChild>
                <w:div w:id="1693146323">
                  <w:marLeft w:val="0"/>
                  <w:marRight w:val="0"/>
                  <w:marTop w:val="0"/>
                  <w:marBottom w:val="0"/>
                  <w:divBdr>
                    <w:top w:val="none" w:sz="0" w:space="0" w:color="auto"/>
                    <w:left w:val="none" w:sz="0" w:space="0" w:color="auto"/>
                    <w:bottom w:val="none" w:sz="0" w:space="0" w:color="auto"/>
                    <w:right w:val="none" w:sz="0" w:space="0" w:color="auto"/>
                  </w:divBdr>
                  <w:divsChild>
                    <w:div w:id="6036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453636">
      <w:bodyDiv w:val="1"/>
      <w:marLeft w:val="0"/>
      <w:marRight w:val="0"/>
      <w:marTop w:val="0"/>
      <w:marBottom w:val="0"/>
      <w:divBdr>
        <w:top w:val="none" w:sz="0" w:space="0" w:color="auto"/>
        <w:left w:val="none" w:sz="0" w:space="0" w:color="auto"/>
        <w:bottom w:val="none" w:sz="0" w:space="0" w:color="auto"/>
        <w:right w:val="none" w:sz="0" w:space="0" w:color="auto"/>
      </w:divBdr>
      <w:divsChild>
        <w:div w:id="634677069">
          <w:marLeft w:val="0"/>
          <w:marRight w:val="0"/>
          <w:marTop w:val="0"/>
          <w:marBottom w:val="0"/>
          <w:divBdr>
            <w:top w:val="none" w:sz="0" w:space="0" w:color="auto"/>
            <w:left w:val="none" w:sz="0" w:space="0" w:color="auto"/>
            <w:bottom w:val="none" w:sz="0" w:space="0" w:color="auto"/>
            <w:right w:val="none" w:sz="0" w:space="0" w:color="auto"/>
          </w:divBdr>
          <w:divsChild>
            <w:div w:id="2053453879">
              <w:marLeft w:val="0"/>
              <w:marRight w:val="0"/>
              <w:marTop w:val="0"/>
              <w:marBottom w:val="0"/>
              <w:divBdr>
                <w:top w:val="none" w:sz="0" w:space="0" w:color="auto"/>
                <w:left w:val="none" w:sz="0" w:space="0" w:color="auto"/>
                <w:bottom w:val="none" w:sz="0" w:space="0" w:color="auto"/>
                <w:right w:val="none" w:sz="0" w:space="0" w:color="auto"/>
              </w:divBdr>
              <w:divsChild>
                <w:div w:id="79228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022384">
      <w:bodyDiv w:val="1"/>
      <w:marLeft w:val="0"/>
      <w:marRight w:val="0"/>
      <w:marTop w:val="0"/>
      <w:marBottom w:val="0"/>
      <w:divBdr>
        <w:top w:val="none" w:sz="0" w:space="0" w:color="auto"/>
        <w:left w:val="none" w:sz="0" w:space="0" w:color="auto"/>
        <w:bottom w:val="none" w:sz="0" w:space="0" w:color="auto"/>
        <w:right w:val="none" w:sz="0" w:space="0" w:color="auto"/>
      </w:divBdr>
      <w:divsChild>
        <w:div w:id="2100561178">
          <w:marLeft w:val="0"/>
          <w:marRight w:val="0"/>
          <w:marTop w:val="0"/>
          <w:marBottom w:val="0"/>
          <w:divBdr>
            <w:top w:val="none" w:sz="0" w:space="0" w:color="auto"/>
            <w:left w:val="none" w:sz="0" w:space="0" w:color="auto"/>
            <w:bottom w:val="none" w:sz="0" w:space="0" w:color="auto"/>
            <w:right w:val="none" w:sz="0" w:space="0" w:color="auto"/>
          </w:divBdr>
          <w:divsChild>
            <w:div w:id="1427381386">
              <w:marLeft w:val="0"/>
              <w:marRight w:val="0"/>
              <w:marTop w:val="0"/>
              <w:marBottom w:val="0"/>
              <w:divBdr>
                <w:top w:val="none" w:sz="0" w:space="0" w:color="auto"/>
                <w:left w:val="none" w:sz="0" w:space="0" w:color="auto"/>
                <w:bottom w:val="none" w:sz="0" w:space="0" w:color="auto"/>
                <w:right w:val="none" w:sz="0" w:space="0" w:color="auto"/>
              </w:divBdr>
              <w:divsChild>
                <w:div w:id="176425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305793">
      <w:bodyDiv w:val="1"/>
      <w:marLeft w:val="0"/>
      <w:marRight w:val="0"/>
      <w:marTop w:val="0"/>
      <w:marBottom w:val="0"/>
      <w:divBdr>
        <w:top w:val="none" w:sz="0" w:space="0" w:color="auto"/>
        <w:left w:val="none" w:sz="0" w:space="0" w:color="auto"/>
        <w:bottom w:val="none" w:sz="0" w:space="0" w:color="auto"/>
        <w:right w:val="none" w:sz="0" w:space="0" w:color="auto"/>
      </w:divBdr>
      <w:divsChild>
        <w:div w:id="587151035">
          <w:marLeft w:val="0"/>
          <w:marRight w:val="0"/>
          <w:marTop w:val="0"/>
          <w:marBottom w:val="0"/>
          <w:divBdr>
            <w:top w:val="none" w:sz="0" w:space="0" w:color="auto"/>
            <w:left w:val="none" w:sz="0" w:space="0" w:color="auto"/>
            <w:bottom w:val="none" w:sz="0" w:space="0" w:color="auto"/>
            <w:right w:val="none" w:sz="0" w:space="0" w:color="auto"/>
          </w:divBdr>
          <w:divsChild>
            <w:div w:id="1696273824">
              <w:marLeft w:val="0"/>
              <w:marRight w:val="0"/>
              <w:marTop w:val="0"/>
              <w:marBottom w:val="0"/>
              <w:divBdr>
                <w:top w:val="none" w:sz="0" w:space="0" w:color="auto"/>
                <w:left w:val="none" w:sz="0" w:space="0" w:color="auto"/>
                <w:bottom w:val="none" w:sz="0" w:space="0" w:color="auto"/>
                <w:right w:val="none" w:sz="0" w:space="0" w:color="auto"/>
              </w:divBdr>
              <w:divsChild>
                <w:div w:id="17813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567071">
      <w:bodyDiv w:val="1"/>
      <w:marLeft w:val="0"/>
      <w:marRight w:val="0"/>
      <w:marTop w:val="0"/>
      <w:marBottom w:val="0"/>
      <w:divBdr>
        <w:top w:val="none" w:sz="0" w:space="0" w:color="auto"/>
        <w:left w:val="none" w:sz="0" w:space="0" w:color="auto"/>
        <w:bottom w:val="none" w:sz="0" w:space="0" w:color="auto"/>
        <w:right w:val="none" w:sz="0" w:space="0" w:color="auto"/>
      </w:divBdr>
      <w:divsChild>
        <w:div w:id="307243816">
          <w:marLeft w:val="0"/>
          <w:marRight w:val="0"/>
          <w:marTop w:val="0"/>
          <w:marBottom w:val="0"/>
          <w:divBdr>
            <w:top w:val="none" w:sz="0" w:space="0" w:color="auto"/>
            <w:left w:val="none" w:sz="0" w:space="0" w:color="auto"/>
            <w:bottom w:val="none" w:sz="0" w:space="0" w:color="auto"/>
            <w:right w:val="none" w:sz="0" w:space="0" w:color="auto"/>
          </w:divBdr>
          <w:divsChild>
            <w:div w:id="2075077992">
              <w:marLeft w:val="0"/>
              <w:marRight w:val="0"/>
              <w:marTop w:val="0"/>
              <w:marBottom w:val="0"/>
              <w:divBdr>
                <w:top w:val="none" w:sz="0" w:space="0" w:color="auto"/>
                <w:left w:val="none" w:sz="0" w:space="0" w:color="auto"/>
                <w:bottom w:val="none" w:sz="0" w:space="0" w:color="auto"/>
                <w:right w:val="none" w:sz="0" w:space="0" w:color="auto"/>
              </w:divBdr>
              <w:divsChild>
                <w:div w:id="111864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00385">
      <w:bodyDiv w:val="1"/>
      <w:marLeft w:val="0"/>
      <w:marRight w:val="0"/>
      <w:marTop w:val="0"/>
      <w:marBottom w:val="0"/>
      <w:divBdr>
        <w:top w:val="none" w:sz="0" w:space="0" w:color="auto"/>
        <w:left w:val="none" w:sz="0" w:space="0" w:color="auto"/>
        <w:bottom w:val="none" w:sz="0" w:space="0" w:color="auto"/>
        <w:right w:val="none" w:sz="0" w:space="0" w:color="auto"/>
      </w:divBdr>
      <w:divsChild>
        <w:div w:id="387607851">
          <w:marLeft w:val="0"/>
          <w:marRight w:val="0"/>
          <w:marTop w:val="0"/>
          <w:marBottom w:val="0"/>
          <w:divBdr>
            <w:top w:val="none" w:sz="0" w:space="0" w:color="auto"/>
            <w:left w:val="none" w:sz="0" w:space="0" w:color="auto"/>
            <w:bottom w:val="none" w:sz="0" w:space="0" w:color="auto"/>
            <w:right w:val="none" w:sz="0" w:space="0" w:color="auto"/>
          </w:divBdr>
          <w:divsChild>
            <w:div w:id="455177572">
              <w:marLeft w:val="0"/>
              <w:marRight w:val="0"/>
              <w:marTop w:val="0"/>
              <w:marBottom w:val="0"/>
              <w:divBdr>
                <w:top w:val="none" w:sz="0" w:space="0" w:color="auto"/>
                <w:left w:val="none" w:sz="0" w:space="0" w:color="auto"/>
                <w:bottom w:val="none" w:sz="0" w:space="0" w:color="auto"/>
                <w:right w:val="none" w:sz="0" w:space="0" w:color="auto"/>
              </w:divBdr>
              <w:divsChild>
                <w:div w:id="4206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560092">
      <w:bodyDiv w:val="1"/>
      <w:marLeft w:val="0"/>
      <w:marRight w:val="0"/>
      <w:marTop w:val="0"/>
      <w:marBottom w:val="0"/>
      <w:divBdr>
        <w:top w:val="none" w:sz="0" w:space="0" w:color="auto"/>
        <w:left w:val="none" w:sz="0" w:space="0" w:color="auto"/>
        <w:bottom w:val="none" w:sz="0" w:space="0" w:color="auto"/>
        <w:right w:val="none" w:sz="0" w:space="0" w:color="auto"/>
      </w:divBdr>
      <w:divsChild>
        <w:div w:id="1815561155">
          <w:marLeft w:val="0"/>
          <w:marRight w:val="0"/>
          <w:marTop w:val="0"/>
          <w:marBottom w:val="0"/>
          <w:divBdr>
            <w:top w:val="none" w:sz="0" w:space="0" w:color="auto"/>
            <w:left w:val="none" w:sz="0" w:space="0" w:color="auto"/>
            <w:bottom w:val="none" w:sz="0" w:space="0" w:color="auto"/>
            <w:right w:val="none" w:sz="0" w:space="0" w:color="auto"/>
          </w:divBdr>
          <w:divsChild>
            <w:div w:id="1254707752">
              <w:marLeft w:val="0"/>
              <w:marRight w:val="0"/>
              <w:marTop w:val="0"/>
              <w:marBottom w:val="0"/>
              <w:divBdr>
                <w:top w:val="none" w:sz="0" w:space="0" w:color="auto"/>
                <w:left w:val="none" w:sz="0" w:space="0" w:color="auto"/>
                <w:bottom w:val="none" w:sz="0" w:space="0" w:color="auto"/>
                <w:right w:val="none" w:sz="0" w:space="0" w:color="auto"/>
              </w:divBdr>
              <w:divsChild>
                <w:div w:id="90487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982858">
      <w:bodyDiv w:val="1"/>
      <w:marLeft w:val="0"/>
      <w:marRight w:val="0"/>
      <w:marTop w:val="0"/>
      <w:marBottom w:val="0"/>
      <w:divBdr>
        <w:top w:val="none" w:sz="0" w:space="0" w:color="auto"/>
        <w:left w:val="none" w:sz="0" w:space="0" w:color="auto"/>
        <w:bottom w:val="none" w:sz="0" w:space="0" w:color="auto"/>
        <w:right w:val="none" w:sz="0" w:space="0" w:color="auto"/>
      </w:divBdr>
      <w:divsChild>
        <w:div w:id="1992128301">
          <w:marLeft w:val="0"/>
          <w:marRight w:val="0"/>
          <w:marTop w:val="0"/>
          <w:marBottom w:val="0"/>
          <w:divBdr>
            <w:top w:val="none" w:sz="0" w:space="0" w:color="auto"/>
            <w:left w:val="none" w:sz="0" w:space="0" w:color="auto"/>
            <w:bottom w:val="none" w:sz="0" w:space="0" w:color="auto"/>
            <w:right w:val="none" w:sz="0" w:space="0" w:color="auto"/>
          </w:divBdr>
          <w:divsChild>
            <w:div w:id="260339750">
              <w:marLeft w:val="0"/>
              <w:marRight w:val="0"/>
              <w:marTop w:val="0"/>
              <w:marBottom w:val="0"/>
              <w:divBdr>
                <w:top w:val="none" w:sz="0" w:space="0" w:color="auto"/>
                <w:left w:val="none" w:sz="0" w:space="0" w:color="auto"/>
                <w:bottom w:val="none" w:sz="0" w:space="0" w:color="auto"/>
                <w:right w:val="none" w:sz="0" w:space="0" w:color="auto"/>
              </w:divBdr>
              <w:divsChild>
                <w:div w:id="13265311">
                  <w:marLeft w:val="0"/>
                  <w:marRight w:val="0"/>
                  <w:marTop w:val="0"/>
                  <w:marBottom w:val="0"/>
                  <w:divBdr>
                    <w:top w:val="none" w:sz="0" w:space="0" w:color="auto"/>
                    <w:left w:val="none" w:sz="0" w:space="0" w:color="auto"/>
                    <w:bottom w:val="none" w:sz="0" w:space="0" w:color="auto"/>
                    <w:right w:val="none" w:sz="0" w:space="0" w:color="auto"/>
                  </w:divBdr>
                  <w:divsChild>
                    <w:div w:id="107820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536753">
      <w:bodyDiv w:val="1"/>
      <w:marLeft w:val="0"/>
      <w:marRight w:val="0"/>
      <w:marTop w:val="0"/>
      <w:marBottom w:val="0"/>
      <w:divBdr>
        <w:top w:val="none" w:sz="0" w:space="0" w:color="auto"/>
        <w:left w:val="none" w:sz="0" w:space="0" w:color="auto"/>
        <w:bottom w:val="none" w:sz="0" w:space="0" w:color="auto"/>
        <w:right w:val="none" w:sz="0" w:space="0" w:color="auto"/>
      </w:divBdr>
      <w:divsChild>
        <w:div w:id="1853568505">
          <w:marLeft w:val="0"/>
          <w:marRight w:val="0"/>
          <w:marTop w:val="0"/>
          <w:marBottom w:val="0"/>
          <w:divBdr>
            <w:top w:val="none" w:sz="0" w:space="0" w:color="auto"/>
            <w:left w:val="none" w:sz="0" w:space="0" w:color="auto"/>
            <w:bottom w:val="none" w:sz="0" w:space="0" w:color="auto"/>
            <w:right w:val="none" w:sz="0" w:space="0" w:color="auto"/>
          </w:divBdr>
          <w:divsChild>
            <w:div w:id="1748840217">
              <w:marLeft w:val="0"/>
              <w:marRight w:val="0"/>
              <w:marTop w:val="0"/>
              <w:marBottom w:val="0"/>
              <w:divBdr>
                <w:top w:val="none" w:sz="0" w:space="0" w:color="auto"/>
                <w:left w:val="none" w:sz="0" w:space="0" w:color="auto"/>
                <w:bottom w:val="none" w:sz="0" w:space="0" w:color="auto"/>
                <w:right w:val="none" w:sz="0" w:space="0" w:color="auto"/>
              </w:divBdr>
              <w:divsChild>
                <w:div w:id="888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08875">
      <w:bodyDiv w:val="1"/>
      <w:marLeft w:val="0"/>
      <w:marRight w:val="0"/>
      <w:marTop w:val="0"/>
      <w:marBottom w:val="0"/>
      <w:divBdr>
        <w:top w:val="none" w:sz="0" w:space="0" w:color="auto"/>
        <w:left w:val="none" w:sz="0" w:space="0" w:color="auto"/>
        <w:bottom w:val="none" w:sz="0" w:space="0" w:color="auto"/>
        <w:right w:val="none" w:sz="0" w:space="0" w:color="auto"/>
      </w:divBdr>
      <w:divsChild>
        <w:div w:id="1038894506">
          <w:marLeft w:val="0"/>
          <w:marRight w:val="0"/>
          <w:marTop w:val="0"/>
          <w:marBottom w:val="0"/>
          <w:divBdr>
            <w:top w:val="none" w:sz="0" w:space="0" w:color="auto"/>
            <w:left w:val="none" w:sz="0" w:space="0" w:color="auto"/>
            <w:bottom w:val="none" w:sz="0" w:space="0" w:color="auto"/>
            <w:right w:val="none" w:sz="0" w:space="0" w:color="auto"/>
          </w:divBdr>
          <w:divsChild>
            <w:div w:id="1523980922">
              <w:marLeft w:val="0"/>
              <w:marRight w:val="0"/>
              <w:marTop w:val="0"/>
              <w:marBottom w:val="0"/>
              <w:divBdr>
                <w:top w:val="none" w:sz="0" w:space="0" w:color="auto"/>
                <w:left w:val="none" w:sz="0" w:space="0" w:color="auto"/>
                <w:bottom w:val="none" w:sz="0" w:space="0" w:color="auto"/>
                <w:right w:val="none" w:sz="0" w:space="0" w:color="auto"/>
              </w:divBdr>
              <w:divsChild>
                <w:div w:id="59051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82245">
      <w:bodyDiv w:val="1"/>
      <w:marLeft w:val="0"/>
      <w:marRight w:val="0"/>
      <w:marTop w:val="0"/>
      <w:marBottom w:val="0"/>
      <w:divBdr>
        <w:top w:val="none" w:sz="0" w:space="0" w:color="auto"/>
        <w:left w:val="none" w:sz="0" w:space="0" w:color="auto"/>
        <w:bottom w:val="none" w:sz="0" w:space="0" w:color="auto"/>
        <w:right w:val="none" w:sz="0" w:space="0" w:color="auto"/>
      </w:divBdr>
      <w:divsChild>
        <w:div w:id="517350057">
          <w:marLeft w:val="0"/>
          <w:marRight w:val="0"/>
          <w:marTop w:val="0"/>
          <w:marBottom w:val="0"/>
          <w:divBdr>
            <w:top w:val="none" w:sz="0" w:space="0" w:color="auto"/>
            <w:left w:val="none" w:sz="0" w:space="0" w:color="auto"/>
            <w:bottom w:val="none" w:sz="0" w:space="0" w:color="auto"/>
            <w:right w:val="none" w:sz="0" w:space="0" w:color="auto"/>
          </w:divBdr>
          <w:divsChild>
            <w:div w:id="985161448">
              <w:marLeft w:val="0"/>
              <w:marRight w:val="0"/>
              <w:marTop w:val="0"/>
              <w:marBottom w:val="0"/>
              <w:divBdr>
                <w:top w:val="none" w:sz="0" w:space="0" w:color="auto"/>
                <w:left w:val="none" w:sz="0" w:space="0" w:color="auto"/>
                <w:bottom w:val="none" w:sz="0" w:space="0" w:color="auto"/>
                <w:right w:val="none" w:sz="0" w:space="0" w:color="auto"/>
              </w:divBdr>
              <w:divsChild>
                <w:div w:id="182284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751800">
      <w:bodyDiv w:val="1"/>
      <w:marLeft w:val="0"/>
      <w:marRight w:val="0"/>
      <w:marTop w:val="0"/>
      <w:marBottom w:val="0"/>
      <w:divBdr>
        <w:top w:val="none" w:sz="0" w:space="0" w:color="auto"/>
        <w:left w:val="none" w:sz="0" w:space="0" w:color="auto"/>
        <w:bottom w:val="none" w:sz="0" w:space="0" w:color="auto"/>
        <w:right w:val="none" w:sz="0" w:space="0" w:color="auto"/>
      </w:divBdr>
      <w:divsChild>
        <w:div w:id="1611815677">
          <w:marLeft w:val="0"/>
          <w:marRight w:val="0"/>
          <w:marTop w:val="0"/>
          <w:marBottom w:val="0"/>
          <w:divBdr>
            <w:top w:val="none" w:sz="0" w:space="0" w:color="auto"/>
            <w:left w:val="none" w:sz="0" w:space="0" w:color="auto"/>
            <w:bottom w:val="none" w:sz="0" w:space="0" w:color="auto"/>
            <w:right w:val="none" w:sz="0" w:space="0" w:color="auto"/>
          </w:divBdr>
          <w:divsChild>
            <w:div w:id="1317800643">
              <w:marLeft w:val="0"/>
              <w:marRight w:val="0"/>
              <w:marTop w:val="0"/>
              <w:marBottom w:val="0"/>
              <w:divBdr>
                <w:top w:val="none" w:sz="0" w:space="0" w:color="auto"/>
                <w:left w:val="none" w:sz="0" w:space="0" w:color="auto"/>
                <w:bottom w:val="none" w:sz="0" w:space="0" w:color="auto"/>
                <w:right w:val="none" w:sz="0" w:space="0" w:color="auto"/>
              </w:divBdr>
              <w:divsChild>
                <w:div w:id="142923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589122">
      <w:bodyDiv w:val="1"/>
      <w:marLeft w:val="0"/>
      <w:marRight w:val="0"/>
      <w:marTop w:val="0"/>
      <w:marBottom w:val="0"/>
      <w:divBdr>
        <w:top w:val="none" w:sz="0" w:space="0" w:color="auto"/>
        <w:left w:val="none" w:sz="0" w:space="0" w:color="auto"/>
        <w:bottom w:val="none" w:sz="0" w:space="0" w:color="auto"/>
        <w:right w:val="none" w:sz="0" w:space="0" w:color="auto"/>
      </w:divBdr>
      <w:divsChild>
        <w:div w:id="115755972">
          <w:marLeft w:val="0"/>
          <w:marRight w:val="0"/>
          <w:marTop w:val="0"/>
          <w:marBottom w:val="0"/>
          <w:divBdr>
            <w:top w:val="none" w:sz="0" w:space="0" w:color="auto"/>
            <w:left w:val="none" w:sz="0" w:space="0" w:color="auto"/>
            <w:bottom w:val="none" w:sz="0" w:space="0" w:color="auto"/>
            <w:right w:val="none" w:sz="0" w:space="0" w:color="auto"/>
          </w:divBdr>
          <w:divsChild>
            <w:div w:id="1654874456">
              <w:marLeft w:val="0"/>
              <w:marRight w:val="0"/>
              <w:marTop w:val="0"/>
              <w:marBottom w:val="0"/>
              <w:divBdr>
                <w:top w:val="none" w:sz="0" w:space="0" w:color="auto"/>
                <w:left w:val="none" w:sz="0" w:space="0" w:color="auto"/>
                <w:bottom w:val="none" w:sz="0" w:space="0" w:color="auto"/>
                <w:right w:val="none" w:sz="0" w:space="0" w:color="auto"/>
              </w:divBdr>
              <w:divsChild>
                <w:div w:id="17207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04100">
      <w:bodyDiv w:val="1"/>
      <w:marLeft w:val="0"/>
      <w:marRight w:val="0"/>
      <w:marTop w:val="0"/>
      <w:marBottom w:val="0"/>
      <w:divBdr>
        <w:top w:val="none" w:sz="0" w:space="0" w:color="auto"/>
        <w:left w:val="none" w:sz="0" w:space="0" w:color="auto"/>
        <w:bottom w:val="none" w:sz="0" w:space="0" w:color="auto"/>
        <w:right w:val="none" w:sz="0" w:space="0" w:color="auto"/>
      </w:divBdr>
      <w:divsChild>
        <w:div w:id="659774078">
          <w:marLeft w:val="0"/>
          <w:marRight w:val="0"/>
          <w:marTop w:val="0"/>
          <w:marBottom w:val="0"/>
          <w:divBdr>
            <w:top w:val="none" w:sz="0" w:space="0" w:color="auto"/>
            <w:left w:val="none" w:sz="0" w:space="0" w:color="auto"/>
            <w:bottom w:val="none" w:sz="0" w:space="0" w:color="auto"/>
            <w:right w:val="none" w:sz="0" w:space="0" w:color="auto"/>
          </w:divBdr>
          <w:divsChild>
            <w:div w:id="629675821">
              <w:marLeft w:val="0"/>
              <w:marRight w:val="0"/>
              <w:marTop w:val="0"/>
              <w:marBottom w:val="0"/>
              <w:divBdr>
                <w:top w:val="none" w:sz="0" w:space="0" w:color="auto"/>
                <w:left w:val="none" w:sz="0" w:space="0" w:color="auto"/>
                <w:bottom w:val="none" w:sz="0" w:space="0" w:color="auto"/>
                <w:right w:val="none" w:sz="0" w:space="0" w:color="auto"/>
              </w:divBdr>
              <w:divsChild>
                <w:div w:id="12351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433558">
      <w:bodyDiv w:val="1"/>
      <w:marLeft w:val="0"/>
      <w:marRight w:val="0"/>
      <w:marTop w:val="0"/>
      <w:marBottom w:val="0"/>
      <w:divBdr>
        <w:top w:val="none" w:sz="0" w:space="0" w:color="auto"/>
        <w:left w:val="none" w:sz="0" w:space="0" w:color="auto"/>
        <w:bottom w:val="none" w:sz="0" w:space="0" w:color="auto"/>
        <w:right w:val="none" w:sz="0" w:space="0" w:color="auto"/>
      </w:divBdr>
      <w:divsChild>
        <w:div w:id="1268345218">
          <w:marLeft w:val="0"/>
          <w:marRight w:val="0"/>
          <w:marTop w:val="0"/>
          <w:marBottom w:val="0"/>
          <w:divBdr>
            <w:top w:val="none" w:sz="0" w:space="0" w:color="auto"/>
            <w:left w:val="none" w:sz="0" w:space="0" w:color="auto"/>
            <w:bottom w:val="none" w:sz="0" w:space="0" w:color="auto"/>
            <w:right w:val="none" w:sz="0" w:space="0" w:color="auto"/>
          </w:divBdr>
          <w:divsChild>
            <w:div w:id="1850482242">
              <w:marLeft w:val="0"/>
              <w:marRight w:val="0"/>
              <w:marTop w:val="0"/>
              <w:marBottom w:val="0"/>
              <w:divBdr>
                <w:top w:val="none" w:sz="0" w:space="0" w:color="auto"/>
                <w:left w:val="none" w:sz="0" w:space="0" w:color="auto"/>
                <w:bottom w:val="none" w:sz="0" w:space="0" w:color="auto"/>
                <w:right w:val="none" w:sz="0" w:space="0" w:color="auto"/>
              </w:divBdr>
              <w:divsChild>
                <w:div w:id="23779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972385">
      <w:bodyDiv w:val="1"/>
      <w:marLeft w:val="0"/>
      <w:marRight w:val="0"/>
      <w:marTop w:val="0"/>
      <w:marBottom w:val="0"/>
      <w:divBdr>
        <w:top w:val="none" w:sz="0" w:space="0" w:color="auto"/>
        <w:left w:val="none" w:sz="0" w:space="0" w:color="auto"/>
        <w:bottom w:val="none" w:sz="0" w:space="0" w:color="auto"/>
        <w:right w:val="none" w:sz="0" w:space="0" w:color="auto"/>
      </w:divBdr>
      <w:divsChild>
        <w:div w:id="1127241185">
          <w:marLeft w:val="0"/>
          <w:marRight w:val="0"/>
          <w:marTop w:val="0"/>
          <w:marBottom w:val="0"/>
          <w:divBdr>
            <w:top w:val="none" w:sz="0" w:space="0" w:color="auto"/>
            <w:left w:val="none" w:sz="0" w:space="0" w:color="auto"/>
            <w:bottom w:val="none" w:sz="0" w:space="0" w:color="auto"/>
            <w:right w:val="none" w:sz="0" w:space="0" w:color="auto"/>
          </w:divBdr>
          <w:divsChild>
            <w:div w:id="1524904892">
              <w:marLeft w:val="0"/>
              <w:marRight w:val="0"/>
              <w:marTop w:val="0"/>
              <w:marBottom w:val="0"/>
              <w:divBdr>
                <w:top w:val="none" w:sz="0" w:space="0" w:color="auto"/>
                <w:left w:val="none" w:sz="0" w:space="0" w:color="auto"/>
                <w:bottom w:val="none" w:sz="0" w:space="0" w:color="auto"/>
                <w:right w:val="none" w:sz="0" w:space="0" w:color="auto"/>
              </w:divBdr>
              <w:divsChild>
                <w:div w:id="120706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705673">
      <w:bodyDiv w:val="1"/>
      <w:marLeft w:val="0"/>
      <w:marRight w:val="0"/>
      <w:marTop w:val="0"/>
      <w:marBottom w:val="0"/>
      <w:divBdr>
        <w:top w:val="none" w:sz="0" w:space="0" w:color="auto"/>
        <w:left w:val="none" w:sz="0" w:space="0" w:color="auto"/>
        <w:bottom w:val="none" w:sz="0" w:space="0" w:color="auto"/>
        <w:right w:val="none" w:sz="0" w:space="0" w:color="auto"/>
      </w:divBdr>
      <w:divsChild>
        <w:div w:id="1561479835">
          <w:marLeft w:val="0"/>
          <w:marRight w:val="0"/>
          <w:marTop w:val="0"/>
          <w:marBottom w:val="0"/>
          <w:divBdr>
            <w:top w:val="none" w:sz="0" w:space="0" w:color="auto"/>
            <w:left w:val="none" w:sz="0" w:space="0" w:color="auto"/>
            <w:bottom w:val="none" w:sz="0" w:space="0" w:color="auto"/>
            <w:right w:val="none" w:sz="0" w:space="0" w:color="auto"/>
          </w:divBdr>
          <w:divsChild>
            <w:div w:id="289019030">
              <w:marLeft w:val="0"/>
              <w:marRight w:val="0"/>
              <w:marTop w:val="0"/>
              <w:marBottom w:val="0"/>
              <w:divBdr>
                <w:top w:val="none" w:sz="0" w:space="0" w:color="auto"/>
                <w:left w:val="none" w:sz="0" w:space="0" w:color="auto"/>
                <w:bottom w:val="none" w:sz="0" w:space="0" w:color="auto"/>
                <w:right w:val="none" w:sz="0" w:space="0" w:color="auto"/>
              </w:divBdr>
              <w:divsChild>
                <w:div w:id="105226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11117">
      <w:bodyDiv w:val="1"/>
      <w:marLeft w:val="0"/>
      <w:marRight w:val="0"/>
      <w:marTop w:val="0"/>
      <w:marBottom w:val="0"/>
      <w:divBdr>
        <w:top w:val="none" w:sz="0" w:space="0" w:color="auto"/>
        <w:left w:val="none" w:sz="0" w:space="0" w:color="auto"/>
        <w:bottom w:val="none" w:sz="0" w:space="0" w:color="auto"/>
        <w:right w:val="none" w:sz="0" w:space="0" w:color="auto"/>
      </w:divBdr>
      <w:divsChild>
        <w:div w:id="1333988057">
          <w:marLeft w:val="0"/>
          <w:marRight w:val="0"/>
          <w:marTop w:val="0"/>
          <w:marBottom w:val="0"/>
          <w:divBdr>
            <w:top w:val="none" w:sz="0" w:space="0" w:color="auto"/>
            <w:left w:val="none" w:sz="0" w:space="0" w:color="auto"/>
            <w:bottom w:val="none" w:sz="0" w:space="0" w:color="auto"/>
            <w:right w:val="none" w:sz="0" w:space="0" w:color="auto"/>
          </w:divBdr>
          <w:divsChild>
            <w:div w:id="1281762739">
              <w:marLeft w:val="0"/>
              <w:marRight w:val="0"/>
              <w:marTop w:val="0"/>
              <w:marBottom w:val="0"/>
              <w:divBdr>
                <w:top w:val="none" w:sz="0" w:space="0" w:color="auto"/>
                <w:left w:val="none" w:sz="0" w:space="0" w:color="auto"/>
                <w:bottom w:val="none" w:sz="0" w:space="0" w:color="auto"/>
                <w:right w:val="none" w:sz="0" w:space="0" w:color="auto"/>
              </w:divBdr>
              <w:divsChild>
                <w:div w:id="196341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637086">
      <w:bodyDiv w:val="1"/>
      <w:marLeft w:val="0"/>
      <w:marRight w:val="0"/>
      <w:marTop w:val="0"/>
      <w:marBottom w:val="0"/>
      <w:divBdr>
        <w:top w:val="none" w:sz="0" w:space="0" w:color="auto"/>
        <w:left w:val="none" w:sz="0" w:space="0" w:color="auto"/>
        <w:bottom w:val="none" w:sz="0" w:space="0" w:color="auto"/>
        <w:right w:val="none" w:sz="0" w:space="0" w:color="auto"/>
      </w:divBdr>
      <w:divsChild>
        <w:div w:id="909271272">
          <w:marLeft w:val="0"/>
          <w:marRight w:val="0"/>
          <w:marTop w:val="0"/>
          <w:marBottom w:val="0"/>
          <w:divBdr>
            <w:top w:val="none" w:sz="0" w:space="0" w:color="auto"/>
            <w:left w:val="none" w:sz="0" w:space="0" w:color="auto"/>
            <w:bottom w:val="none" w:sz="0" w:space="0" w:color="auto"/>
            <w:right w:val="none" w:sz="0" w:space="0" w:color="auto"/>
          </w:divBdr>
          <w:divsChild>
            <w:div w:id="803695224">
              <w:marLeft w:val="0"/>
              <w:marRight w:val="0"/>
              <w:marTop w:val="0"/>
              <w:marBottom w:val="0"/>
              <w:divBdr>
                <w:top w:val="none" w:sz="0" w:space="0" w:color="auto"/>
                <w:left w:val="none" w:sz="0" w:space="0" w:color="auto"/>
                <w:bottom w:val="none" w:sz="0" w:space="0" w:color="auto"/>
                <w:right w:val="none" w:sz="0" w:space="0" w:color="auto"/>
              </w:divBdr>
              <w:divsChild>
                <w:div w:id="208872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357956">
      <w:bodyDiv w:val="1"/>
      <w:marLeft w:val="0"/>
      <w:marRight w:val="0"/>
      <w:marTop w:val="0"/>
      <w:marBottom w:val="0"/>
      <w:divBdr>
        <w:top w:val="none" w:sz="0" w:space="0" w:color="auto"/>
        <w:left w:val="none" w:sz="0" w:space="0" w:color="auto"/>
        <w:bottom w:val="none" w:sz="0" w:space="0" w:color="auto"/>
        <w:right w:val="none" w:sz="0" w:space="0" w:color="auto"/>
      </w:divBdr>
      <w:divsChild>
        <w:div w:id="991372599">
          <w:marLeft w:val="0"/>
          <w:marRight w:val="0"/>
          <w:marTop w:val="0"/>
          <w:marBottom w:val="0"/>
          <w:divBdr>
            <w:top w:val="none" w:sz="0" w:space="0" w:color="auto"/>
            <w:left w:val="none" w:sz="0" w:space="0" w:color="auto"/>
            <w:bottom w:val="none" w:sz="0" w:space="0" w:color="auto"/>
            <w:right w:val="none" w:sz="0" w:space="0" w:color="auto"/>
          </w:divBdr>
          <w:divsChild>
            <w:div w:id="466046312">
              <w:marLeft w:val="0"/>
              <w:marRight w:val="0"/>
              <w:marTop w:val="0"/>
              <w:marBottom w:val="0"/>
              <w:divBdr>
                <w:top w:val="none" w:sz="0" w:space="0" w:color="auto"/>
                <w:left w:val="none" w:sz="0" w:space="0" w:color="auto"/>
                <w:bottom w:val="none" w:sz="0" w:space="0" w:color="auto"/>
                <w:right w:val="none" w:sz="0" w:space="0" w:color="auto"/>
              </w:divBdr>
              <w:divsChild>
                <w:div w:id="207979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359769">
      <w:bodyDiv w:val="1"/>
      <w:marLeft w:val="0"/>
      <w:marRight w:val="0"/>
      <w:marTop w:val="0"/>
      <w:marBottom w:val="0"/>
      <w:divBdr>
        <w:top w:val="none" w:sz="0" w:space="0" w:color="auto"/>
        <w:left w:val="none" w:sz="0" w:space="0" w:color="auto"/>
        <w:bottom w:val="none" w:sz="0" w:space="0" w:color="auto"/>
        <w:right w:val="none" w:sz="0" w:space="0" w:color="auto"/>
      </w:divBdr>
      <w:divsChild>
        <w:div w:id="1351952919">
          <w:marLeft w:val="0"/>
          <w:marRight w:val="0"/>
          <w:marTop w:val="0"/>
          <w:marBottom w:val="0"/>
          <w:divBdr>
            <w:top w:val="none" w:sz="0" w:space="0" w:color="auto"/>
            <w:left w:val="none" w:sz="0" w:space="0" w:color="auto"/>
            <w:bottom w:val="none" w:sz="0" w:space="0" w:color="auto"/>
            <w:right w:val="none" w:sz="0" w:space="0" w:color="auto"/>
          </w:divBdr>
          <w:divsChild>
            <w:div w:id="554702932">
              <w:marLeft w:val="0"/>
              <w:marRight w:val="0"/>
              <w:marTop w:val="0"/>
              <w:marBottom w:val="0"/>
              <w:divBdr>
                <w:top w:val="none" w:sz="0" w:space="0" w:color="auto"/>
                <w:left w:val="none" w:sz="0" w:space="0" w:color="auto"/>
                <w:bottom w:val="none" w:sz="0" w:space="0" w:color="auto"/>
                <w:right w:val="none" w:sz="0" w:space="0" w:color="auto"/>
              </w:divBdr>
              <w:divsChild>
                <w:div w:id="2011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163692">
      <w:bodyDiv w:val="1"/>
      <w:marLeft w:val="0"/>
      <w:marRight w:val="0"/>
      <w:marTop w:val="0"/>
      <w:marBottom w:val="0"/>
      <w:divBdr>
        <w:top w:val="none" w:sz="0" w:space="0" w:color="auto"/>
        <w:left w:val="none" w:sz="0" w:space="0" w:color="auto"/>
        <w:bottom w:val="none" w:sz="0" w:space="0" w:color="auto"/>
        <w:right w:val="none" w:sz="0" w:space="0" w:color="auto"/>
      </w:divBdr>
      <w:divsChild>
        <w:div w:id="1307588690">
          <w:marLeft w:val="0"/>
          <w:marRight w:val="0"/>
          <w:marTop w:val="0"/>
          <w:marBottom w:val="0"/>
          <w:divBdr>
            <w:top w:val="none" w:sz="0" w:space="0" w:color="auto"/>
            <w:left w:val="none" w:sz="0" w:space="0" w:color="auto"/>
            <w:bottom w:val="none" w:sz="0" w:space="0" w:color="auto"/>
            <w:right w:val="none" w:sz="0" w:space="0" w:color="auto"/>
          </w:divBdr>
          <w:divsChild>
            <w:div w:id="1930650640">
              <w:marLeft w:val="0"/>
              <w:marRight w:val="0"/>
              <w:marTop w:val="0"/>
              <w:marBottom w:val="0"/>
              <w:divBdr>
                <w:top w:val="none" w:sz="0" w:space="0" w:color="auto"/>
                <w:left w:val="none" w:sz="0" w:space="0" w:color="auto"/>
                <w:bottom w:val="none" w:sz="0" w:space="0" w:color="auto"/>
                <w:right w:val="none" w:sz="0" w:space="0" w:color="auto"/>
              </w:divBdr>
              <w:divsChild>
                <w:div w:id="143820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016925">
      <w:bodyDiv w:val="1"/>
      <w:marLeft w:val="0"/>
      <w:marRight w:val="0"/>
      <w:marTop w:val="0"/>
      <w:marBottom w:val="0"/>
      <w:divBdr>
        <w:top w:val="none" w:sz="0" w:space="0" w:color="auto"/>
        <w:left w:val="none" w:sz="0" w:space="0" w:color="auto"/>
        <w:bottom w:val="none" w:sz="0" w:space="0" w:color="auto"/>
        <w:right w:val="none" w:sz="0" w:space="0" w:color="auto"/>
      </w:divBdr>
      <w:divsChild>
        <w:div w:id="1875536325">
          <w:marLeft w:val="0"/>
          <w:marRight w:val="0"/>
          <w:marTop w:val="0"/>
          <w:marBottom w:val="0"/>
          <w:divBdr>
            <w:top w:val="none" w:sz="0" w:space="0" w:color="auto"/>
            <w:left w:val="none" w:sz="0" w:space="0" w:color="auto"/>
            <w:bottom w:val="none" w:sz="0" w:space="0" w:color="auto"/>
            <w:right w:val="none" w:sz="0" w:space="0" w:color="auto"/>
          </w:divBdr>
          <w:divsChild>
            <w:div w:id="197395272">
              <w:marLeft w:val="0"/>
              <w:marRight w:val="0"/>
              <w:marTop w:val="0"/>
              <w:marBottom w:val="0"/>
              <w:divBdr>
                <w:top w:val="none" w:sz="0" w:space="0" w:color="auto"/>
                <w:left w:val="none" w:sz="0" w:space="0" w:color="auto"/>
                <w:bottom w:val="none" w:sz="0" w:space="0" w:color="auto"/>
                <w:right w:val="none" w:sz="0" w:space="0" w:color="auto"/>
              </w:divBdr>
              <w:divsChild>
                <w:div w:id="947397138">
                  <w:marLeft w:val="0"/>
                  <w:marRight w:val="0"/>
                  <w:marTop w:val="0"/>
                  <w:marBottom w:val="0"/>
                  <w:divBdr>
                    <w:top w:val="none" w:sz="0" w:space="0" w:color="auto"/>
                    <w:left w:val="none" w:sz="0" w:space="0" w:color="auto"/>
                    <w:bottom w:val="none" w:sz="0" w:space="0" w:color="auto"/>
                    <w:right w:val="none" w:sz="0" w:space="0" w:color="auto"/>
                  </w:divBdr>
                  <w:divsChild>
                    <w:div w:id="182990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226660">
      <w:bodyDiv w:val="1"/>
      <w:marLeft w:val="0"/>
      <w:marRight w:val="0"/>
      <w:marTop w:val="0"/>
      <w:marBottom w:val="0"/>
      <w:divBdr>
        <w:top w:val="none" w:sz="0" w:space="0" w:color="auto"/>
        <w:left w:val="none" w:sz="0" w:space="0" w:color="auto"/>
        <w:bottom w:val="none" w:sz="0" w:space="0" w:color="auto"/>
        <w:right w:val="none" w:sz="0" w:space="0" w:color="auto"/>
      </w:divBdr>
      <w:divsChild>
        <w:div w:id="2142184282">
          <w:marLeft w:val="0"/>
          <w:marRight w:val="0"/>
          <w:marTop w:val="0"/>
          <w:marBottom w:val="0"/>
          <w:divBdr>
            <w:top w:val="none" w:sz="0" w:space="0" w:color="auto"/>
            <w:left w:val="none" w:sz="0" w:space="0" w:color="auto"/>
            <w:bottom w:val="none" w:sz="0" w:space="0" w:color="auto"/>
            <w:right w:val="none" w:sz="0" w:space="0" w:color="auto"/>
          </w:divBdr>
          <w:divsChild>
            <w:div w:id="1282570121">
              <w:marLeft w:val="0"/>
              <w:marRight w:val="0"/>
              <w:marTop w:val="0"/>
              <w:marBottom w:val="0"/>
              <w:divBdr>
                <w:top w:val="none" w:sz="0" w:space="0" w:color="auto"/>
                <w:left w:val="none" w:sz="0" w:space="0" w:color="auto"/>
                <w:bottom w:val="none" w:sz="0" w:space="0" w:color="auto"/>
                <w:right w:val="none" w:sz="0" w:space="0" w:color="auto"/>
              </w:divBdr>
              <w:divsChild>
                <w:div w:id="155493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10964">
      <w:bodyDiv w:val="1"/>
      <w:marLeft w:val="0"/>
      <w:marRight w:val="0"/>
      <w:marTop w:val="0"/>
      <w:marBottom w:val="0"/>
      <w:divBdr>
        <w:top w:val="none" w:sz="0" w:space="0" w:color="auto"/>
        <w:left w:val="none" w:sz="0" w:space="0" w:color="auto"/>
        <w:bottom w:val="none" w:sz="0" w:space="0" w:color="auto"/>
        <w:right w:val="none" w:sz="0" w:space="0" w:color="auto"/>
      </w:divBdr>
      <w:divsChild>
        <w:div w:id="1926912458">
          <w:marLeft w:val="0"/>
          <w:marRight w:val="0"/>
          <w:marTop w:val="0"/>
          <w:marBottom w:val="0"/>
          <w:divBdr>
            <w:top w:val="none" w:sz="0" w:space="0" w:color="auto"/>
            <w:left w:val="none" w:sz="0" w:space="0" w:color="auto"/>
            <w:bottom w:val="none" w:sz="0" w:space="0" w:color="auto"/>
            <w:right w:val="none" w:sz="0" w:space="0" w:color="auto"/>
          </w:divBdr>
          <w:divsChild>
            <w:div w:id="470944051">
              <w:marLeft w:val="0"/>
              <w:marRight w:val="0"/>
              <w:marTop w:val="0"/>
              <w:marBottom w:val="0"/>
              <w:divBdr>
                <w:top w:val="none" w:sz="0" w:space="0" w:color="auto"/>
                <w:left w:val="none" w:sz="0" w:space="0" w:color="auto"/>
                <w:bottom w:val="none" w:sz="0" w:space="0" w:color="auto"/>
                <w:right w:val="none" w:sz="0" w:space="0" w:color="auto"/>
              </w:divBdr>
              <w:divsChild>
                <w:div w:id="156267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889234">
      <w:bodyDiv w:val="1"/>
      <w:marLeft w:val="0"/>
      <w:marRight w:val="0"/>
      <w:marTop w:val="0"/>
      <w:marBottom w:val="0"/>
      <w:divBdr>
        <w:top w:val="none" w:sz="0" w:space="0" w:color="auto"/>
        <w:left w:val="none" w:sz="0" w:space="0" w:color="auto"/>
        <w:bottom w:val="none" w:sz="0" w:space="0" w:color="auto"/>
        <w:right w:val="none" w:sz="0" w:space="0" w:color="auto"/>
      </w:divBdr>
      <w:divsChild>
        <w:div w:id="479612799">
          <w:marLeft w:val="0"/>
          <w:marRight w:val="0"/>
          <w:marTop w:val="0"/>
          <w:marBottom w:val="0"/>
          <w:divBdr>
            <w:top w:val="none" w:sz="0" w:space="0" w:color="auto"/>
            <w:left w:val="none" w:sz="0" w:space="0" w:color="auto"/>
            <w:bottom w:val="none" w:sz="0" w:space="0" w:color="auto"/>
            <w:right w:val="none" w:sz="0" w:space="0" w:color="auto"/>
          </w:divBdr>
          <w:divsChild>
            <w:div w:id="1363482152">
              <w:marLeft w:val="0"/>
              <w:marRight w:val="0"/>
              <w:marTop w:val="0"/>
              <w:marBottom w:val="0"/>
              <w:divBdr>
                <w:top w:val="none" w:sz="0" w:space="0" w:color="auto"/>
                <w:left w:val="none" w:sz="0" w:space="0" w:color="auto"/>
                <w:bottom w:val="none" w:sz="0" w:space="0" w:color="auto"/>
                <w:right w:val="none" w:sz="0" w:space="0" w:color="auto"/>
              </w:divBdr>
              <w:divsChild>
                <w:div w:id="155165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715915">
      <w:bodyDiv w:val="1"/>
      <w:marLeft w:val="0"/>
      <w:marRight w:val="0"/>
      <w:marTop w:val="0"/>
      <w:marBottom w:val="0"/>
      <w:divBdr>
        <w:top w:val="none" w:sz="0" w:space="0" w:color="auto"/>
        <w:left w:val="none" w:sz="0" w:space="0" w:color="auto"/>
        <w:bottom w:val="none" w:sz="0" w:space="0" w:color="auto"/>
        <w:right w:val="none" w:sz="0" w:space="0" w:color="auto"/>
      </w:divBdr>
      <w:divsChild>
        <w:div w:id="2048293608">
          <w:marLeft w:val="0"/>
          <w:marRight w:val="0"/>
          <w:marTop w:val="0"/>
          <w:marBottom w:val="0"/>
          <w:divBdr>
            <w:top w:val="none" w:sz="0" w:space="0" w:color="auto"/>
            <w:left w:val="none" w:sz="0" w:space="0" w:color="auto"/>
            <w:bottom w:val="none" w:sz="0" w:space="0" w:color="auto"/>
            <w:right w:val="none" w:sz="0" w:space="0" w:color="auto"/>
          </w:divBdr>
          <w:divsChild>
            <w:div w:id="1675036612">
              <w:marLeft w:val="0"/>
              <w:marRight w:val="0"/>
              <w:marTop w:val="0"/>
              <w:marBottom w:val="0"/>
              <w:divBdr>
                <w:top w:val="none" w:sz="0" w:space="0" w:color="auto"/>
                <w:left w:val="none" w:sz="0" w:space="0" w:color="auto"/>
                <w:bottom w:val="none" w:sz="0" w:space="0" w:color="auto"/>
                <w:right w:val="none" w:sz="0" w:space="0" w:color="auto"/>
              </w:divBdr>
              <w:divsChild>
                <w:div w:id="47634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535667">
      <w:bodyDiv w:val="1"/>
      <w:marLeft w:val="0"/>
      <w:marRight w:val="0"/>
      <w:marTop w:val="0"/>
      <w:marBottom w:val="0"/>
      <w:divBdr>
        <w:top w:val="none" w:sz="0" w:space="0" w:color="auto"/>
        <w:left w:val="none" w:sz="0" w:space="0" w:color="auto"/>
        <w:bottom w:val="none" w:sz="0" w:space="0" w:color="auto"/>
        <w:right w:val="none" w:sz="0" w:space="0" w:color="auto"/>
      </w:divBdr>
      <w:divsChild>
        <w:div w:id="1361517275">
          <w:marLeft w:val="0"/>
          <w:marRight w:val="0"/>
          <w:marTop w:val="0"/>
          <w:marBottom w:val="0"/>
          <w:divBdr>
            <w:top w:val="none" w:sz="0" w:space="0" w:color="auto"/>
            <w:left w:val="none" w:sz="0" w:space="0" w:color="auto"/>
            <w:bottom w:val="none" w:sz="0" w:space="0" w:color="auto"/>
            <w:right w:val="none" w:sz="0" w:space="0" w:color="auto"/>
          </w:divBdr>
          <w:divsChild>
            <w:div w:id="405080026">
              <w:marLeft w:val="0"/>
              <w:marRight w:val="0"/>
              <w:marTop w:val="0"/>
              <w:marBottom w:val="0"/>
              <w:divBdr>
                <w:top w:val="none" w:sz="0" w:space="0" w:color="auto"/>
                <w:left w:val="none" w:sz="0" w:space="0" w:color="auto"/>
                <w:bottom w:val="none" w:sz="0" w:space="0" w:color="auto"/>
                <w:right w:val="none" w:sz="0" w:space="0" w:color="auto"/>
              </w:divBdr>
              <w:divsChild>
                <w:div w:id="81776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494037">
      <w:bodyDiv w:val="1"/>
      <w:marLeft w:val="0"/>
      <w:marRight w:val="0"/>
      <w:marTop w:val="0"/>
      <w:marBottom w:val="0"/>
      <w:divBdr>
        <w:top w:val="none" w:sz="0" w:space="0" w:color="auto"/>
        <w:left w:val="none" w:sz="0" w:space="0" w:color="auto"/>
        <w:bottom w:val="none" w:sz="0" w:space="0" w:color="auto"/>
        <w:right w:val="none" w:sz="0" w:space="0" w:color="auto"/>
      </w:divBdr>
      <w:divsChild>
        <w:div w:id="1772773021">
          <w:marLeft w:val="0"/>
          <w:marRight w:val="0"/>
          <w:marTop w:val="0"/>
          <w:marBottom w:val="0"/>
          <w:divBdr>
            <w:top w:val="none" w:sz="0" w:space="0" w:color="auto"/>
            <w:left w:val="none" w:sz="0" w:space="0" w:color="auto"/>
            <w:bottom w:val="none" w:sz="0" w:space="0" w:color="auto"/>
            <w:right w:val="none" w:sz="0" w:space="0" w:color="auto"/>
          </w:divBdr>
          <w:divsChild>
            <w:div w:id="1422874539">
              <w:marLeft w:val="0"/>
              <w:marRight w:val="0"/>
              <w:marTop w:val="0"/>
              <w:marBottom w:val="0"/>
              <w:divBdr>
                <w:top w:val="none" w:sz="0" w:space="0" w:color="auto"/>
                <w:left w:val="none" w:sz="0" w:space="0" w:color="auto"/>
                <w:bottom w:val="none" w:sz="0" w:space="0" w:color="auto"/>
                <w:right w:val="none" w:sz="0" w:space="0" w:color="auto"/>
              </w:divBdr>
              <w:divsChild>
                <w:div w:id="180076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619881">
      <w:bodyDiv w:val="1"/>
      <w:marLeft w:val="0"/>
      <w:marRight w:val="0"/>
      <w:marTop w:val="0"/>
      <w:marBottom w:val="0"/>
      <w:divBdr>
        <w:top w:val="none" w:sz="0" w:space="0" w:color="auto"/>
        <w:left w:val="none" w:sz="0" w:space="0" w:color="auto"/>
        <w:bottom w:val="none" w:sz="0" w:space="0" w:color="auto"/>
        <w:right w:val="none" w:sz="0" w:space="0" w:color="auto"/>
      </w:divBdr>
      <w:divsChild>
        <w:div w:id="1888684402">
          <w:marLeft w:val="0"/>
          <w:marRight w:val="0"/>
          <w:marTop w:val="0"/>
          <w:marBottom w:val="0"/>
          <w:divBdr>
            <w:top w:val="none" w:sz="0" w:space="0" w:color="auto"/>
            <w:left w:val="none" w:sz="0" w:space="0" w:color="auto"/>
            <w:bottom w:val="none" w:sz="0" w:space="0" w:color="auto"/>
            <w:right w:val="none" w:sz="0" w:space="0" w:color="auto"/>
          </w:divBdr>
          <w:divsChild>
            <w:div w:id="2089375096">
              <w:marLeft w:val="0"/>
              <w:marRight w:val="0"/>
              <w:marTop w:val="0"/>
              <w:marBottom w:val="0"/>
              <w:divBdr>
                <w:top w:val="none" w:sz="0" w:space="0" w:color="auto"/>
                <w:left w:val="none" w:sz="0" w:space="0" w:color="auto"/>
                <w:bottom w:val="none" w:sz="0" w:space="0" w:color="auto"/>
                <w:right w:val="none" w:sz="0" w:space="0" w:color="auto"/>
              </w:divBdr>
              <w:divsChild>
                <w:div w:id="92969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05212">
      <w:bodyDiv w:val="1"/>
      <w:marLeft w:val="0"/>
      <w:marRight w:val="0"/>
      <w:marTop w:val="0"/>
      <w:marBottom w:val="0"/>
      <w:divBdr>
        <w:top w:val="none" w:sz="0" w:space="0" w:color="auto"/>
        <w:left w:val="none" w:sz="0" w:space="0" w:color="auto"/>
        <w:bottom w:val="none" w:sz="0" w:space="0" w:color="auto"/>
        <w:right w:val="none" w:sz="0" w:space="0" w:color="auto"/>
      </w:divBdr>
      <w:divsChild>
        <w:div w:id="1336953643">
          <w:marLeft w:val="0"/>
          <w:marRight w:val="0"/>
          <w:marTop w:val="0"/>
          <w:marBottom w:val="0"/>
          <w:divBdr>
            <w:top w:val="none" w:sz="0" w:space="0" w:color="auto"/>
            <w:left w:val="none" w:sz="0" w:space="0" w:color="auto"/>
            <w:bottom w:val="none" w:sz="0" w:space="0" w:color="auto"/>
            <w:right w:val="none" w:sz="0" w:space="0" w:color="auto"/>
          </w:divBdr>
          <w:divsChild>
            <w:div w:id="921337560">
              <w:marLeft w:val="0"/>
              <w:marRight w:val="0"/>
              <w:marTop w:val="0"/>
              <w:marBottom w:val="0"/>
              <w:divBdr>
                <w:top w:val="none" w:sz="0" w:space="0" w:color="auto"/>
                <w:left w:val="none" w:sz="0" w:space="0" w:color="auto"/>
                <w:bottom w:val="none" w:sz="0" w:space="0" w:color="auto"/>
                <w:right w:val="none" w:sz="0" w:space="0" w:color="auto"/>
              </w:divBdr>
              <w:divsChild>
                <w:div w:id="130026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08346">
      <w:bodyDiv w:val="1"/>
      <w:marLeft w:val="0"/>
      <w:marRight w:val="0"/>
      <w:marTop w:val="0"/>
      <w:marBottom w:val="0"/>
      <w:divBdr>
        <w:top w:val="none" w:sz="0" w:space="0" w:color="auto"/>
        <w:left w:val="none" w:sz="0" w:space="0" w:color="auto"/>
        <w:bottom w:val="none" w:sz="0" w:space="0" w:color="auto"/>
        <w:right w:val="none" w:sz="0" w:space="0" w:color="auto"/>
      </w:divBdr>
      <w:divsChild>
        <w:div w:id="1917205337">
          <w:marLeft w:val="0"/>
          <w:marRight w:val="0"/>
          <w:marTop w:val="0"/>
          <w:marBottom w:val="0"/>
          <w:divBdr>
            <w:top w:val="none" w:sz="0" w:space="0" w:color="auto"/>
            <w:left w:val="none" w:sz="0" w:space="0" w:color="auto"/>
            <w:bottom w:val="none" w:sz="0" w:space="0" w:color="auto"/>
            <w:right w:val="none" w:sz="0" w:space="0" w:color="auto"/>
          </w:divBdr>
          <w:divsChild>
            <w:div w:id="546796171">
              <w:marLeft w:val="0"/>
              <w:marRight w:val="0"/>
              <w:marTop w:val="0"/>
              <w:marBottom w:val="0"/>
              <w:divBdr>
                <w:top w:val="none" w:sz="0" w:space="0" w:color="auto"/>
                <w:left w:val="none" w:sz="0" w:space="0" w:color="auto"/>
                <w:bottom w:val="none" w:sz="0" w:space="0" w:color="auto"/>
                <w:right w:val="none" w:sz="0" w:space="0" w:color="auto"/>
              </w:divBdr>
              <w:divsChild>
                <w:div w:id="92242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93721">
      <w:bodyDiv w:val="1"/>
      <w:marLeft w:val="0"/>
      <w:marRight w:val="0"/>
      <w:marTop w:val="0"/>
      <w:marBottom w:val="0"/>
      <w:divBdr>
        <w:top w:val="none" w:sz="0" w:space="0" w:color="auto"/>
        <w:left w:val="none" w:sz="0" w:space="0" w:color="auto"/>
        <w:bottom w:val="none" w:sz="0" w:space="0" w:color="auto"/>
        <w:right w:val="none" w:sz="0" w:space="0" w:color="auto"/>
      </w:divBdr>
      <w:divsChild>
        <w:div w:id="311957141">
          <w:marLeft w:val="0"/>
          <w:marRight w:val="0"/>
          <w:marTop w:val="0"/>
          <w:marBottom w:val="0"/>
          <w:divBdr>
            <w:top w:val="none" w:sz="0" w:space="0" w:color="auto"/>
            <w:left w:val="none" w:sz="0" w:space="0" w:color="auto"/>
            <w:bottom w:val="none" w:sz="0" w:space="0" w:color="auto"/>
            <w:right w:val="none" w:sz="0" w:space="0" w:color="auto"/>
          </w:divBdr>
          <w:divsChild>
            <w:div w:id="900410982">
              <w:marLeft w:val="0"/>
              <w:marRight w:val="0"/>
              <w:marTop w:val="0"/>
              <w:marBottom w:val="0"/>
              <w:divBdr>
                <w:top w:val="none" w:sz="0" w:space="0" w:color="auto"/>
                <w:left w:val="none" w:sz="0" w:space="0" w:color="auto"/>
                <w:bottom w:val="none" w:sz="0" w:space="0" w:color="auto"/>
                <w:right w:val="none" w:sz="0" w:space="0" w:color="auto"/>
              </w:divBdr>
              <w:divsChild>
                <w:div w:id="11575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748304">
      <w:bodyDiv w:val="1"/>
      <w:marLeft w:val="0"/>
      <w:marRight w:val="0"/>
      <w:marTop w:val="0"/>
      <w:marBottom w:val="0"/>
      <w:divBdr>
        <w:top w:val="none" w:sz="0" w:space="0" w:color="auto"/>
        <w:left w:val="none" w:sz="0" w:space="0" w:color="auto"/>
        <w:bottom w:val="none" w:sz="0" w:space="0" w:color="auto"/>
        <w:right w:val="none" w:sz="0" w:space="0" w:color="auto"/>
      </w:divBdr>
      <w:divsChild>
        <w:div w:id="957416641">
          <w:marLeft w:val="0"/>
          <w:marRight w:val="0"/>
          <w:marTop w:val="0"/>
          <w:marBottom w:val="0"/>
          <w:divBdr>
            <w:top w:val="none" w:sz="0" w:space="0" w:color="auto"/>
            <w:left w:val="none" w:sz="0" w:space="0" w:color="auto"/>
            <w:bottom w:val="none" w:sz="0" w:space="0" w:color="auto"/>
            <w:right w:val="none" w:sz="0" w:space="0" w:color="auto"/>
          </w:divBdr>
          <w:divsChild>
            <w:div w:id="1227374051">
              <w:marLeft w:val="0"/>
              <w:marRight w:val="0"/>
              <w:marTop w:val="0"/>
              <w:marBottom w:val="0"/>
              <w:divBdr>
                <w:top w:val="none" w:sz="0" w:space="0" w:color="auto"/>
                <w:left w:val="none" w:sz="0" w:space="0" w:color="auto"/>
                <w:bottom w:val="none" w:sz="0" w:space="0" w:color="auto"/>
                <w:right w:val="none" w:sz="0" w:space="0" w:color="auto"/>
              </w:divBdr>
              <w:divsChild>
                <w:div w:id="47279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5080">
      <w:bodyDiv w:val="1"/>
      <w:marLeft w:val="0"/>
      <w:marRight w:val="0"/>
      <w:marTop w:val="0"/>
      <w:marBottom w:val="0"/>
      <w:divBdr>
        <w:top w:val="none" w:sz="0" w:space="0" w:color="auto"/>
        <w:left w:val="none" w:sz="0" w:space="0" w:color="auto"/>
        <w:bottom w:val="none" w:sz="0" w:space="0" w:color="auto"/>
        <w:right w:val="none" w:sz="0" w:space="0" w:color="auto"/>
      </w:divBdr>
      <w:divsChild>
        <w:div w:id="948003552">
          <w:marLeft w:val="0"/>
          <w:marRight w:val="0"/>
          <w:marTop w:val="0"/>
          <w:marBottom w:val="0"/>
          <w:divBdr>
            <w:top w:val="none" w:sz="0" w:space="0" w:color="auto"/>
            <w:left w:val="none" w:sz="0" w:space="0" w:color="auto"/>
            <w:bottom w:val="none" w:sz="0" w:space="0" w:color="auto"/>
            <w:right w:val="none" w:sz="0" w:space="0" w:color="auto"/>
          </w:divBdr>
          <w:divsChild>
            <w:div w:id="1004550289">
              <w:marLeft w:val="0"/>
              <w:marRight w:val="0"/>
              <w:marTop w:val="0"/>
              <w:marBottom w:val="0"/>
              <w:divBdr>
                <w:top w:val="none" w:sz="0" w:space="0" w:color="auto"/>
                <w:left w:val="none" w:sz="0" w:space="0" w:color="auto"/>
                <w:bottom w:val="none" w:sz="0" w:space="0" w:color="auto"/>
                <w:right w:val="none" w:sz="0" w:space="0" w:color="auto"/>
              </w:divBdr>
              <w:divsChild>
                <w:div w:id="59096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572468">
      <w:bodyDiv w:val="1"/>
      <w:marLeft w:val="0"/>
      <w:marRight w:val="0"/>
      <w:marTop w:val="0"/>
      <w:marBottom w:val="0"/>
      <w:divBdr>
        <w:top w:val="none" w:sz="0" w:space="0" w:color="auto"/>
        <w:left w:val="none" w:sz="0" w:space="0" w:color="auto"/>
        <w:bottom w:val="none" w:sz="0" w:space="0" w:color="auto"/>
        <w:right w:val="none" w:sz="0" w:space="0" w:color="auto"/>
      </w:divBdr>
      <w:divsChild>
        <w:div w:id="80302892">
          <w:marLeft w:val="0"/>
          <w:marRight w:val="0"/>
          <w:marTop w:val="0"/>
          <w:marBottom w:val="0"/>
          <w:divBdr>
            <w:top w:val="none" w:sz="0" w:space="0" w:color="auto"/>
            <w:left w:val="none" w:sz="0" w:space="0" w:color="auto"/>
            <w:bottom w:val="none" w:sz="0" w:space="0" w:color="auto"/>
            <w:right w:val="none" w:sz="0" w:space="0" w:color="auto"/>
          </w:divBdr>
          <w:divsChild>
            <w:div w:id="470101145">
              <w:marLeft w:val="0"/>
              <w:marRight w:val="0"/>
              <w:marTop w:val="0"/>
              <w:marBottom w:val="0"/>
              <w:divBdr>
                <w:top w:val="none" w:sz="0" w:space="0" w:color="auto"/>
                <w:left w:val="none" w:sz="0" w:space="0" w:color="auto"/>
                <w:bottom w:val="none" w:sz="0" w:space="0" w:color="auto"/>
                <w:right w:val="none" w:sz="0" w:space="0" w:color="auto"/>
              </w:divBdr>
              <w:divsChild>
                <w:div w:id="21994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986403">
      <w:bodyDiv w:val="1"/>
      <w:marLeft w:val="0"/>
      <w:marRight w:val="0"/>
      <w:marTop w:val="0"/>
      <w:marBottom w:val="0"/>
      <w:divBdr>
        <w:top w:val="none" w:sz="0" w:space="0" w:color="auto"/>
        <w:left w:val="none" w:sz="0" w:space="0" w:color="auto"/>
        <w:bottom w:val="none" w:sz="0" w:space="0" w:color="auto"/>
        <w:right w:val="none" w:sz="0" w:space="0" w:color="auto"/>
      </w:divBdr>
      <w:divsChild>
        <w:div w:id="1622105277">
          <w:marLeft w:val="0"/>
          <w:marRight w:val="0"/>
          <w:marTop w:val="0"/>
          <w:marBottom w:val="0"/>
          <w:divBdr>
            <w:top w:val="none" w:sz="0" w:space="0" w:color="auto"/>
            <w:left w:val="none" w:sz="0" w:space="0" w:color="auto"/>
            <w:bottom w:val="none" w:sz="0" w:space="0" w:color="auto"/>
            <w:right w:val="none" w:sz="0" w:space="0" w:color="auto"/>
          </w:divBdr>
          <w:divsChild>
            <w:div w:id="1476406821">
              <w:marLeft w:val="0"/>
              <w:marRight w:val="0"/>
              <w:marTop w:val="0"/>
              <w:marBottom w:val="0"/>
              <w:divBdr>
                <w:top w:val="none" w:sz="0" w:space="0" w:color="auto"/>
                <w:left w:val="none" w:sz="0" w:space="0" w:color="auto"/>
                <w:bottom w:val="none" w:sz="0" w:space="0" w:color="auto"/>
                <w:right w:val="none" w:sz="0" w:space="0" w:color="auto"/>
              </w:divBdr>
              <w:divsChild>
                <w:div w:id="88290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681278">
      <w:bodyDiv w:val="1"/>
      <w:marLeft w:val="0"/>
      <w:marRight w:val="0"/>
      <w:marTop w:val="0"/>
      <w:marBottom w:val="0"/>
      <w:divBdr>
        <w:top w:val="none" w:sz="0" w:space="0" w:color="auto"/>
        <w:left w:val="none" w:sz="0" w:space="0" w:color="auto"/>
        <w:bottom w:val="none" w:sz="0" w:space="0" w:color="auto"/>
        <w:right w:val="none" w:sz="0" w:space="0" w:color="auto"/>
      </w:divBdr>
      <w:divsChild>
        <w:div w:id="1855144713">
          <w:marLeft w:val="0"/>
          <w:marRight w:val="0"/>
          <w:marTop w:val="0"/>
          <w:marBottom w:val="0"/>
          <w:divBdr>
            <w:top w:val="none" w:sz="0" w:space="0" w:color="auto"/>
            <w:left w:val="none" w:sz="0" w:space="0" w:color="auto"/>
            <w:bottom w:val="none" w:sz="0" w:space="0" w:color="auto"/>
            <w:right w:val="none" w:sz="0" w:space="0" w:color="auto"/>
          </w:divBdr>
          <w:divsChild>
            <w:div w:id="1806964000">
              <w:marLeft w:val="0"/>
              <w:marRight w:val="0"/>
              <w:marTop w:val="0"/>
              <w:marBottom w:val="0"/>
              <w:divBdr>
                <w:top w:val="none" w:sz="0" w:space="0" w:color="auto"/>
                <w:left w:val="none" w:sz="0" w:space="0" w:color="auto"/>
                <w:bottom w:val="none" w:sz="0" w:space="0" w:color="auto"/>
                <w:right w:val="none" w:sz="0" w:space="0" w:color="auto"/>
              </w:divBdr>
              <w:divsChild>
                <w:div w:id="214423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58713">
      <w:bodyDiv w:val="1"/>
      <w:marLeft w:val="0"/>
      <w:marRight w:val="0"/>
      <w:marTop w:val="0"/>
      <w:marBottom w:val="0"/>
      <w:divBdr>
        <w:top w:val="none" w:sz="0" w:space="0" w:color="auto"/>
        <w:left w:val="none" w:sz="0" w:space="0" w:color="auto"/>
        <w:bottom w:val="none" w:sz="0" w:space="0" w:color="auto"/>
        <w:right w:val="none" w:sz="0" w:space="0" w:color="auto"/>
      </w:divBdr>
      <w:divsChild>
        <w:div w:id="591284208">
          <w:marLeft w:val="0"/>
          <w:marRight w:val="0"/>
          <w:marTop w:val="0"/>
          <w:marBottom w:val="0"/>
          <w:divBdr>
            <w:top w:val="none" w:sz="0" w:space="0" w:color="auto"/>
            <w:left w:val="none" w:sz="0" w:space="0" w:color="auto"/>
            <w:bottom w:val="none" w:sz="0" w:space="0" w:color="auto"/>
            <w:right w:val="none" w:sz="0" w:space="0" w:color="auto"/>
          </w:divBdr>
          <w:divsChild>
            <w:div w:id="1997494002">
              <w:marLeft w:val="0"/>
              <w:marRight w:val="0"/>
              <w:marTop w:val="0"/>
              <w:marBottom w:val="0"/>
              <w:divBdr>
                <w:top w:val="none" w:sz="0" w:space="0" w:color="auto"/>
                <w:left w:val="none" w:sz="0" w:space="0" w:color="auto"/>
                <w:bottom w:val="none" w:sz="0" w:space="0" w:color="auto"/>
                <w:right w:val="none" w:sz="0" w:space="0" w:color="auto"/>
              </w:divBdr>
              <w:divsChild>
                <w:div w:id="26970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4958">
      <w:bodyDiv w:val="1"/>
      <w:marLeft w:val="0"/>
      <w:marRight w:val="0"/>
      <w:marTop w:val="0"/>
      <w:marBottom w:val="0"/>
      <w:divBdr>
        <w:top w:val="none" w:sz="0" w:space="0" w:color="auto"/>
        <w:left w:val="none" w:sz="0" w:space="0" w:color="auto"/>
        <w:bottom w:val="none" w:sz="0" w:space="0" w:color="auto"/>
        <w:right w:val="none" w:sz="0" w:space="0" w:color="auto"/>
      </w:divBdr>
      <w:divsChild>
        <w:div w:id="1258516874">
          <w:marLeft w:val="0"/>
          <w:marRight w:val="0"/>
          <w:marTop w:val="0"/>
          <w:marBottom w:val="0"/>
          <w:divBdr>
            <w:top w:val="none" w:sz="0" w:space="0" w:color="auto"/>
            <w:left w:val="none" w:sz="0" w:space="0" w:color="auto"/>
            <w:bottom w:val="none" w:sz="0" w:space="0" w:color="auto"/>
            <w:right w:val="none" w:sz="0" w:space="0" w:color="auto"/>
          </w:divBdr>
          <w:divsChild>
            <w:div w:id="1201548316">
              <w:marLeft w:val="0"/>
              <w:marRight w:val="0"/>
              <w:marTop w:val="0"/>
              <w:marBottom w:val="0"/>
              <w:divBdr>
                <w:top w:val="none" w:sz="0" w:space="0" w:color="auto"/>
                <w:left w:val="none" w:sz="0" w:space="0" w:color="auto"/>
                <w:bottom w:val="none" w:sz="0" w:space="0" w:color="auto"/>
                <w:right w:val="none" w:sz="0" w:space="0" w:color="auto"/>
              </w:divBdr>
              <w:divsChild>
                <w:div w:id="22564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738081">
      <w:bodyDiv w:val="1"/>
      <w:marLeft w:val="0"/>
      <w:marRight w:val="0"/>
      <w:marTop w:val="0"/>
      <w:marBottom w:val="0"/>
      <w:divBdr>
        <w:top w:val="none" w:sz="0" w:space="0" w:color="auto"/>
        <w:left w:val="none" w:sz="0" w:space="0" w:color="auto"/>
        <w:bottom w:val="none" w:sz="0" w:space="0" w:color="auto"/>
        <w:right w:val="none" w:sz="0" w:space="0" w:color="auto"/>
      </w:divBdr>
      <w:divsChild>
        <w:div w:id="1791241732">
          <w:marLeft w:val="0"/>
          <w:marRight w:val="0"/>
          <w:marTop w:val="0"/>
          <w:marBottom w:val="0"/>
          <w:divBdr>
            <w:top w:val="none" w:sz="0" w:space="0" w:color="auto"/>
            <w:left w:val="none" w:sz="0" w:space="0" w:color="auto"/>
            <w:bottom w:val="none" w:sz="0" w:space="0" w:color="auto"/>
            <w:right w:val="none" w:sz="0" w:space="0" w:color="auto"/>
          </w:divBdr>
          <w:divsChild>
            <w:div w:id="563416645">
              <w:marLeft w:val="0"/>
              <w:marRight w:val="0"/>
              <w:marTop w:val="0"/>
              <w:marBottom w:val="0"/>
              <w:divBdr>
                <w:top w:val="none" w:sz="0" w:space="0" w:color="auto"/>
                <w:left w:val="none" w:sz="0" w:space="0" w:color="auto"/>
                <w:bottom w:val="none" w:sz="0" w:space="0" w:color="auto"/>
                <w:right w:val="none" w:sz="0" w:space="0" w:color="auto"/>
              </w:divBdr>
              <w:divsChild>
                <w:div w:id="191878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641495">
      <w:bodyDiv w:val="1"/>
      <w:marLeft w:val="0"/>
      <w:marRight w:val="0"/>
      <w:marTop w:val="0"/>
      <w:marBottom w:val="0"/>
      <w:divBdr>
        <w:top w:val="none" w:sz="0" w:space="0" w:color="auto"/>
        <w:left w:val="none" w:sz="0" w:space="0" w:color="auto"/>
        <w:bottom w:val="none" w:sz="0" w:space="0" w:color="auto"/>
        <w:right w:val="none" w:sz="0" w:space="0" w:color="auto"/>
      </w:divBdr>
      <w:divsChild>
        <w:div w:id="682244693">
          <w:marLeft w:val="0"/>
          <w:marRight w:val="0"/>
          <w:marTop w:val="0"/>
          <w:marBottom w:val="0"/>
          <w:divBdr>
            <w:top w:val="none" w:sz="0" w:space="0" w:color="auto"/>
            <w:left w:val="none" w:sz="0" w:space="0" w:color="auto"/>
            <w:bottom w:val="none" w:sz="0" w:space="0" w:color="auto"/>
            <w:right w:val="none" w:sz="0" w:space="0" w:color="auto"/>
          </w:divBdr>
          <w:divsChild>
            <w:div w:id="1937789442">
              <w:marLeft w:val="0"/>
              <w:marRight w:val="0"/>
              <w:marTop w:val="0"/>
              <w:marBottom w:val="0"/>
              <w:divBdr>
                <w:top w:val="none" w:sz="0" w:space="0" w:color="auto"/>
                <w:left w:val="none" w:sz="0" w:space="0" w:color="auto"/>
                <w:bottom w:val="none" w:sz="0" w:space="0" w:color="auto"/>
                <w:right w:val="none" w:sz="0" w:space="0" w:color="auto"/>
              </w:divBdr>
              <w:divsChild>
                <w:div w:id="1002899506">
                  <w:marLeft w:val="0"/>
                  <w:marRight w:val="0"/>
                  <w:marTop w:val="0"/>
                  <w:marBottom w:val="0"/>
                  <w:divBdr>
                    <w:top w:val="none" w:sz="0" w:space="0" w:color="auto"/>
                    <w:left w:val="none" w:sz="0" w:space="0" w:color="auto"/>
                    <w:bottom w:val="none" w:sz="0" w:space="0" w:color="auto"/>
                    <w:right w:val="none" w:sz="0" w:space="0" w:color="auto"/>
                  </w:divBdr>
                  <w:divsChild>
                    <w:div w:id="105758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741527">
      <w:bodyDiv w:val="1"/>
      <w:marLeft w:val="0"/>
      <w:marRight w:val="0"/>
      <w:marTop w:val="0"/>
      <w:marBottom w:val="0"/>
      <w:divBdr>
        <w:top w:val="none" w:sz="0" w:space="0" w:color="auto"/>
        <w:left w:val="none" w:sz="0" w:space="0" w:color="auto"/>
        <w:bottom w:val="none" w:sz="0" w:space="0" w:color="auto"/>
        <w:right w:val="none" w:sz="0" w:space="0" w:color="auto"/>
      </w:divBdr>
      <w:divsChild>
        <w:div w:id="63920944">
          <w:marLeft w:val="0"/>
          <w:marRight w:val="0"/>
          <w:marTop w:val="0"/>
          <w:marBottom w:val="0"/>
          <w:divBdr>
            <w:top w:val="none" w:sz="0" w:space="0" w:color="auto"/>
            <w:left w:val="none" w:sz="0" w:space="0" w:color="auto"/>
            <w:bottom w:val="none" w:sz="0" w:space="0" w:color="auto"/>
            <w:right w:val="none" w:sz="0" w:space="0" w:color="auto"/>
          </w:divBdr>
          <w:divsChild>
            <w:div w:id="920721860">
              <w:marLeft w:val="0"/>
              <w:marRight w:val="0"/>
              <w:marTop w:val="0"/>
              <w:marBottom w:val="0"/>
              <w:divBdr>
                <w:top w:val="none" w:sz="0" w:space="0" w:color="auto"/>
                <w:left w:val="none" w:sz="0" w:space="0" w:color="auto"/>
                <w:bottom w:val="none" w:sz="0" w:space="0" w:color="auto"/>
                <w:right w:val="none" w:sz="0" w:space="0" w:color="auto"/>
              </w:divBdr>
              <w:divsChild>
                <w:div w:id="26562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857054">
      <w:bodyDiv w:val="1"/>
      <w:marLeft w:val="0"/>
      <w:marRight w:val="0"/>
      <w:marTop w:val="0"/>
      <w:marBottom w:val="0"/>
      <w:divBdr>
        <w:top w:val="none" w:sz="0" w:space="0" w:color="auto"/>
        <w:left w:val="none" w:sz="0" w:space="0" w:color="auto"/>
        <w:bottom w:val="none" w:sz="0" w:space="0" w:color="auto"/>
        <w:right w:val="none" w:sz="0" w:space="0" w:color="auto"/>
      </w:divBdr>
      <w:divsChild>
        <w:div w:id="551499886">
          <w:marLeft w:val="0"/>
          <w:marRight w:val="0"/>
          <w:marTop w:val="0"/>
          <w:marBottom w:val="0"/>
          <w:divBdr>
            <w:top w:val="none" w:sz="0" w:space="0" w:color="auto"/>
            <w:left w:val="none" w:sz="0" w:space="0" w:color="auto"/>
            <w:bottom w:val="none" w:sz="0" w:space="0" w:color="auto"/>
            <w:right w:val="none" w:sz="0" w:space="0" w:color="auto"/>
          </w:divBdr>
          <w:divsChild>
            <w:div w:id="1554459942">
              <w:marLeft w:val="0"/>
              <w:marRight w:val="0"/>
              <w:marTop w:val="0"/>
              <w:marBottom w:val="0"/>
              <w:divBdr>
                <w:top w:val="none" w:sz="0" w:space="0" w:color="auto"/>
                <w:left w:val="none" w:sz="0" w:space="0" w:color="auto"/>
                <w:bottom w:val="none" w:sz="0" w:space="0" w:color="auto"/>
                <w:right w:val="none" w:sz="0" w:space="0" w:color="auto"/>
              </w:divBdr>
              <w:divsChild>
                <w:div w:id="15129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46857">
      <w:bodyDiv w:val="1"/>
      <w:marLeft w:val="0"/>
      <w:marRight w:val="0"/>
      <w:marTop w:val="0"/>
      <w:marBottom w:val="0"/>
      <w:divBdr>
        <w:top w:val="none" w:sz="0" w:space="0" w:color="auto"/>
        <w:left w:val="none" w:sz="0" w:space="0" w:color="auto"/>
        <w:bottom w:val="none" w:sz="0" w:space="0" w:color="auto"/>
        <w:right w:val="none" w:sz="0" w:space="0" w:color="auto"/>
      </w:divBdr>
      <w:divsChild>
        <w:div w:id="876360246">
          <w:marLeft w:val="0"/>
          <w:marRight w:val="0"/>
          <w:marTop w:val="0"/>
          <w:marBottom w:val="0"/>
          <w:divBdr>
            <w:top w:val="none" w:sz="0" w:space="0" w:color="auto"/>
            <w:left w:val="none" w:sz="0" w:space="0" w:color="auto"/>
            <w:bottom w:val="none" w:sz="0" w:space="0" w:color="auto"/>
            <w:right w:val="none" w:sz="0" w:space="0" w:color="auto"/>
          </w:divBdr>
          <w:divsChild>
            <w:div w:id="839547141">
              <w:marLeft w:val="0"/>
              <w:marRight w:val="0"/>
              <w:marTop w:val="0"/>
              <w:marBottom w:val="0"/>
              <w:divBdr>
                <w:top w:val="none" w:sz="0" w:space="0" w:color="auto"/>
                <w:left w:val="none" w:sz="0" w:space="0" w:color="auto"/>
                <w:bottom w:val="none" w:sz="0" w:space="0" w:color="auto"/>
                <w:right w:val="none" w:sz="0" w:space="0" w:color="auto"/>
              </w:divBdr>
              <w:divsChild>
                <w:div w:id="1842885567">
                  <w:marLeft w:val="0"/>
                  <w:marRight w:val="0"/>
                  <w:marTop w:val="0"/>
                  <w:marBottom w:val="0"/>
                  <w:divBdr>
                    <w:top w:val="none" w:sz="0" w:space="0" w:color="auto"/>
                    <w:left w:val="none" w:sz="0" w:space="0" w:color="auto"/>
                    <w:bottom w:val="none" w:sz="0" w:space="0" w:color="auto"/>
                    <w:right w:val="none" w:sz="0" w:space="0" w:color="auto"/>
                  </w:divBdr>
                </w:div>
              </w:divsChild>
            </w:div>
            <w:div w:id="249969546">
              <w:marLeft w:val="0"/>
              <w:marRight w:val="0"/>
              <w:marTop w:val="0"/>
              <w:marBottom w:val="0"/>
              <w:divBdr>
                <w:top w:val="none" w:sz="0" w:space="0" w:color="auto"/>
                <w:left w:val="none" w:sz="0" w:space="0" w:color="auto"/>
                <w:bottom w:val="none" w:sz="0" w:space="0" w:color="auto"/>
                <w:right w:val="none" w:sz="0" w:space="0" w:color="auto"/>
              </w:divBdr>
              <w:divsChild>
                <w:div w:id="174641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07481">
      <w:bodyDiv w:val="1"/>
      <w:marLeft w:val="0"/>
      <w:marRight w:val="0"/>
      <w:marTop w:val="0"/>
      <w:marBottom w:val="0"/>
      <w:divBdr>
        <w:top w:val="none" w:sz="0" w:space="0" w:color="auto"/>
        <w:left w:val="none" w:sz="0" w:space="0" w:color="auto"/>
        <w:bottom w:val="none" w:sz="0" w:space="0" w:color="auto"/>
        <w:right w:val="none" w:sz="0" w:space="0" w:color="auto"/>
      </w:divBdr>
      <w:divsChild>
        <w:div w:id="1577277579">
          <w:marLeft w:val="0"/>
          <w:marRight w:val="0"/>
          <w:marTop w:val="0"/>
          <w:marBottom w:val="0"/>
          <w:divBdr>
            <w:top w:val="none" w:sz="0" w:space="0" w:color="auto"/>
            <w:left w:val="none" w:sz="0" w:space="0" w:color="auto"/>
            <w:bottom w:val="none" w:sz="0" w:space="0" w:color="auto"/>
            <w:right w:val="none" w:sz="0" w:space="0" w:color="auto"/>
          </w:divBdr>
          <w:divsChild>
            <w:div w:id="992180365">
              <w:marLeft w:val="0"/>
              <w:marRight w:val="0"/>
              <w:marTop w:val="0"/>
              <w:marBottom w:val="0"/>
              <w:divBdr>
                <w:top w:val="none" w:sz="0" w:space="0" w:color="auto"/>
                <w:left w:val="none" w:sz="0" w:space="0" w:color="auto"/>
                <w:bottom w:val="none" w:sz="0" w:space="0" w:color="auto"/>
                <w:right w:val="none" w:sz="0" w:space="0" w:color="auto"/>
              </w:divBdr>
              <w:divsChild>
                <w:div w:id="69103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565117">
      <w:bodyDiv w:val="1"/>
      <w:marLeft w:val="0"/>
      <w:marRight w:val="0"/>
      <w:marTop w:val="0"/>
      <w:marBottom w:val="0"/>
      <w:divBdr>
        <w:top w:val="none" w:sz="0" w:space="0" w:color="auto"/>
        <w:left w:val="none" w:sz="0" w:space="0" w:color="auto"/>
        <w:bottom w:val="none" w:sz="0" w:space="0" w:color="auto"/>
        <w:right w:val="none" w:sz="0" w:space="0" w:color="auto"/>
      </w:divBdr>
      <w:divsChild>
        <w:div w:id="1817995047">
          <w:marLeft w:val="0"/>
          <w:marRight w:val="0"/>
          <w:marTop w:val="0"/>
          <w:marBottom w:val="0"/>
          <w:divBdr>
            <w:top w:val="none" w:sz="0" w:space="0" w:color="auto"/>
            <w:left w:val="none" w:sz="0" w:space="0" w:color="auto"/>
            <w:bottom w:val="none" w:sz="0" w:space="0" w:color="auto"/>
            <w:right w:val="none" w:sz="0" w:space="0" w:color="auto"/>
          </w:divBdr>
          <w:divsChild>
            <w:div w:id="1962373461">
              <w:marLeft w:val="0"/>
              <w:marRight w:val="0"/>
              <w:marTop w:val="0"/>
              <w:marBottom w:val="0"/>
              <w:divBdr>
                <w:top w:val="none" w:sz="0" w:space="0" w:color="auto"/>
                <w:left w:val="none" w:sz="0" w:space="0" w:color="auto"/>
                <w:bottom w:val="none" w:sz="0" w:space="0" w:color="auto"/>
                <w:right w:val="none" w:sz="0" w:space="0" w:color="auto"/>
              </w:divBdr>
              <w:divsChild>
                <w:div w:id="21589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92398">
      <w:bodyDiv w:val="1"/>
      <w:marLeft w:val="0"/>
      <w:marRight w:val="0"/>
      <w:marTop w:val="0"/>
      <w:marBottom w:val="0"/>
      <w:divBdr>
        <w:top w:val="none" w:sz="0" w:space="0" w:color="auto"/>
        <w:left w:val="none" w:sz="0" w:space="0" w:color="auto"/>
        <w:bottom w:val="none" w:sz="0" w:space="0" w:color="auto"/>
        <w:right w:val="none" w:sz="0" w:space="0" w:color="auto"/>
      </w:divBdr>
      <w:divsChild>
        <w:div w:id="781387999">
          <w:marLeft w:val="0"/>
          <w:marRight w:val="0"/>
          <w:marTop w:val="0"/>
          <w:marBottom w:val="0"/>
          <w:divBdr>
            <w:top w:val="none" w:sz="0" w:space="0" w:color="auto"/>
            <w:left w:val="none" w:sz="0" w:space="0" w:color="auto"/>
            <w:bottom w:val="none" w:sz="0" w:space="0" w:color="auto"/>
            <w:right w:val="none" w:sz="0" w:space="0" w:color="auto"/>
          </w:divBdr>
          <w:divsChild>
            <w:div w:id="1877152881">
              <w:marLeft w:val="0"/>
              <w:marRight w:val="0"/>
              <w:marTop w:val="0"/>
              <w:marBottom w:val="0"/>
              <w:divBdr>
                <w:top w:val="none" w:sz="0" w:space="0" w:color="auto"/>
                <w:left w:val="none" w:sz="0" w:space="0" w:color="auto"/>
                <w:bottom w:val="none" w:sz="0" w:space="0" w:color="auto"/>
                <w:right w:val="none" w:sz="0" w:space="0" w:color="auto"/>
              </w:divBdr>
              <w:divsChild>
                <w:div w:id="842822310">
                  <w:marLeft w:val="0"/>
                  <w:marRight w:val="0"/>
                  <w:marTop w:val="0"/>
                  <w:marBottom w:val="0"/>
                  <w:divBdr>
                    <w:top w:val="none" w:sz="0" w:space="0" w:color="auto"/>
                    <w:left w:val="none" w:sz="0" w:space="0" w:color="auto"/>
                    <w:bottom w:val="none" w:sz="0" w:space="0" w:color="auto"/>
                    <w:right w:val="none" w:sz="0" w:space="0" w:color="auto"/>
                  </w:divBdr>
                  <w:divsChild>
                    <w:div w:id="90618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485825">
      <w:bodyDiv w:val="1"/>
      <w:marLeft w:val="0"/>
      <w:marRight w:val="0"/>
      <w:marTop w:val="0"/>
      <w:marBottom w:val="0"/>
      <w:divBdr>
        <w:top w:val="none" w:sz="0" w:space="0" w:color="auto"/>
        <w:left w:val="none" w:sz="0" w:space="0" w:color="auto"/>
        <w:bottom w:val="none" w:sz="0" w:space="0" w:color="auto"/>
        <w:right w:val="none" w:sz="0" w:space="0" w:color="auto"/>
      </w:divBdr>
      <w:divsChild>
        <w:div w:id="536117166">
          <w:marLeft w:val="0"/>
          <w:marRight w:val="0"/>
          <w:marTop w:val="0"/>
          <w:marBottom w:val="0"/>
          <w:divBdr>
            <w:top w:val="none" w:sz="0" w:space="0" w:color="auto"/>
            <w:left w:val="none" w:sz="0" w:space="0" w:color="auto"/>
            <w:bottom w:val="none" w:sz="0" w:space="0" w:color="auto"/>
            <w:right w:val="none" w:sz="0" w:space="0" w:color="auto"/>
          </w:divBdr>
          <w:divsChild>
            <w:div w:id="1643775411">
              <w:marLeft w:val="0"/>
              <w:marRight w:val="0"/>
              <w:marTop w:val="0"/>
              <w:marBottom w:val="0"/>
              <w:divBdr>
                <w:top w:val="none" w:sz="0" w:space="0" w:color="auto"/>
                <w:left w:val="none" w:sz="0" w:space="0" w:color="auto"/>
                <w:bottom w:val="none" w:sz="0" w:space="0" w:color="auto"/>
                <w:right w:val="none" w:sz="0" w:space="0" w:color="auto"/>
              </w:divBdr>
              <w:divsChild>
                <w:div w:id="12134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587375">
      <w:bodyDiv w:val="1"/>
      <w:marLeft w:val="0"/>
      <w:marRight w:val="0"/>
      <w:marTop w:val="0"/>
      <w:marBottom w:val="0"/>
      <w:divBdr>
        <w:top w:val="none" w:sz="0" w:space="0" w:color="auto"/>
        <w:left w:val="none" w:sz="0" w:space="0" w:color="auto"/>
        <w:bottom w:val="none" w:sz="0" w:space="0" w:color="auto"/>
        <w:right w:val="none" w:sz="0" w:space="0" w:color="auto"/>
      </w:divBdr>
      <w:divsChild>
        <w:div w:id="1685594978">
          <w:marLeft w:val="0"/>
          <w:marRight w:val="0"/>
          <w:marTop w:val="0"/>
          <w:marBottom w:val="0"/>
          <w:divBdr>
            <w:top w:val="none" w:sz="0" w:space="0" w:color="auto"/>
            <w:left w:val="none" w:sz="0" w:space="0" w:color="auto"/>
            <w:bottom w:val="none" w:sz="0" w:space="0" w:color="auto"/>
            <w:right w:val="none" w:sz="0" w:space="0" w:color="auto"/>
          </w:divBdr>
          <w:divsChild>
            <w:div w:id="456489858">
              <w:marLeft w:val="0"/>
              <w:marRight w:val="0"/>
              <w:marTop w:val="0"/>
              <w:marBottom w:val="0"/>
              <w:divBdr>
                <w:top w:val="none" w:sz="0" w:space="0" w:color="auto"/>
                <w:left w:val="none" w:sz="0" w:space="0" w:color="auto"/>
                <w:bottom w:val="none" w:sz="0" w:space="0" w:color="auto"/>
                <w:right w:val="none" w:sz="0" w:space="0" w:color="auto"/>
              </w:divBdr>
              <w:divsChild>
                <w:div w:id="2464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780571">
      <w:bodyDiv w:val="1"/>
      <w:marLeft w:val="0"/>
      <w:marRight w:val="0"/>
      <w:marTop w:val="0"/>
      <w:marBottom w:val="0"/>
      <w:divBdr>
        <w:top w:val="none" w:sz="0" w:space="0" w:color="auto"/>
        <w:left w:val="none" w:sz="0" w:space="0" w:color="auto"/>
        <w:bottom w:val="none" w:sz="0" w:space="0" w:color="auto"/>
        <w:right w:val="none" w:sz="0" w:space="0" w:color="auto"/>
      </w:divBdr>
      <w:divsChild>
        <w:div w:id="1738086204">
          <w:marLeft w:val="0"/>
          <w:marRight w:val="0"/>
          <w:marTop w:val="0"/>
          <w:marBottom w:val="0"/>
          <w:divBdr>
            <w:top w:val="none" w:sz="0" w:space="0" w:color="auto"/>
            <w:left w:val="none" w:sz="0" w:space="0" w:color="auto"/>
            <w:bottom w:val="none" w:sz="0" w:space="0" w:color="auto"/>
            <w:right w:val="none" w:sz="0" w:space="0" w:color="auto"/>
          </w:divBdr>
          <w:divsChild>
            <w:div w:id="1654487184">
              <w:marLeft w:val="0"/>
              <w:marRight w:val="0"/>
              <w:marTop w:val="0"/>
              <w:marBottom w:val="0"/>
              <w:divBdr>
                <w:top w:val="none" w:sz="0" w:space="0" w:color="auto"/>
                <w:left w:val="none" w:sz="0" w:space="0" w:color="auto"/>
                <w:bottom w:val="none" w:sz="0" w:space="0" w:color="auto"/>
                <w:right w:val="none" w:sz="0" w:space="0" w:color="auto"/>
              </w:divBdr>
              <w:divsChild>
                <w:div w:id="180423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2781">
      <w:bodyDiv w:val="1"/>
      <w:marLeft w:val="0"/>
      <w:marRight w:val="0"/>
      <w:marTop w:val="0"/>
      <w:marBottom w:val="0"/>
      <w:divBdr>
        <w:top w:val="none" w:sz="0" w:space="0" w:color="auto"/>
        <w:left w:val="none" w:sz="0" w:space="0" w:color="auto"/>
        <w:bottom w:val="none" w:sz="0" w:space="0" w:color="auto"/>
        <w:right w:val="none" w:sz="0" w:space="0" w:color="auto"/>
      </w:divBdr>
      <w:divsChild>
        <w:div w:id="1972054762">
          <w:marLeft w:val="0"/>
          <w:marRight w:val="0"/>
          <w:marTop w:val="0"/>
          <w:marBottom w:val="0"/>
          <w:divBdr>
            <w:top w:val="none" w:sz="0" w:space="0" w:color="auto"/>
            <w:left w:val="none" w:sz="0" w:space="0" w:color="auto"/>
            <w:bottom w:val="none" w:sz="0" w:space="0" w:color="auto"/>
            <w:right w:val="none" w:sz="0" w:space="0" w:color="auto"/>
          </w:divBdr>
          <w:divsChild>
            <w:div w:id="1847789765">
              <w:marLeft w:val="0"/>
              <w:marRight w:val="0"/>
              <w:marTop w:val="0"/>
              <w:marBottom w:val="0"/>
              <w:divBdr>
                <w:top w:val="none" w:sz="0" w:space="0" w:color="auto"/>
                <w:left w:val="none" w:sz="0" w:space="0" w:color="auto"/>
                <w:bottom w:val="none" w:sz="0" w:space="0" w:color="auto"/>
                <w:right w:val="none" w:sz="0" w:space="0" w:color="auto"/>
              </w:divBdr>
              <w:divsChild>
                <w:div w:id="14643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87601">
      <w:bodyDiv w:val="1"/>
      <w:marLeft w:val="0"/>
      <w:marRight w:val="0"/>
      <w:marTop w:val="0"/>
      <w:marBottom w:val="0"/>
      <w:divBdr>
        <w:top w:val="none" w:sz="0" w:space="0" w:color="auto"/>
        <w:left w:val="none" w:sz="0" w:space="0" w:color="auto"/>
        <w:bottom w:val="none" w:sz="0" w:space="0" w:color="auto"/>
        <w:right w:val="none" w:sz="0" w:space="0" w:color="auto"/>
      </w:divBdr>
      <w:divsChild>
        <w:div w:id="1848056013">
          <w:marLeft w:val="0"/>
          <w:marRight w:val="0"/>
          <w:marTop w:val="0"/>
          <w:marBottom w:val="0"/>
          <w:divBdr>
            <w:top w:val="none" w:sz="0" w:space="0" w:color="auto"/>
            <w:left w:val="none" w:sz="0" w:space="0" w:color="auto"/>
            <w:bottom w:val="none" w:sz="0" w:space="0" w:color="auto"/>
            <w:right w:val="none" w:sz="0" w:space="0" w:color="auto"/>
          </w:divBdr>
          <w:divsChild>
            <w:div w:id="209003899">
              <w:marLeft w:val="0"/>
              <w:marRight w:val="0"/>
              <w:marTop w:val="0"/>
              <w:marBottom w:val="0"/>
              <w:divBdr>
                <w:top w:val="none" w:sz="0" w:space="0" w:color="auto"/>
                <w:left w:val="none" w:sz="0" w:space="0" w:color="auto"/>
                <w:bottom w:val="none" w:sz="0" w:space="0" w:color="auto"/>
                <w:right w:val="none" w:sz="0" w:space="0" w:color="auto"/>
              </w:divBdr>
              <w:divsChild>
                <w:div w:id="9557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127671">
      <w:bodyDiv w:val="1"/>
      <w:marLeft w:val="0"/>
      <w:marRight w:val="0"/>
      <w:marTop w:val="0"/>
      <w:marBottom w:val="0"/>
      <w:divBdr>
        <w:top w:val="none" w:sz="0" w:space="0" w:color="auto"/>
        <w:left w:val="none" w:sz="0" w:space="0" w:color="auto"/>
        <w:bottom w:val="none" w:sz="0" w:space="0" w:color="auto"/>
        <w:right w:val="none" w:sz="0" w:space="0" w:color="auto"/>
      </w:divBdr>
      <w:divsChild>
        <w:div w:id="750155647">
          <w:marLeft w:val="0"/>
          <w:marRight w:val="0"/>
          <w:marTop w:val="0"/>
          <w:marBottom w:val="0"/>
          <w:divBdr>
            <w:top w:val="none" w:sz="0" w:space="0" w:color="auto"/>
            <w:left w:val="none" w:sz="0" w:space="0" w:color="auto"/>
            <w:bottom w:val="none" w:sz="0" w:space="0" w:color="auto"/>
            <w:right w:val="none" w:sz="0" w:space="0" w:color="auto"/>
          </w:divBdr>
          <w:divsChild>
            <w:div w:id="1229683985">
              <w:marLeft w:val="0"/>
              <w:marRight w:val="0"/>
              <w:marTop w:val="0"/>
              <w:marBottom w:val="0"/>
              <w:divBdr>
                <w:top w:val="none" w:sz="0" w:space="0" w:color="auto"/>
                <w:left w:val="none" w:sz="0" w:space="0" w:color="auto"/>
                <w:bottom w:val="none" w:sz="0" w:space="0" w:color="auto"/>
                <w:right w:val="none" w:sz="0" w:space="0" w:color="auto"/>
              </w:divBdr>
              <w:divsChild>
                <w:div w:id="17415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158682">
      <w:bodyDiv w:val="1"/>
      <w:marLeft w:val="0"/>
      <w:marRight w:val="0"/>
      <w:marTop w:val="0"/>
      <w:marBottom w:val="0"/>
      <w:divBdr>
        <w:top w:val="none" w:sz="0" w:space="0" w:color="auto"/>
        <w:left w:val="none" w:sz="0" w:space="0" w:color="auto"/>
        <w:bottom w:val="none" w:sz="0" w:space="0" w:color="auto"/>
        <w:right w:val="none" w:sz="0" w:space="0" w:color="auto"/>
      </w:divBdr>
      <w:divsChild>
        <w:div w:id="1890412177">
          <w:marLeft w:val="0"/>
          <w:marRight w:val="0"/>
          <w:marTop w:val="0"/>
          <w:marBottom w:val="0"/>
          <w:divBdr>
            <w:top w:val="none" w:sz="0" w:space="0" w:color="auto"/>
            <w:left w:val="none" w:sz="0" w:space="0" w:color="auto"/>
            <w:bottom w:val="none" w:sz="0" w:space="0" w:color="auto"/>
            <w:right w:val="none" w:sz="0" w:space="0" w:color="auto"/>
          </w:divBdr>
          <w:divsChild>
            <w:div w:id="1826319454">
              <w:marLeft w:val="0"/>
              <w:marRight w:val="0"/>
              <w:marTop w:val="0"/>
              <w:marBottom w:val="0"/>
              <w:divBdr>
                <w:top w:val="none" w:sz="0" w:space="0" w:color="auto"/>
                <w:left w:val="none" w:sz="0" w:space="0" w:color="auto"/>
                <w:bottom w:val="none" w:sz="0" w:space="0" w:color="auto"/>
                <w:right w:val="none" w:sz="0" w:space="0" w:color="auto"/>
              </w:divBdr>
              <w:divsChild>
                <w:div w:id="53388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254973">
      <w:bodyDiv w:val="1"/>
      <w:marLeft w:val="0"/>
      <w:marRight w:val="0"/>
      <w:marTop w:val="0"/>
      <w:marBottom w:val="0"/>
      <w:divBdr>
        <w:top w:val="none" w:sz="0" w:space="0" w:color="auto"/>
        <w:left w:val="none" w:sz="0" w:space="0" w:color="auto"/>
        <w:bottom w:val="none" w:sz="0" w:space="0" w:color="auto"/>
        <w:right w:val="none" w:sz="0" w:space="0" w:color="auto"/>
      </w:divBdr>
      <w:divsChild>
        <w:div w:id="1286889685">
          <w:marLeft w:val="0"/>
          <w:marRight w:val="0"/>
          <w:marTop w:val="0"/>
          <w:marBottom w:val="0"/>
          <w:divBdr>
            <w:top w:val="none" w:sz="0" w:space="0" w:color="auto"/>
            <w:left w:val="none" w:sz="0" w:space="0" w:color="auto"/>
            <w:bottom w:val="none" w:sz="0" w:space="0" w:color="auto"/>
            <w:right w:val="none" w:sz="0" w:space="0" w:color="auto"/>
          </w:divBdr>
          <w:divsChild>
            <w:div w:id="1740441749">
              <w:marLeft w:val="0"/>
              <w:marRight w:val="0"/>
              <w:marTop w:val="0"/>
              <w:marBottom w:val="0"/>
              <w:divBdr>
                <w:top w:val="none" w:sz="0" w:space="0" w:color="auto"/>
                <w:left w:val="none" w:sz="0" w:space="0" w:color="auto"/>
                <w:bottom w:val="none" w:sz="0" w:space="0" w:color="auto"/>
                <w:right w:val="none" w:sz="0" w:space="0" w:color="auto"/>
              </w:divBdr>
              <w:divsChild>
                <w:div w:id="355715">
                  <w:marLeft w:val="0"/>
                  <w:marRight w:val="0"/>
                  <w:marTop w:val="0"/>
                  <w:marBottom w:val="0"/>
                  <w:divBdr>
                    <w:top w:val="none" w:sz="0" w:space="0" w:color="auto"/>
                    <w:left w:val="none" w:sz="0" w:space="0" w:color="auto"/>
                    <w:bottom w:val="none" w:sz="0" w:space="0" w:color="auto"/>
                    <w:right w:val="none" w:sz="0" w:space="0" w:color="auto"/>
                  </w:divBdr>
                  <w:divsChild>
                    <w:div w:id="120876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40773">
      <w:bodyDiv w:val="1"/>
      <w:marLeft w:val="0"/>
      <w:marRight w:val="0"/>
      <w:marTop w:val="0"/>
      <w:marBottom w:val="0"/>
      <w:divBdr>
        <w:top w:val="none" w:sz="0" w:space="0" w:color="auto"/>
        <w:left w:val="none" w:sz="0" w:space="0" w:color="auto"/>
        <w:bottom w:val="none" w:sz="0" w:space="0" w:color="auto"/>
        <w:right w:val="none" w:sz="0" w:space="0" w:color="auto"/>
      </w:divBdr>
      <w:divsChild>
        <w:div w:id="515850862">
          <w:marLeft w:val="0"/>
          <w:marRight w:val="0"/>
          <w:marTop w:val="0"/>
          <w:marBottom w:val="0"/>
          <w:divBdr>
            <w:top w:val="none" w:sz="0" w:space="0" w:color="auto"/>
            <w:left w:val="none" w:sz="0" w:space="0" w:color="auto"/>
            <w:bottom w:val="none" w:sz="0" w:space="0" w:color="auto"/>
            <w:right w:val="none" w:sz="0" w:space="0" w:color="auto"/>
          </w:divBdr>
          <w:divsChild>
            <w:div w:id="1200123662">
              <w:marLeft w:val="0"/>
              <w:marRight w:val="0"/>
              <w:marTop w:val="0"/>
              <w:marBottom w:val="0"/>
              <w:divBdr>
                <w:top w:val="none" w:sz="0" w:space="0" w:color="auto"/>
                <w:left w:val="none" w:sz="0" w:space="0" w:color="auto"/>
                <w:bottom w:val="none" w:sz="0" w:space="0" w:color="auto"/>
                <w:right w:val="none" w:sz="0" w:space="0" w:color="auto"/>
              </w:divBdr>
              <w:divsChild>
                <w:div w:id="52849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884</TotalTime>
  <Pages>13</Pages>
  <Words>4034</Words>
  <Characters>21867</Characters>
  <Application>Microsoft Macintosh Word</Application>
  <DocSecurity>0</DocSecurity>
  <Lines>412</Lines>
  <Paragraphs>125</Paragraphs>
  <ScaleCrop>false</ScaleCrop>
  <Company>Cornell University College of Veterinary Medicine</Company>
  <LinksUpToDate>false</LinksUpToDate>
  <CharactersWithSpaces>25776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79</cp:revision>
  <dcterms:created xsi:type="dcterms:W3CDTF">2014-03-01T23:37:00Z</dcterms:created>
  <dcterms:modified xsi:type="dcterms:W3CDTF">2014-03-04T18:45:00Z</dcterms:modified>
</cp:coreProperties>
</file>