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378" w:rsidRDefault="00581378" w:rsidP="00581378">
      <w:r>
        <w:t>Adenocarcinoma accounts for 70% to 80% of cancer of the canine stomach</w:t>
      </w:r>
    </w:p>
    <w:p w:rsidR="00581378" w:rsidRDefault="00581378" w:rsidP="00581378">
      <w:r>
        <w:t xml:space="preserve">It is often </w:t>
      </w:r>
      <w:proofErr w:type="spellStart"/>
      <w:r>
        <w:t>scirrhous</w:t>
      </w:r>
      <w:proofErr w:type="spellEnd"/>
      <w:r>
        <w:t xml:space="preserve"> (firm and white on the </w:t>
      </w:r>
      <w:proofErr w:type="spellStart"/>
      <w:r>
        <w:t>serosal</w:t>
      </w:r>
      <w:proofErr w:type="spellEnd"/>
      <w:r>
        <w:t xml:space="preserve"> surface) and has been termed </w:t>
      </w:r>
      <w:proofErr w:type="spellStart"/>
      <w:r>
        <w:t>linitis</w:t>
      </w:r>
      <w:proofErr w:type="spellEnd"/>
      <w:r>
        <w:t xml:space="preserve"> </w:t>
      </w:r>
      <w:proofErr w:type="spellStart"/>
      <w:r>
        <w:t>plastica</w:t>
      </w:r>
      <w:proofErr w:type="spellEnd"/>
      <w:r>
        <w:t xml:space="preserve"> (leather bottle) because of its firm and </w:t>
      </w:r>
      <w:proofErr w:type="spellStart"/>
      <w:r>
        <w:t>nondistensible</w:t>
      </w:r>
      <w:proofErr w:type="spellEnd"/>
      <w:r>
        <w:t xml:space="preserve"> texture</w:t>
      </w:r>
    </w:p>
    <w:p w:rsidR="00581378" w:rsidRDefault="00581378" w:rsidP="00581378">
      <w:r>
        <w:t xml:space="preserve">Lesions can be diffusely infiltrative, </w:t>
      </w:r>
      <w:proofErr w:type="spellStart"/>
      <w:r>
        <w:t>expansile</w:t>
      </w:r>
      <w:proofErr w:type="spellEnd"/>
      <w:r>
        <w:t xml:space="preserve"> (often with a central crater and ulceration), or may look more </w:t>
      </w:r>
      <w:proofErr w:type="spellStart"/>
      <w:r>
        <w:t>polypoid</w:t>
      </w:r>
      <w:bookmarkStart w:id="0" w:name="_GoBack"/>
      <w:bookmarkEnd w:id="0"/>
      <w:proofErr w:type="spellEnd"/>
    </w:p>
    <w:p w:rsidR="00772F12" w:rsidRDefault="00581378" w:rsidP="00581378">
      <w:r>
        <w:t xml:space="preserve">Other reported malignancies include </w:t>
      </w:r>
      <w:proofErr w:type="spellStart"/>
      <w:r>
        <w:t>leiomyosarcoma</w:t>
      </w:r>
      <w:proofErr w:type="spellEnd"/>
      <w:r>
        <w:t xml:space="preserve">, lymphoma, mast cell tumor, </w:t>
      </w:r>
      <w:proofErr w:type="spellStart"/>
      <w:r>
        <w:t>extramedullary</w:t>
      </w:r>
      <w:proofErr w:type="spellEnd"/>
      <w:r>
        <w:t xml:space="preserve"> </w:t>
      </w:r>
      <w:proofErr w:type="spellStart"/>
      <w:r>
        <w:t>plasmacytoma</w:t>
      </w:r>
      <w:proofErr w:type="spellEnd"/>
      <w:r>
        <w:t xml:space="preserve">, and </w:t>
      </w:r>
      <w:proofErr w:type="spellStart"/>
      <w:r>
        <w:t>fibrosarcoma</w:t>
      </w:r>
      <w:proofErr w:type="spellEnd"/>
    </w:p>
    <w:p w:rsidR="00581378" w:rsidRDefault="00581378" w:rsidP="00581378">
      <w:r>
        <w:t>Ultrasound was of diagnostic utility in 27% of dogs with gastric adenocarcinoma</w:t>
      </w:r>
    </w:p>
    <w:p w:rsidR="00581378" w:rsidRDefault="002A741F" w:rsidP="00581378">
      <w:r w:rsidRPr="00581378">
        <w:t xml:space="preserve">Adenocarcinoma </w:t>
      </w:r>
      <w:r w:rsidR="00581378" w:rsidRPr="00581378">
        <w:t>tends to occur most commonly on the lesser</w:t>
      </w:r>
      <w:r w:rsidR="00581378">
        <w:t xml:space="preserve"> </w:t>
      </w:r>
      <w:r w:rsidR="00581378" w:rsidRPr="00581378">
        <w:t xml:space="preserve">curvature and gastric </w:t>
      </w:r>
      <w:proofErr w:type="spellStart"/>
      <w:r w:rsidR="00581378" w:rsidRPr="00581378">
        <w:t>antrum</w:t>
      </w:r>
      <w:proofErr w:type="spellEnd"/>
    </w:p>
    <w:p w:rsidR="00581378" w:rsidRDefault="002A741F" w:rsidP="00581378">
      <w:r>
        <w:t xml:space="preserve">Wide </w:t>
      </w:r>
      <w:r w:rsidR="00581378">
        <w:t xml:space="preserve">partial </w:t>
      </w:r>
      <w:proofErr w:type="spellStart"/>
      <w:r w:rsidR="00581378">
        <w:t>gastrectomy</w:t>
      </w:r>
      <w:proofErr w:type="spellEnd"/>
      <w:r w:rsidR="00581378">
        <w:t xml:space="preserve"> or </w:t>
      </w:r>
      <w:proofErr w:type="spellStart"/>
      <w:r w:rsidR="00581378">
        <w:t>antrectomy</w:t>
      </w:r>
      <w:proofErr w:type="spellEnd"/>
      <w:r w:rsidR="00581378">
        <w:t xml:space="preserve"> followed by a </w:t>
      </w:r>
      <w:proofErr w:type="spellStart"/>
      <w:r w:rsidR="00581378">
        <w:t>gastroduodenostomy</w:t>
      </w:r>
      <w:proofErr w:type="spellEnd"/>
    </w:p>
    <w:p w:rsidR="00581378" w:rsidRDefault="00581378" w:rsidP="00581378">
      <w:r>
        <w:t xml:space="preserve">In a series of 24 dogs undergoing </w:t>
      </w:r>
      <w:proofErr w:type="spellStart"/>
      <w:r>
        <w:t>pylorectomy</w:t>
      </w:r>
      <w:proofErr w:type="spellEnd"/>
      <w:r>
        <w:t xml:space="preserve"> and </w:t>
      </w:r>
      <w:proofErr w:type="spellStart"/>
      <w:r>
        <w:t>gastroduodenostomy</w:t>
      </w:r>
      <w:proofErr w:type="spellEnd"/>
      <w:r>
        <w:t>, the perioperative mortality was 24% with a MST of 33 days</w:t>
      </w:r>
    </w:p>
    <w:p w:rsidR="00581378" w:rsidRPr="008C562A" w:rsidRDefault="00CD5A1E" w:rsidP="008C562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MinionPro-Regular"/>
        </w:rPr>
      </w:pPr>
      <w:proofErr w:type="spellStart"/>
      <w:r w:rsidRPr="008C562A">
        <w:rPr>
          <w:rFonts w:cs="MinionPro-Regular"/>
        </w:rPr>
        <w:t>Eisele</w:t>
      </w:r>
      <w:proofErr w:type="spellEnd"/>
      <w:r w:rsidRPr="008C562A">
        <w:rPr>
          <w:rFonts w:cs="MinionPro-Regular"/>
        </w:rPr>
        <w:t xml:space="preserve"> J, </w:t>
      </w:r>
      <w:proofErr w:type="spellStart"/>
      <w:r w:rsidR="002A741F" w:rsidRPr="008C562A">
        <w:rPr>
          <w:rFonts w:cs="MinionPro-Regular"/>
        </w:rPr>
        <w:t>mcclaran</w:t>
      </w:r>
      <w:proofErr w:type="spellEnd"/>
      <w:r w:rsidR="002A741F" w:rsidRPr="008C562A">
        <w:rPr>
          <w:rFonts w:cs="MinionPro-Regular"/>
        </w:rPr>
        <w:t xml:space="preserve"> </w:t>
      </w:r>
      <w:r w:rsidRPr="008C562A">
        <w:rPr>
          <w:rFonts w:cs="MinionPro-Regular"/>
        </w:rPr>
        <w:t xml:space="preserve">JK, </w:t>
      </w:r>
      <w:proofErr w:type="spellStart"/>
      <w:r w:rsidRPr="008C562A">
        <w:rPr>
          <w:rFonts w:cs="MinionPro-Regular"/>
        </w:rPr>
        <w:t>Runge</w:t>
      </w:r>
      <w:proofErr w:type="spellEnd"/>
      <w:r w:rsidRPr="008C562A">
        <w:rPr>
          <w:rFonts w:cs="MinionPro-Regular"/>
        </w:rPr>
        <w:t xml:space="preserve"> JJ, et al: Evaluation of risk factors for morbidity after </w:t>
      </w:r>
      <w:proofErr w:type="spellStart"/>
      <w:r w:rsidRPr="008C562A">
        <w:rPr>
          <w:rFonts w:cs="MinionPro-Regular"/>
        </w:rPr>
        <w:t>pylorectomy</w:t>
      </w:r>
      <w:proofErr w:type="spellEnd"/>
      <w:r w:rsidRPr="008C562A">
        <w:rPr>
          <w:rFonts w:cs="MinionPro-Regular"/>
        </w:rPr>
        <w:t xml:space="preserve"> and </w:t>
      </w:r>
      <w:proofErr w:type="spellStart"/>
      <w:r w:rsidRPr="008C562A">
        <w:rPr>
          <w:rFonts w:cs="MinionPro-Regular"/>
        </w:rPr>
        <w:t>gastroduodenostomy</w:t>
      </w:r>
      <w:proofErr w:type="spellEnd"/>
      <w:r w:rsidRPr="008C562A">
        <w:rPr>
          <w:rFonts w:cs="MinionPro-Regular"/>
        </w:rPr>
        <w:t xml:space="preserve"> in dogs, Vet </w:t>
      </w:r>
      <w:proofErr w:type="spellStart"/>
      <w:r w:rsidRPr="008C562A">
        <w:rPr>
          <w:rFonts w:cs="MinionPro-Regular"/>
        </w:rPr>
        <w:t>Surg</w:t>
      </w:r>
      <w:proofErr w:type="spellEnd"/>
      <w:r w:rsidRPr="008C562A">
        <w:rPr>
          <w:rFonts w:cs="MinionPro-Regular"/>
        </w:rPr>
        <w:t xml:space="preserve"> 39:261–267, 2010.</w:t>
      </w:r>
    </w:p>
    <w:p w:rsidR="00CD5A1E" w:rsidRDefault="00CD5A1E" w:rsidP="00CD5A1E">
      <w:pPr>
        <w:autoSpaceDE w:val="0"/>
        <w:autoSpaceDN w:val="0"/>
        <w:adjustRightInd w:val="0"/>
        <w:spacing w:after="0" w:line="240" w:lineRule="auto"/>
        <w:rPr>
          <w:rFonts w:cs="MinionPro-Regular"/>
        </w:rPr>
      </w:pPr>
    </w:p>
    <w:p w:rsidR="00CD5A1E" w:rsidRDefault="00CD5A1E" w:rsidP="00CD5A1E">
      <w:pPr>
        <w:autoSpaceDE w:val="0"/>
        <w:autoSpaceDN w:val="0"/>
        <w:adjustRightInd w:val="0"/>
        <w:spacing w:after="0" w:line="240" w:lineRule="auto"/>
      </w:pPr>
      <w:r>
        <w:t>Few adenocarcinoma patients are operable for cure, and the short-term morbidity with radical resection can be high. Of 17 dogs treated with surgery for gastric adenocarcinoma, the median survival was 2 months</w:t>
      </w:r>
    </w:p>
    <w:p w:rsidR="00CD5A1E" w:rsidRDefault="00CD5A1E" w:rsidP="008C562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</w:pPr>
      <w:r>
        <w:t xml:space="preserve">Swann HM, Holt DE: Canine gastric adenocarcinoma and </w:t>
      </w:r>
      <w:proofErr w:type="spellStart"/>
      <w:r>
        <w:t>leiomyosarcoma</w:t>
      </w:r>
      <w:proofErr w:type="spellEnd"/>
      <w:r>
        <w:t xml:space="preserve">: a retrospective study of 21 cases (1986-1999) and literature review, J Am </w:t>
      </w:r>
      <w:proofErr w:type="spellStart"/>
      <w:r>
        <w:t>Anim</w:t>
      </w:r>
      <w:proofErr w:type="spellEnd"/>
      <w:r>
        <w:t xml:space="preserve"> </w:t>
      </w:r>
      <w:proofErr w:type="spellStart"/>
      <w:r>
        <w:t>Hosp</w:t>
      </w:r>
      <w:proofErr w:type="spellEnd"/>
      <w:r>
        <w:t xml:space="preserve"> </w:t>
      </w:r>
      <w:proofErr w:type="spellStart"/>
      <w:r>
        <w:t>Assoc</w:t>
      </w:r>
      <w:proofErr w:type="spellEnd"/>
      <w:r>
        <w:t xml:space="preserve"> 38:157–164, 2002.</w:t>
      </w:r>
    </w:p>
    <w:p w:rsidR="00CD5A1E" w:rsidRDefault="00CD5A1E" w:rsidP="00CD5A1E">
      <w:pPr>
        <w:autoSpaceDE w:val="0"/>
        <w:autoSpaceDN w:val="0"/>
        <w:adjustRightInd w:val="0"/>
        <w:spacing w:after="0" w:line="240" w:lineRule="auto"/>
      </w:pPr>
    </w:p>
    <w:p w:rsidR="00CD5A1E" w:rsidRDefault="00CD5A1E" w:rsidP="008C562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Rivers BJ, Walter PA, Johnston GR, et al: Canine gastric neoplasia: utility of ultrasonography in diagnosis, J Am </w:t>
      </w:r>
      <w:proofErr w:type="spellStart"/>
      <w:r>
        <w:t>Anim</w:t>
      </w:r>
      <w:proofErr w:type="spellEnd"/>
      <w:r>
        <w:t xml:space="preserve"> </w:t>
      </w:r>
      <w:proofErr w:type="spellStart"/>
      <w:r>
        <w:t>Hosp</w:t>
      </w:r>
      <w:proofErr w:type="spellEnd"/>
      <w:r>
        <w:t xml:space="preserve"> </w:t>
      </w:r>
      <w:proofErr w:type="spellStart"/>
      <w:r>
        <w:t>Assoc</w:t>
      </w:r>
      <w:proofErr w:type="spellEnd"/>
      <w:r>
        <w:t xml:space="preserve"> 33:144–155, 1997.</w:t>
      </w:r>
    </w:p>
    <w:p w:rsidR="00CD5A1E" w:rsidRDefault="00CD5A1E" w:rsidP="00CD5A1E">
      <w:pPr>
        <w:autoSpaceDE w:val="0"/>
        <w:autoSpaceDN w:val="0"/>
        <w:adjustRightInd w:val="0"/>
        <w:spacing w:after="0" w:line="240" w:lineRule="auto"/>
      </w:pPr>
    </w:p>
    <w:p w:rsidR="00CD5A1E" w:rsidRDefault="00CD5A1E" w:rsidP="008C562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</w:pPr>
      <w:r>
        <w:t xml:space="preserve">Beck C, </w:t>
      </w:r>
      <w:proofErr w:type="spellStart"/>
      <w:r>
        <w:t>Slocombe</w:t>
      </w:r>
      <w:proofErr w:type="spellEnd"/>
      <w:r>
        <w:t xml:space="preserve"> RF, O’Neill T, et al: The use of ultrasound in the investigation of gastric carcinoma in a dog, </w:t>
      </w:r>
      <w:proofErr w:type="spellStart"/>
      <w:r>
        <w:t>Aust</w:t>
      </w:r>
      <w:proofErr w:type="spellEnd"/>
      <w:r>
        <w:t xml:space="preserve"> Vet J 79:332–334, 2001.</w:t>
      </w:r>
    </w:p>
    <w:p w:rsidR="00CD5A1E" w:rsidRDefault="00CD5A1E" w:rsidP="00CD5A1E">
      <w:pPr>
        <w:autoSpaceDE w:val="0"/>
        <w:autoSpaceDN w:val="0"/>
        <w:adjustRightInd w:val="0"/>
        <w:spacing w:after="0" w:line="240" w:lineRule="auto"/>
      </w:pPr>
    </w:p>
    <w:p w:rsidR="002A741F" w:rsidRDefault="00CD5A1E" w:rsidP="00CD5A1E">
      <w:pPr>
        <w:autoSpaceDE w:val="0"/>
        <w:autoSpaceDN w:val="0"/>
        <w:adjustRightInd w:val="0"/>
        <w:spacing w:after="0" w:line="240" w:lineRule="auto"/>
      </w:pPr>
      <w:r>
        <w:t>Most carcinomas occur</w:t>
      </w:r>
      <w:r w:rsidR="002A741F">
        <w:t xml:space="preserve"> </w:t>
      </w:r>
      <w:r>
        <w:t>in the lower two-thirds of the stomach, particularly the pylorus. Most affected dogs are older</w:t>
      </w:r>
      <w:r w:rsidR="002A741F">
        <w:t xml:space="preserve"> </w:t>
      </w:r>
      <w:r>
        <w:t xml:space="preserve">(median age = 10 years) and there is a male predominance (2-3:1). </w:t>
      </w:r>
    </w:p>
    <w:p w:rsidR="00CD5A1E" w:rsidRDefault="00CD5A1E" w:rsidP="00CD5A1E">
      <w:pPr>
        <w:autoSpaceDE w:val="0"/>
        <w:autoSpaceDN w:val="0"/>
        <w:adjustRightInd w:val="0"/>
        <w:spacing w:after="0" w:line="240" w:lineRule="auto"/>
      </w:pPr>
      <w:r>
        <w:t>Chow Chows have a 40X</w:t>
      </w:r>
      <w:r w:rsidR="002A741F">
        <w:t xml:space="preserve"> </w:t>
      </w:r>
      <w:r>
        <w:t>risk of gastric carcinoma compared to the general population.</w:t>
      </w:r>
    </w:p>
    <w:p w:rsidR="002A741F" w:rsidRDefault="002A741F" w:rsidP="00CD5A1E">
      <w:pPr>
        <w:autoSpaceDE w:val="0"/>
        <w:autoSpaceDN w:val="0"/>
        <w:adjustRightInd w:val="0"/>
        <w:spacing w:after="0" w:line="240" w:lineRule="auto"/>
      </w:pPr>
    </w:p>
    <w:p w:rsidR="00CD5A1E" w:rsidRDefault="00CD5A1E" w:rsidP="00CD5A1E">
      <w:pPr>
        <w:autoSpaceDE w:val="0"/>
        <w:autoSpaceDN w:val="0"/>
        <w:adjustRightInd w:val="0"/>
        <w:spacing w:after="0" w:line="240" w:lineRule="auto"/>
      </w:pPr>
      <w:r>
        <w:t>Gastric adenocarcinomas often involve a large area of the stomach wall</w:t>
      </w:r>
      <w:r w:rsidR="002A741F">
        <w:t xml:space="preserve"> </w:t>
      </w:r>
      <w:r>
        <w:t>and surgical resection may be difficult. They arise in the mucosa, but most often extend to or</w:t>
      </w:r>
      <w:r w:rsidR="002A741F">
        <w:t xml:space="preserve"> </w:t>
      </w:r>
      <w:r>
        <w:t xml:space="preserve">through the </w:t>
      </w:r>
      <w:proofErr w:type="spellStart"/>
      <w:r>
        <w:t>serosal</w:t>
      </w:r>
      <w:proofErr w:type="spellEnd"/>
      <w:r>
        <w:t>. Ulceration is common. The metastatic rate is high; &gt;75% of dogs will have</w:t>
      </w:r>
      <w:r w:rsidR="002A741F">
        <w:t xml:space="preserve"> </w:t>
      </w:r>
      <w:r>
        <w:t>metastases to gastric lymph nodes, peritoneum, liver, and other viscera.</w:t>
      </w:r>
    </w:p>
    <w:p w:rsidR="002A741F" w:rsidRDefault="002A741F" w:rsidP="00CD5A1E">
      <w:pPr>
        <w:autoSpaceDE w:val="0"/>
        <w:autoSpaceDN w:val="0"/>
        <w:adjustRightInd w:val="0"/>
        <w:spacing w:after="0" w:line="240" w:lineRule="auto"/>
      </w:pPr>
    </w:p>
    <w:p w:rsidR="00CD5A1E" w:rsidRDefault="00CD5A1E" w:rsidP="002A741F">
      <w:pPr>
        <w:autoSpaceDE w:val="0"/>
        <w:autoSpaceDN w:val="0"/>
        <w:adjustRightInd w:val="0"/>
        <w:spacing w:after="0" w:line="240" w:lineRule="auto"/>
      </w:pPr>
      <w:r>
        <w:t>Treatment and Prognosis – Surgery: Advanced size at diagnosis, diffuse nature, and high</w:t>
      </w:r>
      <w:r w:rsidR="002A741F">
        <w:t xml:space="preserve"> </w:t>
      </w:r>
      <w:r>
        <w:t>metastatic rate usually lead to a poor outcome with surgery alone. Procedures such as side-to</w:t>
      </w:r>
      <w:r w:rsidR="002A741F">
        <w:t xml:space="preserve"> </w:t>
      </w:r>
      <w:r>
        <w:t>side</w:t>
      </w:r>
      <w:r w:rsidR="002A741F">
        <w:t xml:space="preserve"> </w:t>
      </w:r>
      <w:proofErr w:type="spellStart"/>
      <w:r>
        <w:t>gastrojejunostomy</w:t>
      </w:r>
      <w:proofErr w:type="spellEnd"/>
      <w:r>
        <w:t xml:space="preserve">, </w:t>
      </w:r>
      <w:proofErr w:type="spellStart"/>
      <w:r>
        <w:t>gastroduodenostomy</w:t>
      </w:r>
      <w:proofErr w:type="spellEnd"/>
      <w:r>
        <w:t xml:space="preserve"> (</w:t>
      </w:r>
      <w:proofErr w:type="spellStart"/>
      <w:r>
        <w:t>Billroth</w:t>
      </w:r>
      <w:proofErr w:type="spellEnd"/>
      <w:r>
        <w:t xml:space="preserve"> I), and even complete </w:t>
      </w:r>
      <w:proofErr w:type="spellStart"/>
      <w:r>
        <w:t>gastrectomy</w:t>
      </w:r>
      <w:proofErr w:type="spellEnd"/>
      <w:r>
        <w:t xml:space="preserve"> have</w:t>
      </w:r>
      <w:r w:rsidR="002A741F">
        <w:t xml:space="preserve"> </w:t>
      </w:r>
      <w:r>
        <w:t xml:space="preserve">been reported. Survival times are generally short – usually 2-4 months. </w:t>
      </w:r>
    </w:p>
    <w:p w:rsidR="00CD5A1E" w:rsidRDefault="00CD5A1E" w:rsidP="00CD5A1E">
      <w:pPr>
        <w:autoSpaceDE w:val="0"/>
        <w:autoSpaceDN w:val="0"/>
        <w:adjustRightInd w:val="0"/>
        <w:spacing w:after="0" w:line="240" w:lineRule="auto"/>
      </w:pPr>
    </w:p>
    <w:p w:rsidR="00CD5A1E" w:rsidRPr="00CD5A1E" w:rsidRDefault="007310B3" w:rsidP="00CD5A1E">
      <w:pPr>
        <w:shd w:val="clear" w:color="auto" w:fill="FFFFFF"/>
        <w:spacing w:after="0" w:line="348" w:lineRule="atLeast"/>
        <w:rPr>
          <w:rFonts w:eastAsia="Times New Roman" w:cs="Arial"/>
        </w:rPr>
      </w:pPr>
      <w:hyperlink r:id="rId7" w:tooltip="The Veterinary record." w:history="1">
        <w:r w:rsidR="00CD5A1E" w:rsidRPr="002A741F">
          <w:rPr>
            <w:rFonts w:eastAsia="Times New Roman" w:cs="Arial"/>
          </w:rPr>
          <w:t>Vet Rec.</w:t>
        </w:r>
      </w:hyperlink>
      <w:r w:rsidR="00CD5A1E" w:rsidRPr="002A741F">
        <w:rPr>
          <w:rFonts w:eastAsia="Times New Roman" w:cs="Arial"/>
        </w:rPr>
        <w:t> </w:t>
      </w:r>
      <w:r w:rsidR="00CD5A1E" w:rsidRPr="00CD5A1E">
        <w:rPr>
          <w:rFonts w:eastAsia="Times New Roman" w:cs="Arial"/>
        </w:rPr>
        <w:t>1987 Jan 24</w:t>
      </w:r>
      <w:proofErr w:type="gramStart"/>
      <w:r w:rsidR="00CD5A1E" w:rsidRPr="00CD5A1E">
        <w:rPr>
          <w:rFonts w:eastAsia="Times New Roman" w:cs="Arial"/>
        </w:rPr>
        <w:t>;120</w:t>
      </w:r>
      <w:proofErr w:type="gramEnd"/>
      <w:r w:rsidR="00CD5A1E" w:rsidRPr="00CD5A1E">
        <w:rPr>
          <w:rFonts w:eastAsia="Times New Roman" w:cs="Arial"/>
        </w:rPr>
        <w:t>(4):79-83.</w:t>
      </w:r>
    </w:p>
    <w:p w:rsidR="00CD5A1E" w:rsidRPr="00CD5A1E" w:rsidRDefault="00CD5A1E" w:rsidP="00CD5A1E">
      <w:pPr>
        <w:shd w:val="clear" w:color="auto" w:fill="FFFFFF"/>
        <w:spacing w:before="90" w:after="90" w:line="270" w:lineRule="atLeast"/>
        <w:outlineLvl w:val="0"/>
        <w:rPr>
          <w:rFonts w:eastAsia="Times New Roman" w:cs="Arial"/>
          <w:b/>
          <w:bCs/>
          <w:kern w:val="36"/>
          <w:sz w:val="30"/>
          <w:szCs w:val="30"/>
        </w:rPr>
      </w:pPr>
      <w:r w:rsidRPr="00CD5A1E">
        <w:rPr>
          <w:rFonts w:eastAsia="Times New Roman" w:cs="Arial"/>
          <w:b/>
          <w:bCs/>
          <w:kern w:val="36"/>
          <w:sz w:val="30"/>
          <w:szCs w:val="30"/>
        </w:rPr>
        <w:lastRenderedPageBreak/>
        <w:t>A study of 31 cases of gastric carcinoma in dogs.</w:t>
      </w:r>
    </w:p>
    <w:p w:rsidR="00CD5A1E" w:rsidRPr="00CD5A1E" w:rsidRDefault="007310B3" w:rsidP="00CD5A1E">
      <w:pPr>
        <w:shd w:val="clear" w:color="auto" w:fill="FFFFFF"/>
        <w:spacing w:after="0" w:line="240" w:lineRule="auto"/>
        <w:rPr>
          <w:rFonts w:eastAsia="Times New Roman" w:cs="Arial"/>
        </w:rPr>
      </w:pPr>
      <w:hyperlink r:id="rId8" w:history="1">
        <w:r w:rsidR="00CD5A1E" w:rsidRPr="002A741F">
          <w:rPr>
            <w:rFonts w:eastAsia="Times New Roman" w:cs="Arial"/>
          </w:rPr>
          <w:t>Sullivan M</w:t>
        </w:r>
      </w:hyperlink>
      <w:r w:rsidR="00CD5A1E" w:rsidRPr="00CD5A1E">
        <w:rPr>
          <w:rFonts w:eastAsia="Times New Roman" w:cs="Arial"/>
        </w:rPr>
        <w:t>,</w:t>
      </w:r>
      <w:r w:rsidR="00CD5A1E" w:rsidRPr="002A741F">
        <w:rPr>
          <w:rFonts w:eastAsia="Times New Roman" w:cs="Arial"/>
        </w:rPr>
        <w:t> </w:t>
      </w:r>
      <w:hyperlink r:id="rId9" w:history="1">
        <w:r w:rsidR="00CD5A1E" w:rsidRPr="002A741F">
          <w:rPr>
            <w:rFonts w:eastAsia="Times New Roman" w:cs="Arial"/>
          </w:rPr>
          <w:t>Lee R</w:t>
        </w:r>
      </w:hyperlink>
      <w:r w:rsidR="00CD5A1E" w:rsidRPr="00CD5A1E">
        <w:rPr>
          <w:rFonts w:eastAsia="Times New Roman" w:cs="Arial"/>
        </w:rPr>
        <w:t>,</w:t>
      </w:r>
      <w:r w:rsidR="00CD5A1E" w:rsidRPr="002A741F">
        <w:rPr>
          <w:rFonts w:eastAsia="Times New Roman" w:cs="Arial"/>
        </w:rPr>
        <w:t> </w:t>
      </w:r>
      <w:hyperlink r:id="rId10" w:history="1">
        <w:r w:rsidR="00CD5A1E" w:rsidRPr="002A741F">
          <w:rPr>
            <w:rFonts w:eastAsia="Times New Roman" w:cs="Arial"/>
          </w:rPr>
          <w:t>Fisher EW</w:t>
        </w:r>
      </w:hyperlink>
      <w:r w:rsidR="00CD5A1E" w:rsidRPr="00CD5A1E">
        <w:rPr>
          <w:rFonts w:eastAsia="Times New Roman" w:cs="Arial"/>
        </w:rPr>
        <w:t>,</w:t>
      </w:r>
      <w:r w:rsidR="00CD5A1E" w:rsidRPr="002A741F">
        <w:rPr>
          <w:rFonts w:eastAsia="Times New Roman" w:cs="Arial"/>
        </w:rPr>
        <w:t> </w:t>
      </w:r>
      <w:hyperlink r:id="rId11" w:history="1">
        <w:r w:rsidR="00CD5A1E" w:rsidRPr="002A741F">
          <w:rPr>
            <w:rFonts w:eastAsia="Times New Roman" w:cs="Arial"/>
          </w:rPr>
          <w:t>Nash AS</w:t>
        </w:r>
      </w:hyperlink>
      <w:r w:rsidR="00CD5A1E" w:rsidRPr="00CD5A1E">
        <w:rPr>
          <w:rFonts w:eastAsia="Times New Roman" w:cs="Arial"/>
        </w:rPr>
        <w:t>,</w:t>
      </w:r>
      <w:r w:rsidR="00CD5A1E" w:rsidRPr="002A741F">
        <w:rPr>
          <w:rFonts w:eastAsia="Times New Roman" w:cs="Arial"/>
        </w:rPr>
        <w:t> </w:t>
      </w:r>
      <w:proofErr w:type="spellStart"/>
      <w:r w:rsidR="00CD5A1E" w:rsidRPr="00CD5A1E">
        <w:rPr>
          <w:rFonts w:eastAsia="Times New Roman" w:cs="Arial"/>
        </w:rPr>
        <w:fldChar w:fldCharType="begin"/>
      </w:r>
      <w:r w:rsidR="00CD5A1E" w:rsidRPr="00CD5A1E">
        <w:rPr>
          <w:rFonts w:eastAsia="Times New Roman" w:cs="Arial"/>
        </w:rPr>
        <w:instrText xml:space="preserve"> HYPERLINK "http://www.ncbi.nlm.nih.gov/pubmed?term=McCandlish%20IA%5BAuthor%5D&amp;cauthor=true&amp;cauthor_uid=3029939" </w:instrText>
      </w:r>
      <w:r w:rsidR="00CD5A1E" w:rsidRPr="00CD5A1E">
        <w:rPr>
          <w:rFonts w:eastAsia="Times New Roman" w:cs="Arial"/>
        </w:rPr>
        <w:fldChar w:fldCharType="separate"/>
      </w:r>
      <w:r w:rsidR="00CD5A1E" w:rsidRPr="002A741F">
        <w:rPr>
          <w:rFonts w:eastAsia="Times New Roman" w:cs="Arial"/>
        </w:rPr>
        <w:t>McCandlish</w:t>
      </w:r>
      <w:proofErr w:type="spellEnd"/>
      <w:r w:rsidR="00CD5A1E" w:rsidRPr="002A741F">
        <w:rPr>
          <w:rFonts w:eastAsia="Times New Roman" w:cs="Arial"/>
        </w:rPr>
        <w:t xml:space="preserve"> IA</w:t>
      </w:r>
      <w:r w:rsidR="00CD5A1E" w:rsidRPr="00CD5A1E">
        <w:rPr>
          <w:rFonts w:eastAsia="Times New Roman" w:cs="Arial"/>
        </w:rPr>
        <w:fldChar w:fldCharType="end"/>
      </w:r>
      <w:r w:rsidR="00CD5A1E" w:rsidRPr="00CD5A1E">
        <w:rPr>
          <w:rFonts w:eastAsia="Times New Roman" w:cs="Arial"/>
        </w:rPr>
        <w:t>.</w:t>
      </w:r>
    </w:p>
    <w:p w:rsidR="00CD5A1E" w:rsidRPr="00CD5A1E" w:rsidRDefault="00CD5A1E" w:rsidP="00CD5A1E">
      <w:pPr>
        <w:shd w:val="clear" w:color="auto" w:fill="FFFFFF"/>
        <w:spacing w:after="0" w:line="240" w:lineRule="auto"/>
        <w:outlineLvl w:val="2"/>
        <w:rPr>
          <w:rFonts w:eastAsia="Times New Roman" w:cs="Arial"/>
          <w:b/>
          <w:bCs/>
        </w:rPr>
      </w:pPr>
      <w:r w:rsidRPr="00CD5A1E">
        <w:rPr>
          <w:rFonts w:eastAsia="Times New Roman" w:cs="Arial"/>
          <w:b/>
          <w:bCs/>
        </w:rPr>
        <w:t>Abstract</w:t>
      </w:r>
    </w:p>
    <w:p w:rsidR="00CD5A1E" w:rsidRPr="00CD5A1E" w:rsidRDefault="00CD5A1E" w:rsidP="00CD5A1E">
      <w:pPr>
        <w:shd w:val="clear" w:color="auto" w:fill="FFFFFF"/>
        <w:spacing w:after="120" w:line="270" w:lineRule="atLeast"/>
        <w:rPr>
          <w:rFonts w:eastAsia="Times New Roman" w:cs="Arial"/>
        </w:rPr>
      </w:pPr>
      <w:r w:rsidRPr="00CD5A1E">
        <w:rPr>
          <w:rFonts w:eastAsia="Times New Roman" w:cs="Arial"/>
        </w:rPr>
        <w:t xml:space="preserve">Over a five year period 31 dogs were diagnosed as having advanced gastric carcinoma. The most frequent clinical features were vomiting, polydipsia and weight loss. A predisposition to the </w:t>
      </w:r>
      <w:proofErr w:type="spellStart"/>
      <w:r w:rsidRPr="00CD5A1E">
        <w:rPr>
          <w:rFonts w:eastAsia="Times New Roman" w:cs="Arial"/>
        </w:rPr>
        <w:t>tumour</w:t>
      </w:r>
      <w:proofErr w:type="spellEnd"/>
      <w:r w:rsidRPr="00CD5A1E">
        <w:rPr>
          <w:rFonts w:eastAsia="Times New Roman" w:cs="Arial"/>
        </w:rPr>
        <w:t xml:space="preserve"> was found in the rough collie and Staffordshire bull terrier. In 18 dogs the main finding </w:t>
      </w:r>
      <w:proofErr w:type="spellStart"/>
      <w:r w:rsidRPr="00CD5A1E">
        <w:rPr>
          <w:rFonts w:eastAsia="Times New Roman" w:cs="Arial"/>
        </w:rPr>
        <w:t>endoscopically</w:t>
      </w:r>
      <w:proofErr w:type="spellEnd"/>
      <w:r w:rsidRPr="00CD5A1E">
        <w:rPr>
          <w:rFonts w:eastAsia="Times New Roman" w:cs="Arial"/>
        </w:rPr>
        <w:t xml:space="preserve"> was a large deep ulcer with thickened, irregular rims and walls. Fluoroscopically a marked irregularity of the mucosal surface was noted in 10 dogs. Pathologically, large ulcers with thickening of the stomach wall and involvement of the </w:t>
      </w:r>
      <w:proofErr w:type="spellStart"/>
      <w:r w:rsidRPr="00CD5A1E">
        <w:rPr>
          <w:rFonts w:eastAsia="Times New Roman" w:cs="Arial"/>
        </w:rPr>
        <w:t>serosal</w:t>
      </w:r>
      <w:proofErr w:type="spellEnd"/>
      <w:r w:rsidRPr="00CD5A1E">
        <w:rPr>
          <w:rFonts w:eastAsia="Times New Roman" w:cs="Arial"/>
        </w:rPr>
        <w:t xml:space="preserve"> </w:t>
      </w:r>
      <w:proofErr w:type="spellStart"/>
      <w:r w:rsidRPr="00CD5A1E">
        <w:rPr>
          <w:rFonts w:eastAsia="Times New Roman" w:cs="Arial"/>
        </w:rPr>
        <w:t>lymphatics</w:t>
      </w:r>
      <w:proofErr w:type="spellEnd"/>
      <w:r w:rsidRPr="00CD5A1E">
        <w:rPr>
          <w:rFonts w:eastAsia="Times New Roman" w:cs="Arial"/>
        </w:rPr>
        <w:t xml:space="preserve"> were evident in 17 dogs, and similar ulcers with involvement of the gastric lymph nodes were evident in 18 dogs.</w:t>
      </w:r>
    </w:p>
    <w:p w:rsidR="00CD5A1E" w:rsidRDefault="00CD5A1E" w:rsidP="00CD5A1E">
      <w:pPr>
        <w:autoSpaceDE w:val="0"/>
        <w:autoSpaceDN w:val="0"/>
        <w:adjustRightInd w:val="0"/>
        <w:spacing w:after="0" w:line="240" w:lineRule="auto"/>
      </w:pPr>
    </w:p>
    <w:sectPr w:rsidR="00CD5A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Pro-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3106D"/>
    <w:multiLevelType w:val="hybridMultilevel"/>
    <w:tmpl w:val="D4BEF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6A58B8"/>
    <w:multiLevelType w:val="hybridMultilevel"/>
    <w:tmpl w:val="8EA86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442729"/>
    <w:multiLevelType w:val="hybridMultilevel"/>
    <w:tmpl w:val="6CB48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378"/>
    <w:rsid w:val="002A741F"/>
    <w:rsid w:val="002B0B43"/>
    <w:rsid w:val="00333B7E"/>
    <w:rsid w:val="00581378"/>
    <w:rsid w:val="00772F12"/>
    <w:rsid w:val="008C562A"/>
    <w:rsid w:val="009E3458"/>
    <w:rsid w:val="00CD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D5A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CD5A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5A1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CD5A1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CD5A1E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D5A1E"/>
  </w:style>
  <w:style w:type="paragraph" w:styleId="NormalWeb">
    <w:name w:val="Normal (Web)"/>
    <w:basedOn w:val="Normal"/>
    <w:uiPriority w:val="99"/>
    <w:semiHidden/>
    <w:unhideWhenUsed/>
    <w:rsid w:val="00CD5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C56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D5A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CD5A1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5A1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CD5A1E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CD5A1E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D5A1E"/>
  </w:style>
  <w:style w:type="paragraph" w:styleId="NormalWeb">
    <w:name w:val="Normal (Web)"/>
    <w:basedOn w:val="Normal"/>
    <w:uiPriority w:val="99"/>
    <w:semiHidden/>
    <w:unhideWhenUsed/>
    <w:rsid w:val="00CD5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C5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7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6150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04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?term=Sullivan%20M%5BAuthor%5D&amp;cauthor=true&amp;cauthor_uid=302993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ncbi.nlm.nih.gov/pubmed/3029939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ncbi.nlm.nih.gov/pubmed?term=Nash%20AS%5BAuthor%5D&amp;cauthor=true&amp;cauthor_uid=3029939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ncbi.nlm.nih.gov/pubmed?term=Fisher%20EW%5BAuthor%5D&amp;cauthor=true&amp;cauthor_uid=302993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ncbi.nlm.nih.gov/pubmed?term=Lee%20R%5BAuthor%5D&amp;cauthor=true&amp;cauthor_uid=30299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3C88C-C62A-45E7-A494-B41471D0F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Smith</dc:creator>
  <cp:keywords/>
  <dc:description/>
  <cp:lastModifiedBy>VM-Student</cp:lastModifiedBy>
  <cp:revision>2</cp:revision>
  <dcterms:created xsi:type="dcterms:W3CDTF">2014-02-20T15:18:00Z</dcterms:created>
  <dcterms:modified xsi:type="dcterms:W3CDTF">2014-02-20T22:26:00Z</dcterms:modified>
</cp:coreProperties>
</file>