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B93" w:rsidRDefault="009B75C8">
      <w:r>
        <w:t>Massive Transfusion in Dogs: 15 Cases (1997-2001)</w:t>
      </w:r>
      <w:r>
        <w:br/>
      </w:r>
      <w:proofErr w:type="spellStart"/>
      <w:r>
        <w:t>Jutkowitz</w:t>
      </w:r>
      <w:proofErr w:type="spellEnd"/>
      <w:r>
        <w:t xml:space="preserve"> LA, </w:t>
      </w:r>
      <w:proofErr w:type="spellStart"/>
      <w:r>
        <w:t>Rozanski</w:t>
      </w:r>
      <w:proofErr w:type="spellEnd"/>
      <w:r>
        <w:t xml:space="preserve"> EA, Moreau JA, et al</w:t>
      </w:r>
    </w:p>
    <w:p w:rsidR="009B75C8" w:rsidRDefault="009B75C8">
      <w:r>
        <w:t>JAVMA 2002</w:t>
      </w:r>
    </w:p>
    <w:p w:rsidR="009B75C8" w:rsidRDefault="009B75C8">
      <w:r>
        <w:br/>
        <w:t>Abstract:</w:t>
      </w:r>
    </w:p>
    <w:p w:rsidR="009B75C8" w:rsidRDefault="009B75C8">
      <w:r>
        <w:br/>
        <w:t xml:space="preserve">Objective: To determine clinical characteristics of dogs </w:t>
      </w:r>
      <w:proofErr w:type="gramStart"/>
      <w:r>
        <w:t>that received massive transfusion and identify</w:t>
      </w:r>
      <w:proofErr w:type="gramEnd"/>
      <w:r>
        <w:t xml:space="preserve"> the underlying diseases, complications, and outcomes.</w:t>
      </w:r>
    </w:p>
    <w:p w:rsidR="009B75C8" w:rsidRDefault="009B75C8"/>
    <w:p w:rsidR="009B75C8" w:rsidRDefault="009B75C8">
      <w:r>
        <w:t>Design: Retrospective study</w:t>
      </w:r>
    </w:p>
    <w:p w:rsidR="009B75C8" w:rsidRDefault="009B75C8"/>
    <w:p w:rsidR="009B75C8" w:rsidRDefault="009B75C8">
      <w:r>
        <w:t>Animals: 15 dogs</w:t>
      </w:r>
    </w:p>
    <w:p w:rsidR="009B75C8" w:rsidRDefault="009B75C8"/>
    <w:p w:rsidR="009B75C8" w:rsidRDefault="009B75C8">
      <w:r>
        <w:t>Procedure: Medical records of dogs receiving a massive blood transfusion were evaluated for transfusion volume, underlying disease process or injury, benefits and complications of transfusion, and outcome.  A massive transfusion was defined as transfusion of a volume of blood products in excess of the patient’s estimated blood volume (90ml/kg [40ml/</w:t>
      </w:r>
      <w:proofErr w:type="spellStart"/>
      <w:r>
        <w:t>lb</w:t>
      </w:r>
      <w:proofErr w:type="spellEnd"/>
      <w:r>
        <w:t>]) in a 24-hour period or transfusion of a volume of blood products in excess of half the patient’s estimated blood volume in a 3-hour period.</w:t>
      </w:r>
    </w:p>
    <w:p w:rsidR="009B75C8" w:rsidRDefault="009B75C8"/>
    <w:p w:rsidR="009B75C8" w:rsidRDefault="009B75C8">
      <w:r>
        <w:t xml:space="preserve">Results: Six dogs had intra-abdominal </w:t>
      </w:r>
      <w:proofErr w:type="spellStart"/>
      <w:r>
        <w:t>neoplasia</w:t>
      </w:r>
      <w:proofErr w:type="spellEnd"/>
      <w:r>
        <w:t xml:space="preserve"> resulting in </w:t>
      </w:r>
      <w:proofErr w:type="spellStart"/>
      <w:r>
        <w:t>hemoabdomen</w:t>
      </w:r>
      <w:proofErr w:type="spellEnd"/>
      <w:r>
        <w:t xml:space="preserve">, 3 had suffered a traumatic incident resulting in </w:t>
      </w:r>
      <w:proofErr w:type="spellStart"/>
      <w:r>
        <w:t>hemoabdomen</w:t>
      </w:r>
      <w:proofErr w:type="spellEnd"/>
      <w:r>
        <w:t>, and 6 had non-traumatic, non-neoplastic blood loss.  Mean volumes of packed RBC and fresh-frozen plasma administered were 66.5ml/kg (30ml/</w:t>
      </w:r>
      <w:proofErr w:type="spellStart"/>
      <w:r>
        <w:t>lb</w:t>
      </w:r>
      <w:proofErr w:type="spellEnd"/>
      <w:r>
        <w:t>) and 22.2ml/kg (10ml/</w:t>
      </w:r>
      <w:proofErr w:type="spellStart"/>
      <w:r>
        <w:t>lb</w:t>
      </w:r>
      <w:proofErr w:type="spellEnd"/>
      <w:r>
        <w:t>), respectively.  All dogs evaluated developed low ionized calcium concentrations and thrombocytopenia.  Transfusion reactions were recognized in 6 dogs.  Four dogs survived to hospital discharge.</w:t>
      </w:r>
    </w:p>
    <w:p w:rsidR="009B75C8" w:rsidRDefault="009B75C8"/>
    <w:p w:rsidR="009B75C8" w:rsidRDefault="009B75C8">
      <w:r>
        <w:t>Conclusions and Clinical Relevance: Results suggest that massive transfusion is possible and potentially successful in dogs.  Predictable changes in electrolyte concentrations and platelet count develop.</w:t>
      </w:r>
    </w:p>
    <w:p w:rsidR="009B75C8" w:rsidRDefault="009B75C8"/>
    <w:p w:rsidR="009B75C8" w:rsidRDefault="009B75C8">
      <w:r>
        <w:t>QUESTIONS:</w:t>
      </w:r>
    </w:p>
    <w:p w:rsidR="009B75C8" w:rsidRDefault="009B75C8"/>
    <w:p w:rsidR="009B75C8" w:rsidRDefault="009B75C8" w:rsidP="009B75C8">
      <w:pPr>
        <w:pStyle w:val="ListParagraph"/>
        <w:numPr>
          <w:ilvl w:val="0"/>
          <w:numId w:val="1"/>
        </w:numPr>
      </w:pPr>
      <w:r>
        <w:t>List 2 of the four definitions of massive transfusions.</w:t>
      </w:r>
    </w:p>
    <w:p w:rsidR="009B75C8" w:rsidRDefault="009B75C8" w:rsidP="009B75C8">
      <w:pPr>
        <w:ind w:left="720"/>
      </w:pPr>
      <w:r>
        <w:t>-Transfusion of a volume of whole blood or blood components that is greater than the patient’s estimated blood volume within a 24-hour period</w:t>
      </w:r>
    </w:p>
    <w:p w:rsidR="009B75C8" w:rsidRDefault="009B75C8" w:rsidP="009B75C8">
      <w:pPr>
        <w:ind w:left="720"/>
      </w:pPr>
      <w:r>
        <w:t>-Transfusion of half of the patient’s estimated blood volume within a 3-hour period</w:t>
      </w:r>
    </w:p>
    <w:p w:rsidR="009B75C8" w:rsidRDefault="009B75C8" w:rsidP="009B75C8">
      <w:pPr>
        <w:ind w:left="720"/>
      </w:pPr>
      <w:r>
        <w:t>-Transfusion of blood products at a rate of 1.5ml/kg/min over a period of 20 minutes</w:t>
      </w:r>
    </w:p>
    <w:p w:rsidR="009B75C8" w:rsidRDefault="009B75C8" w:rsidP="009B75C8">
      <w:pPr>
        <w:ind w:left="720"/>
      </w:pPr>
      <w:r>
        <w:t>-</w:t>
      </w:r>
      <w:proofErr w:type="spellStart"/>
      <w:r>
        <w:t>Tranfusion</w:t>
      </w:r>
      <w:proofErr w:type="spellEnd"/>
      <w:r>
        <w:t xml:space="preserve"> of 150% of the patient’s blood volume irrespective of time</w:t>
      </w:r>
    </w:p>
    <w:p w:rsidR="009B75C8" w:rsidRDefault="009B75C8" w:rsidP="009B75C8"/>
    <w:p w:rsidR="009B75C8" w:rsidRDefault="009B75C8" w:rsidP="009B75C8">
      <w:pPr>
        <w:pStyle w:val="ListParagraph"/>
        <w:numPr>
          <w:ilvl w:val="0"/>
          <w:numId w:val="1"/>
        </w:numPr>
      </w:pPr>
      <w:r>
        <w:t xml:space="preserve">The study by </w:t>
      </w:r>
      <w:proofErr w:type="spellStart"/>
      <w:r>
        <w:t>Jutkowitz</w:t>
      </w:r>
      <w:proofErr w:type="spellEnd"/>
      <w:r>
        <w:t xml:space="preserve">, found </w:t>
      </w:r>
      <w:r w:rsidR="00425A2F">
        <w:t>all of the following EXCEPT?</w:t>
      </w:r>
    </w:p>
    <w:p w:rsidR="009B75C8" w:rsidRDefault="009B75C8" w:rsidP="009B75C8">
      <w:pPr>
        <w:pStyle w:val="ListParagraph"/>
        <w:numPr>
          <w:ilvl w:val="1"/>
          <w:numId w:val="1"/>
        </w:numPr>
      </w:pPr>
      <w:r>
        <w:t>A statistically significant difference in pre- and post-massive transfusion ionized magnesium concentrations</w:t>
      </w:r>
    </w:p>
    <w:p w:rsidR="009B75C8" w:rsidRDefault="009B75C8" w:rsidP="009B75C8">
      <w:pPr>
        <w:pStyle w:val="ListParagraph"/>
        <w:numPr>
          <w:ilvl w:val="1"/>
          <w:numId w:val="1"/>
        </w:numPr>
      </w:pPr>
      <w:r>
        <w:lastRenderedPageBreak/>
        <w:t>A statistically significant difference in pre- and post-massive transfusion ionized calcium concentrations</w:t>
      </w:r>
    </w:p>
    <w:p w:rsidR="00425A2F" w:rsidRDefault="00425A2F" w:rsidP="009B75C8">
      <w:pPr>
        <w:pStyle w:val="ListParagraph"/>
        <w:numPr>
          <w:ilvl w:val="1"/>
          <w:numId w:val="1"/>
        </w:numPr>
      </w:pPr>
      <w:r>
        <w:t>No animal with a  &gt;150% prolongation of the PT and APTT survived</w:t>
      </w:r>
    </w:p>
    <w:p w:rsidR="00425A2F" w:rsidRDefault="00425A2F" w:rsidP="00425A2F">
      <w:pPr>
        <w:pStyle w:val="ListParagraph"/>
        <w:numPr>
          <w:ilvl w:val="1"/>
          <w:numId w:val="1"/>
        </w:numPr>
      </w:pPr>
      <w:r>
        <w:t>A high mortality rate was detected among those patients received massive transfusions</w:t>
      </w:r>
    </w:p>
    <w:p w:rsidR="009B75C8" w:rsidRPr="00425A2F" w:rsidRDefault="00425A2F" w:rsidP="009B75C8">
      <w:pPr>
        <w:pStyle w:val="ListParagraph"/>
        <w:numPr>
          <w:ilvl w:val="1"/>
          <w:numId w:val="1"/>
        </w:numPr>
        <w:rPr>
          <w:b/>
        </w:rPr>
      </w:pPr>
      <w:r w:rsidRPr="00425A2F">
        <w:rPr>
          <w:b/>
        </w:rPr>
        <w:t xml:space="preserve">Transfusion reactions occurred at a similar frequency as published </w:t>
      </w:r>
      <w:proofErr w:type="spellStart"/>
      <w:r w:rsidRPr="00425A2F">
        <w:rPr>
          <w:b/>
        </w:rPr>
        <w:t>prevalences</w:t>
      </w:r>
      <w:proofErr w:type="spellEnd"/>
      <w:r w:rsidR="009B75C8" w:rsidRPr="00425A2F">
        <w:rPr>
          <w:b/>
        </w:rPr>
        <w:t xml:space="preserve"> </w:t>
      </w:r>
    </w:p>
    <w:p w:rsidR="00425A2F" w:rsidRDefault="00425A2F" w:rsidP="00425A2F"/>
    <w:p w:rsidR="00425A2F" w:rsidRDefault="00425A2F" w:rsidP="00425A2F">
      <w:pPr>
        <w:pStyle w:val="ListParagraph"/>
        <w:numPr>
          <w:ilvl w:val="0"/>
          <w:numId w:val="1"/>
        </w:numPr>
      </w:pPr>
      <w:r>
        <w:t>Though occurring uncommonly, hyperkalemia has been documented in humans receiving massive transfusions.  Why is hyperkalemia an unexpected adverse effect of massive transfusions in dogs?</w:t>
      </w:r>
    </w:p>
    <w:p w:rsidR="00425A2F" w:rsidRDefault="00425A2F" w:rsidP="00425A2F">
      <w:pPr>
        <w:ind w:left="720"/>
      </w:pPr>
      <w:r>
        <w:t xml:space="preserve">-Canine red blood cells lack substantial concentrations of potassium, therefore, hyperkalemia should not develop secondary to red blood cell </w:t>
      </w:r>
      <w:proofErr w:type="spellStart"/>
      <w:r>
        <w:t>lysis</w:t>
      </w:r>
      <w:proofErr w:type="spellEnd"/>
      <w:r>
        <w:t>.</w:t>
      </w:r>
    </w:p>
    <w:p w:rsidR="00425A2F" w:rsidRDefault="00425A2F" w:rsidP="00425A2F"/>
    <w:p w:rsidR="00425A2F" w:rsidRDefault="00425A2F" w:rsidP="00BE2ABB">
      <w:pPr>
        <w:pStyle w:val="ListParagraph"/>
        <w:numPr>
          <w:ilvl w:val="0"/>
          <w:numId w:val="1"/>
        </w:numPr>
      </w:pPr>
      <w:r>
        <w:t xml:space="preserve">List </w:t>
      </w:r>
      <w:r w:rsidR="00BE2ABB">
        <w:t>2 reasons why patients receiving massive transfusions may become progressively more thrombocytopenic?</w:t>
      </w:r>
    </w:p>
    <w:p w:rsidR="00BE2ABB" w:rsidRDefault="00BE2ABB" w:rsidP="00BE2ABB">
      <w:pPr>
        <w:pStyle w:val="ListParagraph"/>
      </w:pPr>
      <w:r>
        <w:t>-Transfusion of platelet-free blood products (</w:t>
      </w:r>
      <w:proofErr w:type="spellStart"/>
      <w:r>
        <w:t>dilutional</w:t>
      </w:r>
      <w:proofErr w:type="spellEnd"/>
      <w:r>
        <w:t>)</w:t>
      </w:r>
    </w:p>
    <w:p w:rsidR="00BE2ABB" w:rsidRDefault="00BE2ABB" w:rsidP="00BE2ABB">
      <w:pPr>
        <w:pStyle w:val="ListParagraph"/>
      </w:pPr>
      <w:r>
        <w:t>-Administration of large volumes of fluids (</w:t>
      </w:r>
      <w:proofErr w:type="spellStart"/>
      <w:r>
        <w:t>dilutional</w:t>
      </w:r>
      <w:proofErr w:type="spellEnd"/>
      <w:r>
        <w:t>)</w:t>
      </w:r>
    </w:p>
    <w:p w:rsidR="00BE2ABB" w:rsidRDefault="00BE2ABB" w:rsidP="00BE2ABB">
      <w:pPr>
        <w:pStyle w:val="ListParagraph"/>
      </w:pPr>
      <w:r>
        <w:t>-Underlying illness or injury triggering platelet consumption (</w:t>
      </w:r>
      <w:proofErr w:type="spellStart"/>
      <w:r>
        <w:t>consumptional</w:t>
      </w:r>
      <w:proofErr w:type="spellEnd"/>
      <w:r>
        <w:t>)</w:t>
      </w:r>
    </w:p>
    <w:p w:rsidR="00425A2F" w:rsidRDefault="00425A2F" w:rsidP="00BE2ABB"/>
    <w:p w:rsidR="00BE2ABB" w:rsidRDefault="00BE2ABB" w:rsidP="00BE2ABB"/>
    <w:p w:rsidR="00BE2ABB" w:rsidRDefault="00BE2ABB" w:rsidP="00BE2ABB">
      <w:r>
        <w:t>Use of Hemoglobin-Based Oxygen-Carrying Solution in Cats: 72 Cases (1998-2000)</w:t>
      </w:r>
    </w:p>
    <w:p w:rsidR="00BE2ABB" w:rsidRDefault="00BE2ABB" w:rsidP="00BE2ABB">
      <w:r>
        <w:t xml:space="preserve">Gibson GR, </w:t>
      </w:r>
      <w:proofErr w:type="spellStart"/>
      <w:r>
        <w:t>Callan</w:t>
      </w:r>
      <w:proofErr w:type="spellEnd"/>
      <w:r>
        <w:t xml:space="preserve"> MB, Hoffman V, et al.</w:t>
      </w:r>
    </w:p>
    <w:p w:rsidR="00BE2ABB" w:rsidRDefault="00BE2ABB" w:rsidP="00BE2ABB">
      <w:r>
        <w:t>JAVMA 2002</w:t>
      </w:r>
    </w:p>
    <w:p w:rsidR="00BE2ABB" w:rsidRDefault="00BE2ABB" w:rsidP="00BE2ABB">
      <w:r>
        <w:br/>
        <w:t>Abstract:</w:t>
      </w:r>
      <w:r>
        <w:br/>
      </w:r>
      <w:r>
        <w:br/>
        <w:t>Objective: To determine clinical features and outcome associated with use of a hemoglobin-based oxygen-carrying (HBOC) solution in cats.</w:t>
      </w:r>
    </w:p>
    <w:p w:rsidR="00BE2ABB" w:rsidRDefault="00BE2ABB" w:rsidP="00BE2ABB"/>
    <w:p w:rsidR="00BE2ABB" w:rsidRDefault="00BE2ABB" w:rsidP="00BE2ABB">
      <w:r>
        <w:t>Design: Retrospective study.</w:t>
      </w:r>
    </w:p>
    <w:p w:rsidR="00BE2ABB" w:rsidRDefault="00BE2ABB" w:rsidP="00BE2ABB"/>
    <w:p w:rsidR="00BE2ABB" w:rsidRDefault="00BE2ABB" w:rsidP="00BE2ABB">
      <w:r>
        <w:t>Animals: 72 cats.</w:t>
      </w:r>
    </w:p>
    <w:p w:rsidR="00BE2ABB" w:rsidRDefault="00BE2ABB" w:rsidP="00BE2ABB"/>
    <w:p w:rsidR="00BE2ABB" w:rsidRDefault="00BE2ABB" w:rsidP="00BE2ABB">
      <w:r>
        <w:t>Procedure: Medical records of cats that received an HBOC solution were reviewed.</w:t>
      </w:r>
    </w:p>
    <w:p w:rsidR="00BE2ABB" w:rsidRDefault="00BE2ABB" w:rsidP="00BE2ABB"/>
    <w:p w:rsidR="00BE2ABB" w:rsidRDefault="00BE2ABB" w:rsidP="00BE2ABB">
      <w:r>
        <w:t>Results: The most common clinical signs and physical examination findings prior to infusion of the HBOC solution were associated with anemia; vomiting, neurologic signs, and respiratory abnormalities were also detected.  The HBOC solution was given as a supportive measure in treatment of anemia in 70 cats, most often because compatible blood was not readily available.  There were 80 separate HBOC solution infusion events (mean dose, 14.6ml/kg [6.6ml/</w:t>
      </w:r>
      <w:proofErr w:type="spellStart"/>
      <w:r>
        <w:t>lb</w:t>
      </w:r>
      <w:proofErr w:type="spellEnd"/>
      <w:r>
        <w:t>]; mean rate of infusion, 4.8ml/kg [2.2ml/</w:t>
      </w:r>
      <w:proofErr w:type="spellStart"/>
      <w:r>
        <w:t>lb</w:t>
      </w:r>
      <w:proofErr w:type="spellEnd"/>
      <w:r>
        <w:t xml:space="preserve">] per hour).  Improvements in 37 of 43 of the more closely monitored cats included increased rectal temperature, blood hemoglobin concentration, blood pressure, appetite and activity.  Adverse events in 44 cats included pulmonary edema (n=8), pleural effusion (21), mucous membrane discoloration (21), </w:t>
      </w:r>
      <w:proofErr w:type="spellStart"/>
      <w:r>
        <w:t>pigmenturia</w:t>
      </w:r>
      <w:proofErr w:type="spellEnd"/>
      <w:r>
        <w:t xml:space="preserve"> (11), </w:t>
      </w:r>
      <w:proofErr w:type="gramStart"/>
      <w:r>
        <w:t>vomiting (4) and neuro</w:t>
      </w:r>
      <w:r w:rsidR="002157A9">
        <w:t>l</w:t>
      </w:r>
      <w:r>
        <w:t>ogic abnormalities</w:t>
      </w:r>
      <w:proofErr w:type="gramEnd"/>
      <w:r>
        <w:t xml:space="preserve"> (4).  Twenty-three cats were discharged from the hospital, and 49 cats died or were euthanized.  Necropsy examination of 23 cats did not reveal evidence of renal or hepatic </w:t>
      </w:r>
      <w:proofErr w:type="spellStart"/>
      <w:r>
        <w:t>toxicosis</w:t>
      </w:r>
      <w:proofErr w:type="spellEnd"/>
      <w:r>
        <w:t xml:space="preserve"> associated with HBOC administration.</w:t>
      </w:r>
    </w:p>
    <w:p w:rsidR="00BE2ABB" w:rsidRDefault="00BE2ABB" w:rsidP="00BE2ABB"/>
    <w:p w:rsidR="00BE2ABB" w:rsidRDefault="00BE2ABB" w:rsidP="00BE2ABB">
      <w:r>
        <w:t>Conclusions and Clinical Relevance: Although administration of an HBOC solution may provide temporary support to anemic cats, the development of pulmonary edema or pleural effusion potentially associated with rapid infusion rate and large volumes of infusion of the HBOC solution should be investigated further before use of the solution can be recommended in cats.</w:t>
      </w:r>
    </w:p>
    <w:p w:rsidR="00BE2ABB" w:rsidRDefault="00BE2ABB" w:rsidP="00BE2ABB"/>
    <w:p w:rsidR="00BE2ABB" w:rsidRDefault="002157A9" w:rsidP="00BE2ABB">
      <w:r>
        <w:t>QUESTIONS:</w:t>
      </w:r>
    </w:p>
    <w:p w:rsidR="002157A9" w:rsidRDefault="002157A9" w:rsidP="00BE2ABB"/>
    <w:p w:rsidR="002157A9" w:rsidRDefault="002157A9" w:rsidP="002157A9">
      <w:pPr>
        <w:pStyle w:val="ListParagraph"/>
        <w:numPr>
          <w:ilvl w:val="0"/>
          <w:numId w:val="2"/>
        </w:numPr>
      </w:pPr>
      <w:r>
        <w:t>List three reasons why the use of an RBC substitute in cats may be desirable?</w:t>
      </w:r>
    </w:p>
    <w:p w:rsidR="002157A9" w:rsidRDefault="002157A9" w:rsidP="002157A9">
      <w:pPr>
        <w:ind w:left="720"/>
      </w:pPr>
      <w:r>
        <w:t>-Readily available</w:t>
      </w:r>
    </w:p>
    <w:p w:rsidR="002157A9" w:rsidRDefault="002157A9" w:rsidP="002157A9">
      <w:pPr>
        <w:ind w:left="720"/>
      </w:pPr>
      <w:r>
        <w:t>-Extended stability at room temperature</w:t>
      </w:r>
    </w:p>
    <w:p w:rsidR="002157A9" w:rsidRDefault="002157A9" w:rsidP="002157A9">
      <w:pPr>
        <w:ind w:left="720"/>
      </w:pPr>
      <w:r>
        <w:t xml:space="preserve">-Negligible antigenicity- no </w:t>
      </w:r>
      <w:proofErr w:type="gramStart"/>
      <w:r>
        <w:t>need</w:t>
      </w:r>
      <w:proofErr w:type="gramEnd"/>
      <w:r>
        <w:t xml:space="preserve"> to have type-specific, cross-matched donor</w:t>
      </w:r>
    </w:p>
    <w:p w:rsidR="002157A9" w:rsidRDefault="002157A9" w:rsidP="002157A9">
      <w:pPr>
        <w:ind w:left="720"/>
      </w:pPr>
      <w:r>
        <w:t>-Decreased risk of infectious disease</w:t>
      </w:r>
    </w:p>
    <w:p w:rsidR="002157A9" w:rsidRDefault="002157A9" w:rsidP="002157A9">
      <w:pPr>
        <w:ind w:left="720"/>
      </w:pPr>
      <w:r>
        <w:t>-Decreased risk to donor</w:t>
      </w:r>
    </w:p>
    <w:p w:rsidR="002157A9" w:rsidRDefault="002157A9" w:rsidP="002157A9"/>
    <w:p w:rsidR="002157A9" w:rsidRDefault="002157A9" w:rsidP="002157A9">
      <w:pPr>
        <w:pStyle w:val="ListParagraph"/>
        <w:numPr>
          <w:ilvl w:val="0"/>
          <w:numId w:val="2"/>
        </w:numPr>
      </w:pPr>
      <w:r>
        <w:t>Pulmonary edema and pleural effusion occurred as complications of HBOC solution administration in what percentage of cats in the study by Gibson et al?</w:t>
      </w:r>
    </w:p>
    <w:p w:rsidR="002157A9" w:rsidRDefault="002157A9" w:rsidP="002157A9">
      <w:pPr>
        <w:pStyle w:val="ListParagraph"/>
        <w:numPr>
          <w:ilvl w:val="1"/>
          <w:numId w:val="2"/>
        </w:numPr>
      </w:pPr>
      <w:r>
        <w:t>15%</w:t>
      </w:r>
    </w:p>
    <w:p w:rsidR="002157A9" w:rsidRDefault="002157A9" w:rsidP="002157A9">
      <w:pPr>
        <w:pStyle w:val="ListParagraph"/>
        <w:numPr>
          <w:ilvl w:val="1"/>
          <w:numId w:val="2"/>
        </w:numPr>
      </w:pPr>
      <w:r>
        <w:t>25%</w:t>
      </w:r>
    </w:p>
    <w:p w:rsidR="002157A9" w:rsidRPr="002157A9" w:rsidRDefault="002157A9" w:rsidP="002157A9">
      <w:pPr>
        <w:pStyle w:val="ListParagraph"/>
        <w:numPr>
          <w:ilvl w:val="1"/>
          <w:numId w:val="2"/>
        </w:numPr>
        <w:rPr>
          <w:b/>
        </w:rPr>
      </w:pPr>
      <w:r w:rsidRPr="002157A9">
        <w:rPr>
          <w:b/>
        </w:rPr>
        <w:t>35%</w:t>
      </w:r>
    </w:p>
    <w:p w:rsidR="002157A9" w:rsidRDefault="002157A9" w:rsidP="002157A9">
      <w:pPr>
        <w:pStyle w:val="ListParagraph"/>
        <w:numPr>
          <w:ilvl w:val="1"/>
          <w:numId w:val="2"/>
        </w:numPr>
      </w:pPr>
      <w:r>
        <w:t>55%</w:t>
      </w:r>
    </w:p>
    <w:p w:rsidR="007F05DF" w:rsidRDefault="002157A9" w:rsidP="007F05DF">
      <w:pPr>
        <w:pStyle w:val="ListParagraph"/>
        <w:numPr>
          <w:ilvl w:val="1"/>
          <w:numId w:val="2"/>
        </w:numPr>
      </w:pPr>
      <w:r>
        <w:t>75%</w:t>
      </w:r>
    </w:p>
    <w:p w:rsidR="00425A2F" w:rsidRDefault="00425A2F" w:rsidP="002157A9"/>
    <w:p w:rsidR="002157A9" w:rsidRDefault="002157A9" w:rsidP="002157A9">
      <w:pPr>
        <w:pStyle w:val="ListParagraph"/>
        <w:numPr>
          <w:ilvl w:val="0"/>
          <w:numId w:val="2"/>
        </w:numPr>
      </w:pPr>
      <w:r>
        <w:t>True or</w:t>
      </w:r>
      <w:r w:rsidRPr="002157A9">
        <w:rPr>
          <w:b/>
        </w:rPr>
        <w:t xml:space="preserve"> False</w:t>
      </w:r>
      <w:bookmarkStart w:id="0" w:name="_GoBack"/>
      <w:bookmarkEnd w:id="0"/>
      <w:r>
        <w:t xml:space="preserve">- Transfusion of HBOC solution will result in an increased packed cell volume in the majority of transfused cats.  </w:t>
      </w:r>
    </w:p>
    <w:p w:rsidR="002157A9" w:rsidRDefault="002157A9" w:rsidP="002157A9">
      <w:pPr>
        <w:ind w:left="360"/>
      </w:pPr>
    </w:p>
    <w:p w:rsidR="002157A9" w:rsidRDefault="002157A9" w:rsidP="002157A9">
      <w:pPr>
        <w:pStyle w:val="ListParagraph"/>
        <w:numPr>
          <w:ilvl w:val="0"/>
          <w:numId w:val="2"/>
        </w:numPr>
      </w:pPr>
      <w:r>
        <w:t>What is the half-life of HBOC solution in healthy dogs at 30ml/kg (13.6ml/</w:t>
      </w:r>
      <w:proofErr w:type="spellStart"/>
      <w:r>
        <w:t>lb</w:t>
      </w:r>
      <w:proofErr w:type="spellEnd"/>
      <w:r>
        <w:t>)?</w:t>
      </w:r>
    </w:p>
    <w:p w:rsidR="002157A9" w:rsidRDefault="002157A9" w:rsidP="002157A9">
      <w:pPr>
        <w:ind w:left="720"/>
      </w:pPr>
      <w:r>
        <w:t>-30-40 hours</w:t>
      </w:r>
    </w:p>
    <w:p w:rsidR="002157A9" w:rsidRDefault="002157A9" w:rsidP="002157A9"/>
    <w:p w:rsidR="002157A9" w:rsidRDefault="007F05DF" w:rsidP="007F05DF">
      <w:pPr>
        <w:pStyle w:val="ListParagraph"/>
        <w:numPr>
          <w:ilvl w:val="0"/>
          <w:numId w:val="2"/>
        </w:numPr>
      </w:pPr>
      <w:r>
        <w:t>True or</w:t>
      </w:r>
      <w:r w:rsidRPr="007F05DF">
        <w:rPr>
          <w:b/>
        </w:rPr>
        <w:t xml:space="preserve"> False</w:t>
      </w:r>
      <w:r>
        <w:t xml:space="preserve">- Transient </w:t>
      </w:r>
      <w:proofErr w:type="spellStart"/>
      <w:r>
        <w:t>pigmenturia</w:t>
      </w:r>
      <w:proofErr w:type="spellEnd"/>
      <w:r>
        <w:t xml:space="preserve"> is an expected complication of HBOC solution administration and it is this complication that contributed to the high rate of </w:t>
      </w:r>
      <w:proofErr w:type="spellStart"/>
      <w:r>
        <w:t>hemoglobinuric</w:t>
      </w:r>
      <w:proofErr w:type="spellEnd"/>
      <w:r>
        <w:t xml:space="preserve"> nephrotoxicity seen in the study by Gibson et al.</w:t>
      </w:r>
    </w:p>
    <w:p w:rsidR="007F05DF" w:rsidRDefault="007F05DF" w:rsidP="007F05DF">
      <w:pPr>
        <w:pStyle w:val="ListParagraph"/>
      </w:pPr>
    </w:p>
    <w:sectPr w:rsidR="007F05DF" w:rsidSect="00D46B9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0D41AD"/>
    <w:multiLevelType w:val="hybridMultilevel"/>
    <w:tmpl w:val="7A6A95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0165CB6"/>
    <w:multiLevelType w:val="hybridMultilevel"/>
    <w:tmpl w:val="8186772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5C8"/>
    <w:rsid w:val="002157A9"/>
    <w:rsid w:val="00425A2F"/>
    <w:rsid w:val="007F05DF"/>
    <w:rsid w:val="009B75C8"/>
    <w:rsid w:val="00BE2ABB"/>
    <w:rsid w:val="00D46B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A8E157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75C8"/>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75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953</Words>
  <Characters>4940</Characters>
  <Application>Microsoft Macintosh Word</Application>
  <DocSecurity>0</DocSecurity>
  <Lines>120</Lines>
  <Paragraphs>107</Paragraphs>
  <ScaleCrop>false</ScaleCrop>
  <Company>Cornell University</Company>
  <LinksUpToDate>false</LinksUpToDate>
  <CharactersWithSpaces>5786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DiFazio</dc:creator>
  <cp:keywords/>
  <dc:description/>
  <cp:lastModifiedBy>Jillian DiFazio</cp:lastModifiedBy>
  <cp:revision>1</cp:revision>
  <dcterms:created xsi:type="dcterms:W3CDTF">2012-12-02T20:29:00Z</dcterms:created>
  <dcterms:modified xsi:type="dcterms:W3CDTF">2012-12-02T21:19:00Z</dcterms:modified>
</cp:coreProperties>
</file>