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3C98CC" w14:textId="77777777" w:rsidR="00416FC8" w:rsidRDefault="00416FC8" w:rsidP="00416F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sz w:val="44"/>
          <w:szCs w:val="44"/>
        </w:rPr>
      </w:pPr>
      <w:r>
        <w:rPr>
          <w:rFonts w:ascii="Helvetica" w:hAnsi="Helvetica" w:cs="Helvetica"/>
          <w:color w:val="141413"/>
          <w:sz w:val="44"/>
          <w:szCs w:val="44"/>
        </w:rPr>
        <w:t>Renal Perfusion Assessment by Renal Doppler During Fluid Challenge in Sepsis</w:t>
      </w:r>
    </w:p>
    <w:p w14:paraId="22BE76EB" w14:textId="77777777" w:rsidR="00416FC8" w:rsidRDefault="00416FC8" w:rsidP="00416F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505150"/>
          <w:sz w:val="13"/>
          <w:szCs w:val="13"/>
        </w:rPr>
      </w:pPr>
      <w:r>
        <w:rPr>
          <w:rFonts w:ascii="Times" w:hAnsi="Times" w:cs="Times"/>
          <w:color w:val="505150"/>
        </w:rPr>
        <w:t>David Schnell, MD</w:t>
      </w:r>
      <w:r>
        <w:rPr>
          <w:rFonts w:ascii="Times" w:hAnsi="Times" w:cs="Times"/>
          <w:color w:val="505150"/>
          <w:sz w:val="13"/>
          <w:szCs w:val="13"/>
        </w:rPr>
        <w:t>1</w:t>
      </w:r>
      <w:proofErr w:type="gramStart"/>
      <w:r>
        <w:rPr>
          <w:rFonts w:ascii="Times" w:hAnsi="Times" w:cs="Times"/>
          <w:color w:val="505150"/>
          <w:sz w:val="13"/>
          <w:szCs w:val="13"/>
        </w:rPr>
        <w:t>,2</w:t>
      </w:r>
      <w:proofErr w:type="gramEnd"/>
      <w:r>
        <w:rPr>
          <w:rFonts w:ascii="Times" w:hAnsi="Times" w:cs="Times"/>
          <w:color w:val="505150"/>
        </w:rPr>
        <w:t xml:space="preserve">; Laurent </w:t>
      </w:r>
      <w:proofErr w:type="spellStart"/>
      <w:r>
        <w:rPr>
          <w:rFonts w:ascii="Times" w:hAnsi="Times" w:cs="Times"/>
          <w:color w:val="505150"/>
        </w:rPr>
        <w:t>Camous</w:t>
      </w:r>
      <w:proofErr w:type="spellEnd"/>
      <w:r>
        <w:rPr>
          <w:rFonts w:ascii="Times" w:hAnsi="Times" w:cs="Times"/>
          <w:color w:val="505150"/>
        </w:rPr>
        <w:t>, MD</w:t>
      </w:r>
      <w:r>
        <w:rPr>
          <w:rFonts w:ascii="Times" w:hAnsi="Times" w:cs="Times"/>
          <w:color w:val="505150"/>
          <w:sz w:val="13"/>
          <w:szCs w:val="13"/>
        </w:rPr>
        <w:t>1,3</w:t>
      </w:r>
      <w:r>
        <w:rPr>
          <w:rFonts w:ascii="Times" w:hAnsi="Times" w:cs="Times"/>
          <w:color w:val="505150"/>
        </w:rPr>
        <w:t xml:space="preserve">; </w:t>
      </w:r>
      <w:proofErr w:type="spellStart"/>
      <w:r>
        <w:rPr>
          <w:rFonts w:ascii="Times" w:hAnsi="Times" w:cs="Times"/>
          <w:color w:val="505150"/>
        </w:rPr>
        <w:t>Stéphane</w:t>
      </w:r>
      <w:proofErr w:type="spellEnd"/>
      <w:r>
        <w:rPr>
          <w:rFonts w:ascii="Times" w:hAnsi="Times" w:cs="Times"/>
          <w:color w:val="505150"/>
        </w:rPr>
        <w:t xml:space="preserve"> </w:t>
      </w:r>
      <w:proofErr w:type="spellStart"/>
      <w:r>
        <w:rPr>
          <w:rFonts w:ascii="Times" w:hAnsi="Times" w:cs="Times"/>
          <w:color w:val="505150"/>
        </w:rPr>
        <w:t>Guyomarc’h</w:t>
      </w:r>
      <w:proofErr w:type="spellEnd"/>
      <w:r>
        <w:rPr>
          <w:rFonts w:ascii="Times" w:hAnsi="Times" w:cs="Times"/>
          <w:color w:val="505150"/>
        </w:rPr>
        <w:t>, MD</w:t>
      </w:r>
      <w:r>
        <w:rPr>
          <w:rFonts w:ascii="Times" w:hAnsi="Times" w:cs="Times"/>
          <w:color w:val="505150"/>
          <w:sz w:val="13"/>
          <w:szCs w:val="13"/>
        </w:rPr>
        <w:t>4</w:t>
      </w:r>
      <w:r>
        <w:rPr>
          <w:rFonts w:ascii="Times" w:hAnsi="Times" w:cs="Times"/>
          <w:color w:val="505150"/>
        </w:rPr>
        <w:t xml:space="preserve">; Jacques </w:t>
      </w:r>
      <w:proofErr w:type="spellStart"/>
      <w:r>
        <w:rPr>
          <w:rFonts w:ascii="Times" w:hAnsi="Times" w:cs="Times"/>
          <w:color w:val="505150"/>
        </w:rPr>
        <w:t>Duranteau</w:t>
      </w:r>
      <w:proofErr w:type="spellEnd"/>
      <w:r>
        <w:rPr>
          <w:rFonts w:ascii="Times" w:hAnsi="Times" w:cs="Times"/>
          <w:color w:val="505150"/>
        </w:rPr>
        <w:t>, MD, PhD</w:t>
      </w:r>
      <w:r>
        <w:rPr>
          <w:rFonts w:ascii="Times" w:hAnsi="Times" w:cs="Times"/>
          <w:color w:val="505150"/>
          <w:sz w:val="13"/>
          <w:szCs w:val="13"/>
        </w:rPr>
        <w:t>5</w:t>
      </w:r>
      <w:r>
        <w:rPr>
          <w:rFonts w:ascii="Times" w:hAnsi="Times" w:cs="Times"/>
          <w:color w:val="505150"/>
        </w:rPr>
        <w:t xml:space="preserve">; Emmanuel </w:t>
      </w:r>
      <w:proofErr w:type="spellStart"/>
      <w:r>
        <w:rPr>
          <w:rFonts w:ascii="Times" w:hAnsi="Times" w:cs="Times"/>
          <w:color w:val="505150"/>
        </w:rPr>
        <w:t>Canet</w:t>
      </w:r>
      <w:proofErr w:type="spellEnd"/>
      <w:r>
        <w:rPr>
          <w:rFonts w:ascii="Times" w:hAnsi="Times" w:cs="Times"/>
          <w:color w:val="505150"/>
        </w:rPr>
        <w:t>, MD</w:t>
      </w:r>
      <w:r>
        <w:rPr>
          <w:rFonts w:ascii="Times" w:hAnsi="Times" w:cs="Times"/>
          <w:color w:val="505150"/>
          <w:sz w:val="13"/>
          <w:szCs w:val="13"/>
        </w:rPr>
        <w:t>1</w:t>
      </w:r>
      <w:r>
        <w:rPr>
          <w:rFonts w:ascii="Times" w:hAnsi="Times" w:cs="Times"/>
          <w:color w:val="505150"/>
        </w:rPr>
        <w:t xml:space="preserve">; Pierre </w:t>
      </w:r>
      <w:proofErr w:type="spellStart"/>
      <w:r>
        <w:rPr>
          <w:rFonts w:ascii="Times" w:hAnsi="Times" w:cs="Times"/>
          <w:color w:val="505150"/>
        </w:rPr>
        <w:t>Gery</w:t>
      </w:r>
      <w:proofErr w:type="spellEnd"/>
      <w:r>
        <w:rPr>
          <w:rFonts w:ascii="Times" w:hAnsi="Times" w:cs="Times"/>
          <w:color w:val="505150"/>
        </w:rPr>
        <w:t>, MD</w:t>
      </w:r>
      <w:r>
        <w:rPr>
          <w:rFonts w:ascii="Times" w:hAnsi="Times" w:cs="Times"/>
          <w:color w:val="505150"/>
          <w:sz w:val="13"/>
          <w:szCs w:val="13"/>
        </w:rPr>
        <w:t>4</w:t>
      </w:r>
      <w:r>
        <w:rPr>
          <w:rFonts w:ascii="Times" w:hAnsi="Times" w:cs="Times"/>
          <w:color w:val="505150"/>
        </w:rPr>
        <w:t xml:space="preserve">; Anne-Sylvie </w:t>
      </w:r>
      <w:proofErr w:type="spellStart"/>
      <w:r>
        <w:rPr>
          <w:rFonts w:ascii="Times" w:hAnsi="Times" w:cs="Times"/>
          <w:color w:val="505150"/>
        </w:rPr>
        <w:t>Dumenil</w:t>
      </w:r>
      <w:proofErr w:type="spellEnd"/>
      <w:r>
        <w:rPr>
          <w:rFonts w:ascii="Times" w:hAnsi="Times" w:cs="Times"/>
          <w:color w:val="505150"/>
        </w:rPr>
        <w:t>, MD</w:t>
      </w:r>
      <w:r>
        <w:rPr>
          <w:rFonts w:ascii="Times" w:hAnsi="Times" w:cs="Times"/>
          <w:color w:val="505150"/>
          <w:sz w:val="13"/>
          <w:szCs w:val="13"/>
        </w:rPr>
        <w:t>2</w:t>
      </w:r>
      <w:r>
        <w:rPr>
          <w:rFonts w:ascii="Times" w:hAnsi="Times" w:cs="Times"/>
          <w:color w:val="505150"/>
        </w:rPr>
        <w:t xml:space="preserve">; </w:t>
      </w:r>
      <w:proofErr w:type="spellStart"/>
      <w:r>
        <w:rPr>
          <w:rFonts w:ascii="Times" w:hAnsi="Times" w:cs="Times"/>
          <w:color w:val="505150"/>
        </w:rPr>
        <w:t>Fabrice</w:t>
      </w:r>
      <w:proofErr w:type="spellEnd"/>
      <w:r>
        <w:rPr>
          <w:rFonts w:ascii="Times" w:hAnsi="Times" w:cs="Times"/>
          <w:color w:val="505150"/>
        </w:rPr>
        <w:t xml:space="preserve"> </w:t>
      </w:r>
      <w:proofErr w:type="spellStart"/>
      <w:r>
        <w:rPr>
          <w:rFonts w:ascii="Times" w:hAnsi="Times" w:cs="Times"/>
          <w:color w:val="505150"/>
        </w:rPr>
        <w:t>Zeni</w:t>
      </w:r>
      <w:proofErr w:type="spellEnd"/>
      <w:r>
        <w:rPr>
          <w:rFonts w:ascii="Times" w:hAnsi="Times" w:cs="Times"/>
          <w:color w:val="505150"/>
        </w:rPr>
        <w:t>, MD, PhD</w:t>
      </w:r>
      <w:r>
        <w:rPr>
          <w:rFonts w:ascii="Times" w:hAnsi="Times" w:cs="Times"/>
          <w:color w:val="505150"/>
          <w:sz w:val="13"/>
          <w:szCs w:val="13"/>
        </w:rPr>
        <w:t>4</w:t>
      </w:r>
      <w:r>
        <w:rPr>
          <w:rFonts w:ascii="Times" w:hAnsi="Times" w:cs="Times"/>
          <w:color w:val="505150"/>
        </w:rPr>
        <w:t xml:space="preserve">; </w:t>
      </w:r>
      <w:proofErr w:type="spellStart"/>
      <w:r>
        <w:rPr>
          <w:rFonts w:ascii="Times" w:hAnsi="Times" w:cs="Times"/>
          <w:color w:val="505150"/>
        </w:rPr>
        <w:t>Elie</w:t>
      </w:r>
      <w:proofErr w:type="spellEnd"/>
      <w:r>
        <w:rPr>
          <w:rFonts w:ascii="Times" w:hAnsi="Times" w:cs="Times"/>
          <w:color w:val="505150"/>
        </w:rPr>
        <w:t xml:space="preserve"> </w:t>
      </w:r>
      <w:proofErr w:type="spellStart"/>
      <w:r>
        <w:rPr>
          <w:rFonts w:ascii="Times" w:hAnsi="Times" w:cs="Times"/>
          <w:color w:val="505150"/>
        </w:rPr>
        <w:t>Azoulay</w:t>
      </w:r>
      <w:proofErr w:type="spellEnd"/>
      <w:r>
        <w:rPr>
          <w:rFonts w:ascii="Times" w:hAnsi="Times" w:cs="Times"/>
          <w:color w:val="505150"/>
        </w:rPr>
        <w:t>, MD, PhD</w:t>
      </w:r>
      <w:r>
        <w:rPr>
          <w:rFonts w:ascii="Times" w:hAnsi="Times" w:cs="Times"/>
          <w:color w:val="505150"/>
          <w:sz w:val="13"/>
          <w:szCs w:val="13"/>
        </w:rPr>
        <w:t>1</w:t>
      </w:r>
      <w:r>
        <w:rPr>
          <w:rFonts w:ascii="Times" w:hAnsi="Times" w:cs="Times"/>
          <w:color w:val="505150"/>
        </w:rPr>
        <w:t xml:space="preserve">; Michael </w:t>
      </w:r>
      <w:proofErr w:type="spellStart"/>
      <w:r>
        <w:rPr>
          <w:rFonts w:ascii="Times" w:hAnsi="Times" w:cs="Times"/>
          <w:color w:val="505150"/>
        </w:rPr>
        <w:t>Darmon</w:t>
      </w:r>
      <w:proofErr w:type="spellEnd"/>
      <w:r>
        <w:rPr>
          <w:rFonts w:ascii="Times" w:hAnsi="Times" w:cs="Times"/>
          <w:color w:val="505150"/>
        </w:rPr>
        <w:t>, MD, PhD</w:t>
      </w:r>
      <w:r>
        <w:rPr>
          <w:rFonts w:ascii="Times" w:hAnsi="Times" w:cs="Times"/>
          <w:color w:val="505150"/>
          <w:sz w:val="13"/>
          <w:szCs w:val="13"/>
        </w:rPr>
        <w:t>4,6</w:t>
      </w:r>
    </w:p>
    <w:p w14:paraId="7FE4E0AC" w14:textId="77777777" w:rsidR="00416FC8" w:rsidRDefault="00416FC8" w:rsidP="00416F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416FC8">
        <w:rPr>
          <w:rFonts w:ascii="Helvetica" w:hAnsi="Helvetica" w:cs="Helvetica"/>
          <w:color w:val="141413"/>
        </w:rPr>
        <w:t xml:space="preserve">Objectives: To assess renal resistive index variations in response to fluid challenge. </w:t>
      </w:r>
    </w:p>
    <w:p w14:paraId="0A8C1562" w14:textId="77777777" w:rsidR="00416FC8" w:rsidRDefault="00416FC8" w:rsidP="00416F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416FC8">
        <w:rPr>
          <w:rFonts w:ascii="Helvetica" w:hAnsi="Helvetica" w:cs="Helvetica"/>
          <w:color w:val="141413"/>
        </w:rPr>
        <w:t xml:space="preserve">Design: Prospective cohort study. </w:t>
      </w:r>
    </w:p>
    <w:p w14:paraId="3B1CFD7C" w14:textId="77777777" w:rsidR="00416FC8" w:rsidRPr="00416FC8" w:rsidRDefault="00416FC8" w:rsidP="00416F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416FC8">
        <w:rPr>
          <w:rFonts w:ascii="Helvetica" w:hAnsi="Helvetica" w:cs="Helvetica"/>
          <w:color w:val="141413"/>
        </w:rPr>
        <w:t>Setting: Three ICUs in French teaching hospitals.</w:t>
      </w:r>
    </w:p>
    <w:p w14:paraId="62355051" w14:textId="77777777" w:rsidR="00416FC8" w:rsidRDefault="00416FC8" w:rsidP="00416F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416FC8">
        <w:rPr>
          <w:rFonts w:ascii="Helvetica" w:hAnsi="Helvetica" w:cs="Helvetica"/>
          <w:color w:val="141413"/>
        </w:rPr>
        <w:t xml:space="preserve">Patients: Consecutive patients receiving mechanical ventilation and requiring a fluid challenge. </w:t>
      </w:r>
    </w:p>
    <w:p w14:paraId="32571E33" w14:textId="77777777" w:rsidR="00416FC8" w:rsidRPr="00416FC8" w:rsidRDefault="00416FC8" w:rsidP="00416F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416FC8">
        <w:rPr>
          <w:rFonts w:ascii="Helvetica" w:hAnsi="Helvetica" w:cs="Helvetica"/>
          <w:color w:val="141413"/>
        </w:rPr>
        <w:t>Intervention: Resistive index measurement before and after fluid challenge.</w:t>
      </w:r>
    </w:p>
    <w:p w14:paraId="532E5E25" w14:textId="77777777" w:rsidR="00416FC8" w:rsidRPr="00416FC8" w:rsidRDefault="00416FC8" w:rsidP="00416F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416FC8">
        <w:rPr>
          <w:rFonts w:ascii="Helvetica" w:hAnsi="Helvetica" w:cs="Helvetica"/>
          <w:color w:val="141413"/>
        </w:rPr>
        <w:t xml:space="preserve">Measurements and Main Results: Renal Doppler was used to measure resistive index and esophageal Doppler to monitor aortic blood flow. Of the 35 included patients, 17 (49%) met our definition for fluid challenge responsiveness, that is, had at least a 10% increase in aortic blood flow. After fluid challenge, mean arterial pressure increased from 73mm Hg (interquartile range 68–79) to 80mm Hg (75–86; p &lt; 0.0001) and stroke volume from 50 mL (30–77) to 55 mL (39–84; p &lt; 0.0001). Stroke volume changes after fluid challenge were +28.6% (+18.8% to +38.8%) in fluid challenge responders and +3.1% (–1.6% to 7.4%) in fluid challenge </w:t>
      </w:r>
      <w:proofErr w:type="spellStart"/>
      <w:r w:rsidRPr="00416FC8">
        <w:rPr>
          <w:rFonts w:ascii="Helvetica" w:hAnsi="Helvetica" w:cs="Helvetica"/>
          <w:color w:val="141413"/>
        </w:rPr>
        <w:t>nonresponders</w:t>
      </w:r>
      <w:proofErr w:type="spellEnd"/>
      <w:r w:rsidRPr="00416FC8">
        <w:rPr>
          <w:rFonts w:ascii="Helvetica" w:hAnsi="Helvetica" w:cs="Helvetica"/>
          <w:color w:val="141413"/>
        </w:rPr>
        <w:t xml:space="preserve">. Renal resistive index was unchanged after fluid challenge in both </w:t>
      </w:r>
      <w:proofErr w:type="spellStart"/>
      <w:r w:rsidRPr="00416FC8">
        <w:rPr>
          <w:rFonts w:ascii="Helvetica" w:hAnsi="Helvetica" w:cs="Helvetica"/>
          <w:color w:val="141413"/>
        </w:rPr>
        <w:t>nonresponders</w:t>
      </w:r>
      <w:proofErr w:type="spellEnd"/>
      <w:r w:rsidRPr="00416FC8">
        <w:rPr>
          <w:rFonts w:ascii="Helvetica" w:hAnsi="Helvetica" w:cs="Helvetica"/>
          <w:color w:val="141413"/>
        </w:rPr>
        <w:t xml:space="preserve"> (0.72 [0.67–0.75] before and 0.71 [0.67–0.75] after fluid challenge; p = 0.62) and</w:t>
      </w:r>
      <w:r>
        <w:rPr>
          <w:rFonts w:ascii="Helvetica" w:hAnsi="Helvetica" w:cs="Helvetica"/>
          <w:color w:val="141413"/>
        </w:rPr>
        <w:t xml:space="preserve"> </w:t>
      </w:r>
      <w:r w:rsidRPr="00416FC8">
        <w:rPr>
          <w:rFonts w:ascii="Helvetica" w:hAnsi="Helvetica" w:cs="Helvetica"/>
          <w:color w:val="141413"/>
        </w:rPr>
        <w:t>responders (0.70 [0.65–0.75] before and 0.72 [0.68–0.74] after fluid challenge; p = 0.11). Stroke volume showed no correlations with resistive index changes after fluid challenge in the overall population (r</w:t>
      </w:r>
      <w:r w:rsidRPr="00416FC8">
        <w:rPr>
          <w:rFonts w:ascii="Times" w:hAnsi="Times" w:cs="Times"/>
          <w:color w:val="141413"/>
        </w:rPr>
        <w:t xml:space="preserve">2 </w:t>
      </w:r>
      <w:r w:rsidRPr="00416FC8">
        <w:rPr>
          <w:rFonts w:ascii="Helvetica" w:hAnsi="Helvetica" w:cs="Helvetica"/>
          <w:color w:val="141413"/>
        </w:rPr>
        <w:t>= 0.04, p = 0.25), in fluid challenge responders (r</w:t>
      </w:r>
      <w:r w:rsidRPr="00416FC8">
        <w:rPr>
          <w:rFonts w:ascii="Times" w:hAnsi="Times" w:cs="Times"/>
          <w:color w:val="141413"/>
        </w:rPr>
        <w:t xml:space="preserve">2 </w:t>
      </w:r>
      <w:r w:rsidRPr="00416FC8">
        <w:rPr>
          <w:rFonts w:ascii="Helvetica" w:hAnsi="Helvetica" w:cs="Helvetica"/>
          <w:color w:val="141413"/>
        </w:rPr>
        <w:t xml:space="preserve">= –0.02, p = 0.61), or in fluid challenge </w:t>
      </w:r>
      <w:proofErr w:type="spellStart"/>
      <w:r w:rsidRPr="00416FC8">
        <w:rPr>
          <w:rFonts w:ascii="Helvetica" w:hAnsi="Helvetica" w:cs="Helvetica"/>
          <w:color w:val="141413"/>
        </w:rPr>
        <w:t>nonresponders</w:t>
      </w:r>
      <w:proofErr w:type="spellEnd"/>
      <w:r w:rsidRPr="00416FC8">
        <w:rPr>
          <w:rFonts w:ascii="Helvetica" w:hAnsi="Helvetica" w:cs="Helvetica"/>
          <w:color w:val="141413"/>
        </w:rPr>
        <w:t xml:space="preserve"> (r</w:t>
      </w:r>
      <w:r w:rsidRPr="00416FC8">
        <w:rPr>
          <w:rFonts w:ascii="Times" w:hAnsi="Times" w:cs="Times"/>
          <w:color w:val="141413"/>
        </w:rPr>
        <w:t xml:space="preserve">2 </w:t>
      </w:r>
      <w:r w:rsidRPr="00416FC8">
        <w:rPr>
          <w:rFonts w:ascii="Helvetica" w:hAnsi="Helvetica" w:cs="Helvetica"/>
          <w:color w:val="141413"/>
        </w:rPr>
        <w:t>= 0.08, p = 0.27). Stroke volume did not correlate with resistive index changes after fluid challenge in the subgroups without acute kidney injury (AKIN definition), with transient acute kidney injury, or with persistent acute kidney injury.</w:t>
      </w:r>
    </w:p>
    <w:p w14:paraId="34DEA68E" w14:textId="77777777" w:rsidR="00416FC8" w:rsidRDefault="00416FC8" w:rsidP="00416F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416FC8">
        <w:rPr>
          <w:rFonts w:ascii="Helvetica" w:hAnsi="Helvetica" w:cs="Helvetica"/>
          <w:color w:val="141413"/>
        </w:rPr>
        <w:t xml:space="preserve">Conclusion: Systemic hemodynamic changes induced by fluid </w:t>
      </w:r>
      <w:proofErr w:type="spellStart"/>
      <w:r w:rsidRPr="00416FC8">
        <w:rPr>
          <w:rFonts w:ascii="Helvetica" w:hAnsi="Helvetica" w:cs="Helvetica"/>
          <w:color w:val="141413"/>
        </w:rPr>
        <w:t>chal</w:t>
      </w:r>
      <w:proofErr w:type="spellEnd"/>
      <w:r w:rsidRPr="00416FC8">
        <w:rPr>
          <w:rFonts w:ascii="Helvetica" w:hAnsi="Helvetica" w:cs="Helvetica"/>
          <w:color w:val="141413"/>
        </w:rPr>
        <w:t xml:space="preserve">- </w:t>
      </w:r>
      <w:proofErr w:type="spellStart"/>
      <w:r w:rsidRPr="00416FC8">
        <w:rPr>
          <w:rFonts w:ascii="Helvetica" w:hAnsi="Helvetica" w:cs="Helvetica"/>
          <w:color w:val="141413"/>
        </w:rPr>
        <w:t>lenge</w:t>
      </w:r>
      <w:proofErr w:type="spellEnd"/>
      <w:r w:rsidRPr="00416FC8">
        <w:rPr>
          <w:rFonts w:ascii="Helvetica" w:hAnsi="Helvetica" w:cs="Helvetica"/>
          <w:color w:val="141413"/>
        </w:rPr>
        <w:t xml:space="preserve"> do not translate into resistive index variations in patients without acute kidney injury, with transient acute</w:t>
      </w:r>
      <w:r>
        <w:rPr>
          <w:rFonts w:ascii="Helvetica" w:hAnsi="Helvetica" w:cs="Helvetica"/>
          <w:color w:val="141413"/>
        </w:rPr>
        <w:t xml:space="preserve"> kidney injury, or with persis</w:t>
      </w:r>
      <w:r w:rsidRPr="00416FC8">
        <w:rPr>
          <w:rFonts w:ascii="Helvetica" w:hAnsi="Helvetica" w:cs="Helvetica"/>
          <w:color w:val="141413"/>
        </w:rPr>
        <w:t xml:space="preserve">tent acute kidney injury. </w:t>
      </w:r>
    </w:p>
    <w:p w14:paraId="5CA86BC1" w14:textId="77777777" w:rsidR="00416FC8" w:rsidRPr="00416FC8" w:rsidRDefault="00416FC8" w:rsidP="00416F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416FC8">
        <w:rPr>
          <w:rFonts w:ascii="Helvetica" w:hAnsi="Helvetica" w:cs="Helvetica"/>
          <w:color w:val="141413"/>
        </w:rPr>
        <w:t>(</w:t>
      </w:r>
      <w:proofErr w:type="spellStart"/>
      <w:r w:rsidRPr="00416FC8">
        <w:rPr>
          <w:rFonts w:ascii="Helvetica" w:hAnsi="Helvetica" w:cs="Helvetica"/>
          <w:color w:val="141413"/>
        </w:rPr>
        <w:t>Crit</w:t>
      </w:r>
      <w:proofErr w:type="spellEnd"/>
      <w:r w:rsidRPr="00416FC8">
        <w:rPr>
          <w:rFonts w:ascii="Helvetica" w:hAnsi="Helvetica" w:cs="Helvetica"/>
          <w:color w:val="141413"/>
        </w:rPr>
        <w:t xml:space="preserve"> Care Med 2013; 41:1214–1220)</w:t>
      </w:r>
    </w:p>
    <w:p w14:paraId="443AA09B" w14:textId="77777777" w:rsidR="00D46B93" w:rsidRDefault="00D46B93" w:rsidP="00416FC8"/>
    <w:p w14:paraId="18303DD1" w14:textId="77777777" w:rsidR="00416FC8" w:rsidRDefault="00416FC8" w:rsidP="00416FC8">
      <w:r>
        <w:t>Key Points:</w:t>
      </w:r>
      <w:r>
        <w:br/>
        <w:t xml:space="preserve">1.  After fluid challenge many hemodynamic parameters (heart rate, MAP, stroke volume) improved in fluid challenge responders vs. </w:t>
      </w:r>
      <w:proofErr w:type="spellStart"/>
      <w:r>
        <w:t>nonresponders</w:t>
      </w:r>
      <w:proofErr w:type="spellEnd"/>
      <w:r>
        <w:t xml:space="preserve">. </w:t>
      </w:r>
    </w:p>
    <w:p w14:paraId="0DC036CC" w14:textId="77777777" w:rsidR="00416FC8" w:rsidRDefault="00416FC8" w:rsidP="00416FC8">
      <w:r>
        <w:t xml:space="preserve">2.  Renal resistive index did not change in fluid challenge responders vs. </w:t>
      </w:r>
      <w:proofErr w:type="spellStart"/>
      <w:r>
        <w:t>nonresponders</w:t>
      </w:r>
      <w:proofErr w:type="spellEnd"/>
      <w:r>
        <w:t>.</w:t>
      </w:r>
    </w:p>
    <w:p w14:paraId="2202E89C" w14:textId="77777777" w:rsidR="00416FC8" w:rsidRDefault="00416FC8" w:rsidP="00416FC8">
      <w:r>
        <w:t>3.  Stroke volume showed no correlation with renal resistive index changes after fluid challenge.</w:t>
      </w:r>
    </w:p>
    <w:p w14:paraId="64A25A7F" w14:textId="77777777" w:rsidR="00416FC8" w:rsidRDefault="00416FC8" w:rsidP="00416FC8">
      <w:r>
        <w:lastRenderedPageBreak/>
        <w:t xml:space="preserve">4.  Though </w:t>
      </w:r>
      <w:proofErr w:type="spellStart"/>
      <w:r>
        <w:t>doppler</w:t>
      </w:r>
      <w:proofErr w:type="spellEnd"/>
      <w:r>
        <w:t xml:space="preserve">-based renal RI was higher in patients with AKI at inclusion prior to fluid challenge, there was no difference after fluid challenge in any of the AKI subgroups.  Stroke volume did not correlate with resistive index changes after fluid challenge in patients with AKI, transient AKI or persistent AKI.  </w:t>
      </w:r>
    </w:p>
    <w:p w14:paraId="4376B252" w14:textId="77777777" w:rsidR="00416FC8" w:rsidRDefault="00416FC8" w:rsidP="00416FC8">
      <w:r>
        <w:t>5.  Vasopressors did not impact renal resistive index changes</w:t>
      </w:r>
    </w:p>
    <w:p w14:paraId="3BA3DB1E" w14:textId="77777777" w:rsidR="00416FC8" w:rsidRDefault="00416FC8" w:rsidP="00416FC8"/>
    <w:p w14:paraId="1819D3E2" w14:textId="77777777" w:rsidR="00416FC8" w:rsidRDefault="00416FC8" w:rsidP="00416FC8">
      <w:r>
        <w:t>Questions:</w:t>
      </w:r>
    </w:p>
    <w:p w14:paraId="31E2519B" w14:textId="77777777" w:rsidR="00416FC8" w:rsidRDefault="00416FC8" w:rsidP="00416FC8">
      <w:pPr>
        <w:pStyle w:val="ListParagraph"/>
        <w:numPr>
          <w:ilvl w:val="0"/>
          <w:numId w:val="1"/>
        </w:numPr>
      </w:pPr>
      <w:r>
        <w:t>What is the equation for calculating renal resistive index?</w:t>
      </w:r>
    </w:p>
    <w:p w14:paraId="52616C3E" w14:textId="77777777" w:rsidR="00416FC8" w:rsidRDefault="00416FC8" w:rsidP="00416FC8">
      <w:pPr>
        <w:pStyle w:val="ListParagraph"/>
        <w:numPr>
          <w:ilvl w:val="1"/>
          <w:numId w:val="1"/>
        </w:numPr>
      </w:pPr>
      <w:r>
        <w:t>(</w:t>
      </w:r>
      <w:proofErr w:type="gramStart"/>
      <w:r>
        <w:t>peak</w:t>
      </w:r>
      <w:proofErr w:type="gramEnd"/>
      <w:r>
        <w:t xml:space="preserve"> systolic velocity – end diastolic velocity)/peak systolic velocity</w:t>
      </w:r>
    </w:p>
    <w:p w14:paraId="7E82648E" w14:textId="77777777" w:rsidR="00416FC8" w:rsidRDefault="00416FC8" w:rsidP="00416FC8"/>
    <w:p w14:paraId="6B589A36" w14:textId="77777777" w:rsidR="00416FC8" w:rsidRDefault="00416FC8" w:rsidP="00416FC8">
      <w:pPr>
        <w:pStyle w:val="ListParagraph"/>
        <w:numPr>
          <w:ilvl w:val="0"/>
          <w:numId w:val="1"/>
        </w:numPr>
      </w:pPr>
      <w:r>
        <w:t>List three other factors that can influence renal resistive index other than higher renal resistances?</w:t>
      </w:r>
    </w:p>
    <w:p w14:paraId="412108EC" w14:textId="77777777" w:rsidR="00416FC8" w:rsidRDefault="00416FC8" w:rsidP="00416FC8">
      <w:pPr>
        <w:pStyle w:val="ListParagraph"/>
        <w:numPr>
          <w:ilvl w:val="1"/>
          <w:numId w:val="1"/>
        </w:numPr>
      </w:pPr>
      <w:r>
        <w:t>Age, pulse pressure index, mean arterial pressure, arterial stiffness, renal interstitial pressure, intra-abdominal pressure</w:t>
      </w:r>
    </w:p>
    <w:p w14:paraId="2B601097" w14:textId="77777777" w:rsidR="00416FC8" w:rsidRDefault="00416FC8" w:rsidP="00416FC8"/>
    <w:p w14:paraId="1F6935F1" w14:textId="77777777" w:rsidR="00416FC8" w:rsidRDefault="00416FC8" w:rsidP="00416FC8">
      <w:pPr>
        <w:pStyle w:val="ListParagraph"/>
        <w:numPr>
          <w:ilvl w:val="0"/>
          <w:numId w:val="1"/>
        </w:numPr>
      </w:pPr>
      <w:r>
        <w:t xml:space="preserve">What </w:t>
      </w:r>
      <w:proofErr w:type="gramStart"/>
      <w:r>
        <w:t>is the criteria</w:t>
      </w:r>
      <w:proofErr w:type="gramEnd"/>
      <w:r>
        <w:t xml:space="preserve"> for AKI as defined by the Acute Kidney Injury Network Classification Scheme?</w:t>
      </w:r>
    </w:p>
    <w:p w14:paraId="22472429" w14:textId="77777777" w:rsidR="00416FC8" w:rsidRDefault="00B425ED" w:rsidP="00416FC8">
      <w:pPr>
        <w:pStyle w:val="ListParagraph"/>
        <w:numPr>
          <w:ilvl w:val="1"/>
          <w:numId w:val="1"/>
        </w:numPr>
      </w:pPr>
      <w:r>
        <w:t xml:space="preserve">Abrupt (within 48 hour) </w:t>
      </w:r>
      <w:proofErr w:type="spellStart"/>
      <w:r w:rsidR="00416FC8">
        <w:t>ncrease</w:t>
      </w:r>
      <w:proofErr w:type="spellEnd"/>
      <w:r w:rsidR="00416FC8">
        <w:t xml:space="preserve"> in serum </w:t>
      </w:r>
      <w:proofErr w:type="spellStart"/>
      <w:r w:rsidR="00416FC8">
        <w:t>creatinine</w:t>
      </w:r>
      <w:proofErr w:type="spellEnd"/>
      <w:r w:rsidR="00416FC8">
        <w:t xml:space="preserve"> by greater than or equal to 150% from baseline or as urine output less than 0.5ml/kg/</w:t>
      </w:r>
      <w:proofErr w:type="spellStart"/>
      <w:r w:rsidR="00416FC8">
        <w:t>hr</w:t>
      </w:r>
      <w:proofErr w:type="spellEnd"/>
      <w:r w:rsidR="00416FC8">
        <w:t xml:space="preserve"> for 6 hours or more</w:t>
      </w:r>
    </w:p>
    <w:p w14:paraId="1E4308EC" w14:textId="77777777" w:rsidR="00416FC8" w:rsidRDefault="00416FC8" w:rsidP="00416FC8">
      <w:pPr>
        <w:pStyle w:val="ListParagraph"/>
        <w:numPr>
          <w:ilvl w:val="2"/>
          <w:numId w:val="1"/>
        </w:numPr>
      </w:pPr>
      <w:r>
        <w:t xml:space="preserve">Lowest </w:t>
      </w:r>
      <w:proofErr w:type="spellStart"/>
      <w:r>
        <w:t>creat</w:t>
      </w:r>
      <w:proofErr w:type="spellEnd"/>
      <w:r>
        <w:t xml:space="preserve"> in the 3 months preceding inclusion taken as baseline</w:t>
      </w:r>
    </w:p>
    <w:p w14:paraId="0CB9F8EA" w14:textId="77777777" w:rsidR="00416FC8" w:rsidRDefault="00416FC8" w:rsidP="00416FC8">
      <w:pPr>
        <w:pStyle w:val="ListParagraph"/>
        <w:numPr>
          <w:ilvl w:val="2"/>
          <w:numId w:val="1"/>
        </w:numPr>
      </w:pPr>
      <w:r>
        <w:t xml:space="preserve">If no </w:t>
      </w:r>
      <w:proofErr w:type="spellStart"/>
      <w:r>
        <w:t>creat</w:t>
      </w:r>
      <w:proofErr w:type="spellEnd"/>
      <w:r>
        <w:t xml:space="preserve"> available, lowest </w:t>
      </w:r>
      <w:proofErr w:type="spellStart"/>
      <w:r>
        <w:t>creat</w:t>
      </w:r>
      <w:proofErr w:type="spellEnd"/>
      <w:r>
        <w:t xml:space="preserve"> during ICU stay (after renal recovery) used to assess underlying renal function</w:t>
      </w:r>
    </w:p>
    <w:p w14:paraId="558EDECE" w14:textId="77777777" w:rsidR="00416FC8" w:rsidRDefault="00416FC8" w:rsidP="00416FC8">
      <w:pPr>
        <w:pStyle w:val="ListParagraph"/>
        <w:numPr>
          <w:ilvl w:val="2"/>
          <w:numId w:val="1"/>
        </w:numPr>
      </w:pPr>
      <w:r>
        <w:t>If no value available, baseline estimated using MDRD formula</w:t>
      </w:r>
    </w:p>
    <w:p w14:paraId="65066EB5" w14:textId="77777777" w:rsidR="00416FC8" w:rsidRDefault="00416FC8" w:rsidP="00416FC8">
      <w:pPr>
        <w:ind w:left="720"/>
      </w:pPr>
      <w:r>
        <w:t>Transient AKI?</w:t>
      </w:r>
    </w:p>
    <w:p w14:paraId="42D208D8" w14:textId="77777777" w:rsidR="00416FC8" w:rsidRDefault="00416FC8" w:rsidP="00416FC8">
      <w:pPr>
        <w:ind w:left="1440"/>
      </w:pPr>
      <w:r>
        <w:t xml:space="preserve">Defined as recovery occurring within 3 days following inclusion- urine output normalization or at least 50% serum </w:t>
      </w:r>
      <w:proofErr w:type="spellStart"/>
      <w:r>
        <w:t>creatinine</w:t>
      </w:r>
      <w:proofErr w:type="spellEnd"/>
      <w:r>
        <w:t xml:space="preserve"> decrease/normalization</w:t>
      </w:r>
    </w:p>
    <w:p w14:paraId="0EAA2050" w14:textId="77777777" w:rsidR="00416FC8" w:rsidRDefault="00416FC8" w:rsidP="00416FC8">
      <w:pPr>
        <w:ind w:left="720"/>
      </w:pPr>
      <w:r>
        <w:t>Persistent AKI?</w:t>
      </w:r>
    </w:p>
    <w:p w14:paraId="2FA6485F" w14:textId="77777777" w:rsidR="00416FC8" w:rsidRDefault="00416FC8" w:rsidP="00416FC8">
      <w:pPr>
        <w:ind w:left="720"/>
      </w:pPr>
      <w:r>
        <w:tab/>
        <w:t xml:space="preserve">Persistent AKI defined as persistent oliguria/serum </w:t>
      </w:r>
      <w:proofErr w:type="spellStart"/>
      <w:r>
        <w:t>creatinine</w:t>
      </w:r>
      <w:proofErr w:type="spellEnd"/>
      <w:r>
        <w:t xml:space="preserve"> </w:t>
      </w:r>
    </w:p>
    <w:p w14:paraId="19333DE7" w14:textId="77777777" w:rsidR="00416FC8" w:rsidRDefault="00416FC8" w:rsidP="00416FC8">
      <w:pPr>
        <w:ind w:left="720" w:firstLine="720"/>
      </w:pPr>
      <w:proofErr w:type="gramStart"/>
      <w:r>
        <w:t>elevation</w:t>
      </w:r>
      <w:proofErr w:type="gramEnd"/>
      <w:r>
        <w:t xml:space="preserve"> after 3 days</w:t>
      </w:r>
    </w:p>
    <w:p w14:paraId="5DDA9524" w14:textId="77777777" w:rsidR="00EC10C2" w:rsidRDefault="00EC10C2" w:rsidP="00416FC8">
      <w:pPr>
        <w:ind w:left="720" w:firstLine="720"/>
      </w:pPr>
    </w:p>
    <w:p w14:paraId="25987832" w14:textId="77777777" w:rsidR="0012262E" w:rsidRDefault="0012262E" w:rsidP="001226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sz w:val="44"/>
          <w:szCs w:val="44"/>
        </w:rPr>
      </w:pPr>
      <w:r>
        <w:rPr>
          <w:rFonts w:ascii="Helvetica" w:hAnsi="Helvetica" w:cs="Helvetica"/>
          <w:color w:val="141413"/>
          <w:sz w:val="44"/>
          <w:szCs w:val="44"/>
        </w:rPr>
        <w:t>Acute Kidney Injury in the Critically Ill: Is Iodinated Contrast Medium Really Harmful</w:t>
      </w:r>
      <w:proofErr w:type="gramStart"/>
      <w:r>
        <w:rPr>
          <w:rFonts w:ascii="Helvetica" w:hAnsi="Helvetica" w:cs="Helvetica"/>
          <w:color w:val="141413"/>
          <w:sz w:val="44"/>
          <w:szCs w:val="44"/>
        </w:rPr>
        <w:t>?*</w:t>
      </w:r>
      <w:proofErr w:type="gramEnd"/>
    </w:p>
    <w:p w14:paraId="6547E224" w14:textId="77777777" w:rsidR="0012262E" w:rsidRDefault="0012262E" w:rsidP="001226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505150"/>
          <w:sz w:val="13"/>
          <w:szCs w:val="13"/>
        </w:rPr>
      </w:pPr>
      <w:r>
        <w:rPr>
          <w:rFonts w:ascii="Times" w:hAnsi="Times" w:cs="Times"/>
          <w:color w:val="505150"/>
        </w:rPr>
        <w:t xml:space="preserve">Stephan </w:t>
      </w:r>
      <w:proofErr w:type="spellStart"/>
      <w:r>
        <w:rPr>
          <w:rFonts w:ascii="Times" w:hAnsi="Times" w:cs="Times"/>
          <w:color w:val="505150"/>
        </w:rPr>
        <w:t>Ehrmann</w:t>
      </w:r>
      <w:proofErr w:type="spellEnd"/>
      <w:r>
        <w:rPr>
          <w:rFonts w:ascii="Times" w:hAnsi="Times" w:cs="Times"/>
          <w:color w:val="505150"/>
        </w:rPr>
        <w:t>, MD</w:t>
      </w:r>
      <w:r>
        <w:rPr>
          <w:rFonts w:ascii="Times" w:hAnsi="Times" w:cs="Times"/>
          <w:color w:val="505150"/>
          <w:sz w:val="13"/>
          <w:szCs w:val="13"/>
        </w:rPr>
        <w:t>1</w:t>
      </w:r>
      <w:r>
        <w:rPr>
          <w:rFonts w:ascii="Times" w:hAnsi="Times" w:cs="Times"/>
          <w:color w:val="505150"/>
        </w:rPr>
        <w:t>; Julie Badin, MD</w:t>
      </w:r>
      <w:r>
        <w:rPr>
          <w:rFonts w:ascii="Times" w:hAnsi="Times" w:cs="Times"/>
          <w:color w:val="505150"/>
          <w:sz w:val="13"/>
          <w:szCs w:val="13"/>
        </w:rPr>
        <w:t>1</w:t>
      </w:r>
      <w:r>
        <w:rPr>
          <w:rFonts w:ascii="Times" w:hAnsi="Times" w:cs="Times"/>
          <w:color w:val="505150"/>
        </w:rPr>
        <w:t xml:space="preserve">; Laurent </w:t>
      </w:r>
      <w:proofErr w:type="spellStart"/>
      <w:r>
        <w:rPr>
          <w:rFonts w:ascii="Times" w:hAnsi="Times" w:cs="Times"/>
          <w:color w:val="505150"/>
        </w:rPr>
        <w:t>Savath</w:t>
      </w:r>
      <w:proofErr w:type="spellEnd"/>
      <w:r>
        <w:rPr>
          <w:rFonts w:ascii="Times" w:hAnsi="Times" w:cs="Times"/>
          <w:color w:val="505150"/>
        </w:rPr>
        <w:t>, MD</w:t>
      </w:r>
      <w:r>
        <w:rPr>
          <w:rFonts w:ascii="Times" w:hAnsi="Times" w:cs="Times"/>
          <w:color w:val="505150"/>
          <w:sz w:val="13"/>
          <w:szCs w:val="13"/>
        </w:rPr>
        <w:t>2</w:t>
      </w:r>
      <w:r>
        <w:rPr>
          <w:rFonts w:ascii="Times" w:hAnsi="Times" w:cs="Times"/>
          <w:color w:val="505150"/>
        </w:rPr>
        <w:t xml:space="preserve">; Olivier </w:t>
      </w:r>
      <w:proofErr w:type="spellStart"/>
      <w:r>
        <w:rPr>
          <w:rFonts w:ascii="Times" w:hAnsi="Times" w:cs="Times"/>
          <w:color w:val="505150"/>
        </w:rPr>
        <w:t>Pajot</w:t>
      </w:r>
      <w:proofErr w:type="spellEnd"/>
      <w:r>
        <w:rPr>
          <w:rFonts w:ascii="Times" w:hAnsi="Times" w:cs="Times"/>
          <w:color w:val="505150"/>
        </w:rPr>
        <w:t>, MD</w:t>
      </w:r>
      <w:r>
        <w:rPr>
          <w:rFonts w:ascii="Times" w:hAnsi="Times" w:cs="Times"/>
          <w:color w:val="505150"/>
          <w:sz w:val="13"/>
          <w:szCs w:val="13"/>
        </w:rPr>
        <w:t>3</w:t>
      </w:r>
      <w:r>
        <w:rPr>
          <w:rFonts w:ascii="Times" w:hAnsi="Times" w:cs="Times"/>
          <w:color w:val="505150"/>
        </w:rPr>
        <w:t xml:space="preserve">; Denis </w:t>
      </w:r>
      <w:proofErr w:type="spellStart"/>
      <w:r>
        <w:rPr>
          <w:rFonts w:ascii="Times" w:hAnsi="Times" w:cs="Times"/>
          <w:color w:val="505150"/>
        </w:rPr>
        <w:t>Garot</w:t>
      </w:r>
      <w:proofErr w:type="spellEnd"/>
      <w:r>
        <w:rPr>
          <w:rFonts w:ascii="Times" w:hAnsi="Times" w:cs="Times"/>
          <w:color w:val="505150"/>
        </w:rPr>
        <w:t>, MD</w:t>
      </w:r>
      <w:r>
        <w:rPr>
          <w:rFonts w:ascii="Times" w:hAnsi="Times" w:cs="Times"/>
          <w:color w:val="505150"/>
          <w:sz w:val="13"/>
          <w:szCs w:val="13"/>
        </w:rPr>
        <w:t>1</w:t>
      </w:r>
      <w:r>
        <w:rPr>
          <w:rFonts w:ascii="Times" w:hAnsi="Times" w:cs="Times"/>
          <w:color w:val="505150"/>
        </w:rPr>
        <w:t xml:space="preserve">; </w:t>
      </w:r>
      <w:proofErr w:type="spellStart"/>
      <w:r>
        <w:rPr>
          <w:rFonts w:ascii="Times" w:hAnsi="Times" w:cs="Times"/>
          <w:color w:val="505150"/>
        </w:rPr>
        <w:t>Tài</w:t>
      </w:r>
      <w:proofErr w:type="spellEnd"/>
      <w:r>
        <w:rPr>
          <w:rFonts w:ascii="Times" w:hAnsi="Times" w:cs="Times"/>
          <w:color w:val="505150"/>
        </w:rPr>
        <w:t xml:space="preserve"> Pham, MD</w:t>
      </w:r>
      <w:r>
        <w:rPr>
          <w:rFonts w:ascii="Times" w:hAnsi="Times" w:cs="Times"/>
          <w:color w:val="505150"/>
          <w:sz w:val="13"/>
          <w:szCs w:val="13"/>
        </w:rPr>
        <w:t>4</w:t>
      </w:r>
      <w:r>
        <w:rPr>
          <w:rFonts w:ascii="Times" w:hAnsi="Times" w:cs="Times"/>
          <w:color w:val="505150"/>
        </w:rPr>
        <w:t xml:space="preserve">; Xavier </w:t>
      </w:r>
      <w:proofErr w:type="spellStart"/>
      <w:r>
        <w:rPr>
          <w:rFonts w:ascii="Times" w:hAnsi="Times" w:cs="Times"/>
          <w:color w:val="505150"/>
        </w:rPr>
        <w:t>Capdevila</w:t>
      </w:r>
      <w:proofErr w:type="spellEnd"/>
      <w:r>
        <w:rPr>
          <w:rFonts w:ascii="Times" w:hAnsi="Times" w:cs="Times"/>
          <w:color w:val="505150"/>
        </w:rPr>
        <w:t>, MD, PhD</w:t>
      </w:r>
      <w:r>
        <w:rPr>
          <w:rFonts w:ascii="Times" w:hAnsi="Times" w:cs="Times"/>
          <w:color w:val="505150"/>
          <w:sz w:val="13"/>
          <w:szCs w:val="13"/>
        </w:rPr>
        <w:t>2</w:t>
      </w:r>
      <w:r>
        <w:rPr>
          <w:rFonts w:ascii="Times" w:hAnsi="Times" w:cs="Times"/>
          <w:color w:val="505150"/>
        </w:rPr>
        <w:t xml:space="preserve">; Dominique </w:t>
      </w:r>
      <w:proofErr w:type="spellStart"/>
      <w:r>
        <w:rPr>
          <w:rFonts w:ascii="Times" w:hAnsi="Times" w:cs="Times"/>
          <w:color w:val="505150"/>
        </w:rPr>
        <w:t>Perrotin</w:t>
      </w:r>
      <w:proofErr w:type="spellEnd"/>
      <w:r>
        <w:rPr>
          <w:rFonts w:ascii="Times" w:hAnsi="Times" w:cs="Times"/>
          <w:color w:val="505150"/>
        </w:rPr>
        <w:t>, MD</w:t>
      </w:r>
      <w:r>
        <w:rPr>
          <w:rFonts w:ascii="Times" w:hAnsi="Times" w:cs="Times"/>
          <w:color w:val="505150"/>
          <w:sz w:val="13"/>
          <w:szCs w:val="13"/>
        </w:rPr>
        <w:t>1</w:t>
      </w:r>
      <w:r>
        <w:rPr>
          <w:rFonts w:ascii="Times" w:hAnsi="Times" w:cs="Times"/>
          <w:color w:val="505150"/>
        </w:rPr>
        <w:t xml:space="preserve">; </w:t>
      </w:r>
      <w:proofErr w:type="spellStart"/>
      <w:r>
        <w:rPr>
          <w:rFonts w:ascii="Times" w:hAnsi="Times" w:cs="Times"/>
          <w:color w:val="505150"/>
        </w:rPr>
        <w:t>Karim</w:t>
      </w:r>
      <w:proofErr w:type="spellEnd"/>
      <w:r>
        <w:rPr>
          <w:rFonts w:ascii="Times" w:hAnsi="Times" w:cs="Times"/>
          <w:color w:val="505150"/>
        </w:rPr>
        <w:t xml:space="preserve"> </w:t>
      </w:r>
      <w:proofErr w:type="spellStart"/>
      <w:r>
        <w:rPr>
          <w:rFonts w:ascii="Times" w:hAnsi="Times" w:cs="Times"/>
          <w:color w:val="505150"/>
        </w:rPr>
        <w:t>Lakhal</w:t>
      </w:r>
      <w:proofErr w:type="spellEnd"/>
      <w:r>
        <w:rPr>
          <w:rFonts w:ascii="Times" w:hAnsi="Times" w:cs="Times"/>
          <w:color w:val="505150"/>
        </w:rPr>
        <w:t>, MD</w:t>
      </w:r>
      <w:r>
        <w:rPr>
          <w:rFonts w:ascii="Times" w:hAnsi="Times" w:cs="Times"/>
          <w:color w:val="505150"/>
          <w:sz w:val="13"/>
          <w:szCs w:val="13"/>
        </w:rPr>
        <w:t>2</w:t>
      </w:r>
    </w:p>
    <w:p w14:paraId="11BB5FF7" w14:textId="77777777" w:rsidR="007466E5" w:rsidRDefault="0012262E" w:rsidP="001226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7466E5">
        <w:rPr>
          <w:rFonts w:ascii="Helvetica" w:hAnsi="Helvetica" w:cs="Helvetica"/>
          <w:color w:val="141413"/>
        </w:rPr>
        <w:t>Objectives: To assess whether the use of iodinated contrast medium increases the incidence of acute kidn</w:t>
      </w:r>
      <w:r w:rsidR="007466E5">
        <w:rPr>
          <w:rFonts w:ascii="Helvetica" w:hAnsi="Helvetica" w:cs="Helvetica"/>
          <w:color w:val="141413"/>
        </w:rPr>
        <w:t>ey injury in ICU patients, com</w:t>
      </w:r>
      <w:r w:rsidRPr="007466E5">
        <w:rPr>
          <w:rFonts w:ascii="Helvetica" w:hAnsi="Helvetica" w:cs="Helvetica"/>
          <w:color w:val="141413"/>
        </w:rPr>
        <w:t xml:space="preserve">pared with patients not receiving iodinated contrast medium. </w:t>
      </w:r>
    </w:p>
    <w:p w14:paraId="5C5D34E3" w14:textId="77777777" w:rsidR="007466E5" w:rsidRDefault="0012262E" w:rsidP="001226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7466E5">
        <w:rPr>
          <w:rFonts w:ascii="Helvetica" w:hAnsi="Helvetica" w:cs="Helvetica"/>
          <w:color w:val="141413"/>
        </w:rPr>
        <w:t xml:space="preserve">Design: Prospective observational matched cohort study. </w:t>
      </w:r>
    </w:p>
    <w:p w14:paraId="7EC2BE1B" w14:textId="77777777" w:rsidR="0012262E" w:rsidRPr="007466E5" w:rsidRDefault="0012262E" w:rsidP="001226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7466E5">
        <w:rPr>
          <w:rFonts w:ascii="Helvetica" w:hAnsi="Helvetica" w:cs="Helvetica"/>
          <w:color w:val="141413"/>
        </w:rPr>
        <w:t>Setting: Two ICUs in two tertiary teaching hospitals.</w:t>
      </w:r>
    </w:p>
    <w:p w14:paraId="10040341" w14:textId="77777777" w:rsidR="0012262E" w:rsidRPr="007466E5" w:rsidRDefault="0012262E" w:rsidP="001226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7466E5">
        <w:rPr>
          <w:rFonts w:ascii="Helvetica" w:hAnsi="Helvetica" w:cs="Helvetica"/>
          <w:color w:val="141413"/>
        </w:rPr>
        <w:t>Patients: A total of 380 adults were included (20% more than once), before an iodinated contrast me</w:t>
      </w:r>
      <w:r w:rsidR="007466E5">
        <w:rPr>
          <w:rFonts w:ascii="Helvetica" w:hAnsi="Helvetica" w:cs="Helvetica"/>
          <w:color w:val="141413"/>
        </w:rPr>
        <w:t>dium infusion (contrast inclu</w:t>
      </w:r>
      <w:r w:rsidRPr="007466E5">
        <w:rPr>
          <w:rFonts w:ascii="Helvetica" w:hAnsi="Helvetica" w:cs="Helvetica"/>
          <w:color w:val="141413"/>
        </w:rPr>
        <w:t xml:space="preserve">sions, n = 307) or before an </w:t>
      </w:r>
      <w:proofErr w:type="spellStart"/>
      <w:r w:rsidRPr="007466E5">
        <w:rPr>
          <w:rFonts w:ascii="Helvetica" w:hAnsi="Helvetica" w:cs="Helvetica"/>
          <w:color w:val="141413"/>
        </w:rPr>
        <w:t>intrahospital</w:t>
      </w:r>
      <w:proofErr w:type="spellEnd"/>
      <w:r w:rsidRPr="007466E5">
        <w:rPr>
          <w:rFonts w:ascii="Helvetica" w:hAnsi="Helvetica" w:cs="Helvetica"/>
          <w:color w:val="141413"/>
        </w:rPr>
        <w:t xml:space="preserve"> transfer without iodinated contrast medium infusion (control inclusions, n = 170). Interventions: None.</w:t>
      </w:r>
    </w:p>
    <w:p w14:paraId="04FD8865" w14:textId="77777777" w:rsidR="0012262E" w:rsidRPr="007466E5" w:rsidRDefault="0012262E" w:rsidP="001226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7466E5">
        <w:rPr>
          <w:rFonts w:ascii="Helvetica" w:hAnsi="Helvetica" w:cs="Helvetica"/>
          <w:color w:val="141413"/>
        </w:rPr>
        <w:t xml:space="preserve">Measurements and Main Results: Among contrast inclusions, iodinated contrast medium–associated acute kidney injury occurred after 23 administrations (7.5%) according to the Acute Kidney Injury Network definition (stage </w:t>
      </w:r>
      <w:r w:rsidRPr="007466E5">
        <w:rPr>
          <w:rFonts w:ascii="Times" w:hAnsi="Times" w:cs="Times"/>
          <w:color w:val="141413"/>
        </w:rPr>
        <w:t xml:space="preserve">≥ </w:t>
      </w:r>
      <w:r w:rsidRPr="007466E5">
        <w:rPr>
          <w:rFonts w:ascii="Helvetica" w:hAnsi="Helvetica" w:cs="Helvetica"/>
          <w:color w:val="141413"/>
        </w:rPr>
        <w:t xml:space="preserve">1, over 48 </w:t>
      </w:r>
      <w:proofErr w:type="spellStart"/>
      <w:r w:rsidRPr="007466E5">
        <w:rPr>
          <w:rFonts w:ascii="Helvetica" w:hAnsi="Helvetica" w:cs="Helvetica"/>
          <w:color w:val="141413"/>
        </w:rPr>
        <w:t>hr</w:t>
      </w:r>
      <w:proofErr w:type="spellEnd"/>
      <w:r w:rsidRPr="007466E5">
        <w:rPr>
          <w:rFonts w:ascii="Helvetica" w:hAnsi="Helvetica" w:cs="Helvetica"/>
          <w:color w:val="141413"/>
        </w:rPr>
        <w:t>). As expected, a broader definition (</w:t>
      </w:r>
      <w:r w:rsidRPr="007466E5">
        <w:rPr>
          <w:rFonts w:ascii="Times" w:hAnsi="Times" w:cs="Times"/>
          <w:color w:val="141413"/>
        </w:rPr>
        <w:t xml:space="preserve">≥ </w:t>
      </w:r>
      <w:r w:rsidRPr="007466E5">
        <w:rPr>
          <w:rFonts w:ascii="Helvetica" w:hAnsi="Helvetica" w:cs="Helvetica"/>
          <w:color w:val="141413"/>
        </w:rPr>
        <w:t xml:space="preserve">25% increase in serum </w:t>
      </w:r>
      <w:proofErr w:type="spellStart"/>
      <w:r w:rsidRPr="007466E5">
        <w:rPr>
          <w:rFonts w:ascii="Helvetica" w:hAnsi="Helvetica" w:cs="Helvetica"/>
          <w:color w:val="141413"/>
        </w:rPr>
        <w:t>creatinine</w:t>
      </w:r>
      <w:proofErr w:type="spellEnd"/>
      <w:r w:rsidRPr="007466E5">
        <w:rPr>
          <w:rFonts w:ascii="Helvetica" w:hAnsi="Helvetica" w:cs="Helvetica"/>
          <w:color w:val="141413"/>
        </w:rPr>
        <w:t xml:space="preserve"> over 72 </w:t>
      </w:r>
      <w:proofErr w:type="spellStart"/>
      <w:r w:rsidRPr="007466E5">
        <w:rPr>
          <w:rFonts w:ascii="Helvetica" w:hAnsi="Helvetica" w:cs="Helvetica"/>
          <w:color w:val="141413"/>
        </w:rPr>
        <w:t>hr</w:t>
      </w:r>
      <w:proofErr w:type="spellEnd"/>
      <w:r w:rsidRPr="007466E5">
        <w:rPr>
          <w:rFonts w:ascii="Helvetica" w:hAnsi="Helvetica" w:cs="Helvetica"/>
          <w:color w:val="141413"/>
        </w:rPr>
        <w:t>) yielded a greater incidence (16%). In 146 pairs of contrast and control inclusions, matched on propensity for iodinated contrast medium infusion, the incidence of acute kidney injury was similar (absolute difference in incidence, 0%; 95% confidence interval, –5.2; 5.2%), Acute Kidney Injury Network definition). Hospital mortality was also similar in 71 contrast and 71 control patients included only once and matched the same way. Contrary to iodinated contrast medium infusion (odds ratio, 1.57; 95% confidence interval, 0.69–3.53), the Sequential Organ Failure Assessment score at inclusion (odds ratio, 1.18; 95% confidence interval, 1.07–1.31) and the number of other nephrotoxic agents (odds ratio, 1.38; 95% confidence interval, 1.03–1.85) were independent risk factors for acute kidney injury.</w:t>
      </w:r>
    </w:p>
    <w:p w14:paraId="0D662B83" w14:textId="77777777" w:rsidR="0012262E" w:rsidRPr="007466E5" w:rsidRDefault="0012262E" w:rsidP="001226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7466E5">
        <w:rPr>
          <w:rFonts w:ascii="Helvetica" w:hAnsi="Helvetica" w:cs="Helvetica"/>
          <w:color w:val="141413"/>
        </w:rPr>
        <w:t>Conclusions: The specific toxic ef</w:t>
      </w:r>
      <w:r w:rsidR="007466E5">
        <w:rPr>
          <w:rFonts w:ascii="Helvetica" w:hAnsi="Helvetica" w:cs="Helvetica"/>
          <w:color w:val="141413"/>
        </w:rPr>
        <w:t>fect of monomeric nonionic low-</w:t>
      </w:r>
      <w:proofErr w:type="spellStart"/>
      <w:r w:rsidRPr="007466E5">
        <w:rPr>
          <w:rFonts w:ascii="Helvetica" w:hAnsi="Helvetica" w:cs="Helvetica"/>
          <w:color w:val="141413"/>
        </w:rPr>
        <w:t>osmolar</w:t>
      </w:r>
      <w:proofErr w:type="spellEnd"/>
      <w:r w:rsidRPr="007466E5">
        <w:rPr>
          <w:rFonts w:ascii="Helvetica" w:hAnsi="Helvetica" w:cs="Helvetica"/>
          <w:color w:val="141413"/>
        </w:rPr>
        <w:t xml:space="preserve"> iodinated contrast medium in ICU patients with multiple renal aggressions seemed minimal. Severity of disease and the global nephrotoxic burden were risk factors for acute kidney injury, regardless of iodinated contrast medium infusion. (</w:t>
      </w:r>
      <w:proofErr w:type="spellStart"/>
      <w:r w:rsidRPr="007466E5">
        <w:rPr>
          <w:rFonts w:ascii="Helvetica" w:hAnsi="Helvetica" w:cs="Helvetica"/>
          <w:color w:val="141413"/>
        </w:rPr>
        <w:t>Crit</w:t>
      </w:r>
      <w:proofErr w:type="spellEnd"/>
      <w:r w:rsidRPr="007466E5">
        <w:rPr>
          <w:rFonts w:ascii="Helvetica" w:hAnsi="Helvetica" w:cs="Helvetica"/>
          <w:color w:val="141413"/>
        </w:rPr>
        <w:t xml:space="preserve"> Care Med 2013; 41:1017–1026)</w:t>
      </w:r>
    </w:p>
    <w:p w14:paraId="23A0097F" w14:textId="77777777" w:rsidR="00EC10C2" w:rsidRDefault="00EC10C2" w:rsidP="00EC10C2"/>
    <w:p w14:paraId="4D991CDC" w14:textId="77777777" w:rsidR="007466E5" w:rsidRDefault="007466E5" w:rsidP="00EC10C2">
      <w:r>
        <w:t>Key Points:</w:t>
      </w:r>
    </w:p>
    <w:p w14:paraId="0144FE2B" w14:textId="38CD8BD8" w:rsidR="00636C42" w:rsidRDefault="00636C42" w:rsidP="00636C42">
      <w:pPr>
        <w:pStyle w:val="ListParagraph"/>
        <w:numPr>
          <w:ilvl w:val="0"/>
          <w:numId w:val="3"/>
        </w:numPr>
      </w:pPr>
      <w:r>
        <w:t>Many mechanisms likely at play in patients having had received iodinated contrast medium developing acute kidney injury.</w:t>
      </w:r>
    </w:p>
    <w:p w14:paraId="76D20B0D" w14:textId="73C263EA" w:rsidR="00636C42" w:rsidRDefault="00443567" w:rsidP="00636C42">
      <w:pPr>
        <w:pStyle w:val="ListParagraph"/>
        <w:numPr>
          <w:ilvl w:val="0"/>
          <w:numId w:val="3"/>
        </w:numPr>
      </w:pPr>
      <w:r>
        <w:t>The incidence of AKI and mortality was similar between ICU patients received iodinated contrast medium and controls.</w:t>
      </w:r>
    </w:p>
    <w:p w14:paraId="03800392" w14:textId="14AA17ED" w:rsidR="00443567" w:rsidRDefault="00443567" w:rsidP="00636C42">
      <w:pPr>
        <w:pStyle w:val="ListParagraph"/>
        <w:numPr>
          <w:ilvl w:val="0"/>
          <w:numId w:val="3"/>
        </w:numPr>
      </w:pPr>
      <w:proofErr w:type="gramStart"/>
      <w:r>
        <w:t xml:space="preserve">Inclusion </w:t>
      </w:r>
      <w:bookmarkStart w:id="0" w:name="_GoBack"/>
      <w:bookmarkEnd w:id="0"/>
      <w:r>
        <w:t>SOFA score</w:t>
      </w:r>
      <w:proofErr w:type="gramEnd"/>
      <w:r>
        <w:t xml:space="preserve"> and the number of other nephrotoxic agents were independent risk factors for acute kidney injury.</w:t>
      </w:r>
    </w:p>
    <w:p w14:paraId="05F507F4" w14:textId="77777777" w:rsidR="007466E5" w:rsidRDefault="007466E5" w:rsidP="00EC10C2"/>
    <w:p w14:paraId="6E31C8AF" w14:textId="77777777" w:rsidR="00636C42" w:rsidRDefault="00636C42" w:rsidP="00EC10C2"/>
    <w:p w14:paraId="06ECCC80" w14:textId="03CD1693" w:rsidR="00636C42" w:rsidRDefault="00636C42" w:rsidP="00EC10C2">
      <w:r>
        <w:t>Questions:</w:t>
      </w:r>
    </w:p>
    <w:p w14:paraId="6DE7BC2C" w14:textId="02BA28BD" w:rsidR="00636C42" w:rsidRDefault="00636C42" w:rsidP="00636C42">
      <w:pPr>
        <w:pStyle w:val="ListParagraph"/>
        <w:numPr>
          <w:ilvl w:val="0"/>
          <w:numId w:val="2"/>
        </w:numPr>
      </w:pPr>
      <w:r>
        <w:t>List 3 mechanisms for iodinated contrast medium-associated acute kidney injury.</w:t>
      </w:r>
    </w:p>
    <w:p w14:paraId="6E2ADBB8" w14:textId="02DFF133" w:rsidR="00636C42" w:rsidRDefault="00636C42" w:rsidP="00636C42">
      <w:pPr>
        <w:pStyle w:val="ListParagraph"/>
        <w:numPr>
          <w:ilvl w:val="1"/>
          <w:numId w:val="2"/>
        </w:numPr>
      </w:pPr>
      <w:r>
        <w:t>Direct tubular toxicity</w:t>
      </w:r>
    </w:p>
    <w:p w14:paraId="14C5C9EB" w14:textId="5C958549" w:rsidR="00636C42" w:rsidRDefault="00636C42" w:rsidP="00636C42">
      <w:pPr>
        <w:pStyle w:val="ListParagraph"/>
        <w:numPr>
          <w:ilvl w:val="1"/>
          <w:numId w:val="2"/>
        </w:numPr>
      </w:pPr>
      <w:r>
        <w:t>Modified blood rheology</w:t>
      </w:r>
    </w:p>
    <w:p w14:paraId="6434E72D" w14:textId="4D090ACC" w:rsidR="00636C42" w:rsidRDefault="00636C42" w:rsidP="00636C42">
      <w:pPr>
        <w:pStyle w:val="ListParagraph"/>
        <w:numPr>
          <w:ilvl w:val="1"/>
          <w:numId w:val="2"/>
        </w:numPr>
      </w:pPr>
      <w:r>
        <w:t>Renal vasoconstriction</w:t>
      </w:r>
    </w:p>
    <w:p w14:paraId="6F272D7D" w14:textId="0A487578" w:rsidR="00636C42" w:rsidRDefault="00636C42" w:rsidP="00636C42">
      <w:pPr>
        <w:pStyle w:val="ListParagraph"/>
        <w:numPr>
          <w:ilvl w:val="1"/>
          <w:numId w:val="2"/>
        </w:numPr>
      </w:pPr>
      <w:r>
        <w:t>Production of reactive oxygen species</w:t>
      </w:r>
    </w:p>
    <w:p w14:paraId="6EF00DA5" w14:textId="77777777" w:rsidR="00636C42" w:rsidRDefault="00636C42" w:rsidP="00636C42"/>
    <w:p w14:paraId="50FD2189" w14:textId="24B0DE13" w:rsidR="00636C42" w:rsidRDefault="00496EF6" w:rsidP="00496EF6">
      <w:pPr>
        <w:pStyle w:val="ListParagraph"/>
        <w:numPr>
          <w:ilvl w:val="0"/>
          <w:numId w:val="2"/>
        </w:numPr>
      </w:pPr>
      <w:r>
        <w:t>T/F The incidence of acute kidney injury was similar among patients administered iodinated contrast medium vs. controls.</w:t>
      </w:r>
    </w:p>
    <w:p w14:paraId="4AB9D1B3" w14:textId="77777777" w:rsidR="00496EF6" w:rsidRDefault="00496EF6" w:rsidP="00496EF6"/>
    <w:p w14:paraId="25180ED6" w14:textId="550FB37E" w:rsidR="00496EF6" w:rsidRDefault="00496EF6" w:rsidP="00496EF6">
      <w:pPr>
        <w:pStyle w:val="ListParagraph"/>
        <w:numPr>
          <w:ilvl w:val="0"/>
          <w:numId w:val="2"/>
        </w:numPr>
      </w:pPr>
      <w:r>
        <w:t>Risk factors for AKI among patients receiving iodinated contrast medium identified in the study presented here include</w:t>
      </w:r>
    </w:p>
    <w:p w14:paraId="75F0EBF0" w14:textId="77777777" w:rsidR="00496EF6" w:rsidRDefault="00496EF6" w:rsidP="00496EF6"/>
    <w:p w14:paraId="26FDED47" w14:textId="2B6806A8" w:rsidR="00496EF6" w:rsidRDefault="00496EF6" w:rsidP="00496EF6">
      <w:pPr>
        <w:pStyle w:val="ListParagraph"/>
        <w:numPr>
          <w:ilvl w:val="1"/>
          <w:numId w:val="2"/>
        </w:numPr>
      </w:pPr>
      <w:r>
        <w:t>SOFA score at inclusion</w:t>
      </w:r>
    </w:p>
    <w:p w14:paraId="68CA13D7" w14:textId="50D435EB" w:rsidR="00496EF6" w:rsidRDefault="00496EF6" w:rsidP="00496EF6">
      <w:pPr>
        <w:pStyle w:val="ListParagraph"/>
        <w:numPr>
          <w:ilvl w:val="1"/>
          <w:numId w:val="2"/>
        </w:numPr>
      </w:pPr>
      <w:r>
        <w:t>Number of nephrotoxic drugs (excluding contrast medium) administered 24 hours before to 48 hours after inclusion.</w:t>
      </w:r>
    </w:p>
    <w:p w14:paraId="6999DEDE" w14:textId="77777777" w:rsidR="00244CB4" w:rsidRDefault="00244CB4" w:rsidP="00244CB4"/>
    <w:p w14:paraId="2A0F7C60" w14:textId="40124E1A" w:rsidR="00244CB4" w:rsidRDefault="00244CB4" w:rsidP="00244CB4">
      <w:pPr>
        <w:pStyle w:val="ListParagraph"/>
        <w:numPr>
          <w:ilvl w:val="0"/>
          <w:numId w:val="2"/>
        </w:numPr>
      </w:pPr>
      <w:r>
        <w:t xml:space="preserve">T/F: Based on the result of this study </w:t>
      </w:r>
      <w:proofErr w:type="spellStart"/>
      <w:r>
        <w:t>nephroprotective</w:t>
      </w:r>
      <w:proofErr w:type="spellEnd"/>
      <w:r>
        <w:t xml:space="preserve"> drugs are not indicated when using iodinated contrast medium.</w:t>
      </w:r>
    </w:p>
    <w:p w14:paraId="1AEE3920" w14:textId="77777777" w:rsidR="00244CB4" w:rsidRDefault="00244CB4" w:rsidP="00244CB4">
      <w:pPr>
        <w:pStyle w:val="ListParagraph"/>
      </w:pPr>
    </w:p>
    <w:sectPr w:rsidR="00244CB4" w:rsidSect="00D46B9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E6AB7"/>
    <w:multiLevelType w:val="hybridMultilevel"/>
    <w:tmpl w:val="64349D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AB97909"/>
    <w:multiLevelType w:val="hybridMultilevel"/>
    <w:tmpl w:val="932A32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07A3D7D"/>
    <w:multiLevelType w:val="hybridMultilevel"/>
    <w:tmpl w:val="047EC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FC8"/>
    <w:rsid w:val="0012262E"/>
    <w:rsid w:val="00244CB4"/>
    <w:rsid w:val="00416FC8"/>
    <w:rsid w:val="00443567"/>
    <w:rsid w:val="00496EF6"/>
    <w:rsid w:val="00636C42"/>
    <w:rsid w:val="007466E5"/>
    <w:rsid w:val="00B425ED"/>
    <w:rsid w:val="00D46B93"/>
    <w:rsid w:val="00EC10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6E031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6FC8"/>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6F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496</TotalTime>
  <Pages>4</Pages>
  <Words>1131</Words>
  <Characters>6449</Characters>
  <Application>Microsoft Macintosh Word</Application>
  <DocSecurity>0</DocSecurity>
  <Lines>53</Lines>
  <Paragraphs>15</Paragraphs>
  <ScaleCrop>false</ScaleCrop>
  <Company>Cornell University</Company>
  <LinksUpToDate>false</LinksUpToDate>
  <CharactersWithSpaces>7565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DiFazio</dc:creator>
  <cp:keywords/>
  <dc:description/>
  <cp:lastModifiedBy>Jillian DiFazio</cp:lastModifiedBy>
  <cp:revision>3</cp:revision>
  <dcterms:created xsi:type="dcterms:W3CDTF">2013-05-02T11:21:00Z</dcterms:created>
  <dcterms:modified xsi:type="dcterms:W3CDTF">2013-05-02T20:38:00Z</dcterms:modified>
</cp:coreProperties>
</file>