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7820A"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44"/>
          <w:szCs w:val="44"/>
        </w:rPr>
      </w:pPr>
      <w:r>
        <w:rPr>
          <w:rFonts w:ascii="Helvetica" w:hAnsi="Helvetica" w:cs="Helvetica"/>
          <w:color w:val="141413"/>
          <w:sz w:val="44"/>
          <w:szCs w:val="44"/>
        </w:rPr>
        <w:t>Methods of Blood Pressure Measurement in the ICU*</w:t>
      </w:r>
    </w:p>
    <w:p w14:paraId="14B49C17"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505150"/>
          <w:sz w:val="13"/>
          <w:szCs w:val="13"/>
        </w:rPr>
      </w:pPr>
      <w:r>
        <w:rPr>
          <w:rFonts w:ascii="Times" w:hAnsi="Times" w:cs="Times"/>
          <w:color w:val="505150"/>
        </w:rPr>
        <w:t>Li-</w:t>
      </w:r>
      <w:proofErr w:type="spellStart"/>
      <w:r>
        <w:rPr>
          <w:rFonts w:ascii="Times" w:hAnsi="Times" w:cs="Times"/>
          <w:color w:val="505150"/>
        </w:rPr>
        <w:t>wei</w:t>
      </w:r>
      <w:proofErr w:type="spellEnd"/>
      <w:r>
        <w:rPr>
          <w:rFonts w:ascii="Times" w:hAnsi="Times" w:cs="Times"/>
          <w:color w:val="505150"/>
        </w:rPr>
        <w:t xml:space="preserve"> H. Lehman, PhD</w:t>
      </w:r>
      <w:r>
        <w:rPr>
          <w:rFonts w:ascii="Times" w:hAnsi="Times" w:cs="Times"/>
          <w:color w:val="505150"/>
          <w:sz w:val="13"/>
          <w:szCs w:val="13"/>
        </w:rPr>
        <w:t>1</w:t>
      </w:r>
      <w:proofErr w:type="gramStart"/>
      <w:r>
        <w:rPr>
          <w:rFonts w:ascii="Times" w:hAnsi="Times" w:cs="Times"/>
          <w:color w:val="505150"/>
          <w:sz w:val="13"/>
          <w:szCs w:val="13"/>
        </w:rPr>
        <w:t>,2</w:t>
      </w:r>
      <w:proofErr w:type="gramEnd"/>
      <w:r>
        <w:rPr>
          <w:rFonts w:ascii="Times" w:hAnsi="Times" w:cs="Times"/>
          <w:color w:val="505150"/>
        </w:rPr>
        <w:t xml:space="preserve">; Mohammed </w:t>
      </w:r>
      <w:proofErr w:type="spellStart"/>
      <w:r>
        <w:rPr>
          <w:rFonts w:ascii="Times" w:hAnsi="Times" w:cs="Times"/>
          <w:color w:val="505150"/>
        </w:rPr>
        <w:t>Saeed</w:t>
      </w:r>
      <w:proofErr w:type="spellEnd"/>
      <w:r>
        <w:rPr>
          <w:rFonts w:ascii="Times" w:hAnsi="Times" w:cs="Times"/>
          <w:color w:val="505150"/>
        </w:rPr>
        <w:t>, MD, PhD</w:t>
      </w:r>
      <w:r>
        <w:rPr>
          <w:rFonts w:ascii="Times" w:hAnsi="Times" w:cs="Times"/>
          <w:color w:val="505150"/>
          <w:sz w:val="13"/>
          <w:szCs w:val="13"/>
        </w:rPr>
        <w:t>1,2,3</w:t>
      </w:r>
      <w:r>
        <w:rPr>
          <w:rFonts w:ascii="Times" w:hAnsi="Times" w:cs="Times"/>
          <w:color w:val="505150"/>
        </w:rPr>
        <w:t xml:space="preserve">; Daniel </w:t>
      </w:r>
      <w:proofErr w:type="spellStart"/>
      <w:r>
        <w:rPr>
          <w:rFonts w:ascii="Times" w:hAnsi="Times" w:cs="Times"/>
          <w:color w:val="505150"/>
        </w:rPr>
        <w:t>Talmor</w:t>
      </w:r>
      <w:proofErr w:type="spellEnd"/>
      <w:r>
        <w:rPr>
          <w:rFonts w:ascii="Times" w:hAnsi="Times" w:cs="Times"/>
          <w:color w:val="505150"/>
        </w:rPr>
        <w:t>, MD</w:t>
      </w:r>
      <w:r>
        <w:rPr>
          <w:rFonts w:ascii="Times" w:hAnsi="Times" w:cs="Times"/>
          <w:color w:val="505150"/>
          <w:sz w:val="13"/>
          <w:szCs w:val="13"/>
        </w:rPr>
        <w:t>4</w:t>
      </w:r>
      <w:r>
        <w:rPr>
          <w:rFonts w:ascii="Times" w:hAnsi="Times" w:cs="Times"/>
          <w:color w:val="505150"/>
        </w:rPr>
        <w:t>; Roger Mark, MD, PhD</w:t>
      </w:r>
      <w:r>
        <w:rPr>
          <w:rFonts w:ascii="Times" w:hAnsi="Times" w:cs="Times"/>
          <w:color w:val="505150"/>
          <w:sz w:val="13"/>
          <w:szCs w:val="13"/>
        </w:rPr>
        <w:t>1,2</w:t>
      </w:r>
      <w:r>
        <w:rPr>
          <w:rFonts w:ascii="Times" w:hAnsi="Times" w:cs="Times"/>
          <w:color w:val="505150"/>
        </w:rPr>
        <w:t xml:space="preserve">; </w:t>
      </w:r>
      <w:proofErr w:type="spellStart"/>
      <w:r>
        <w:rPr>
          <w:rFonts w:ascii="Times" w:hAnsi="Times" w:cs="Times"/>
          <w:color w:val="505150"/>
        </w:rPr>
        <w:t>Atul</w:t>
      </w:r>
      <w:proofErr w:type="spellEnd"/>
      <w:r>
        <w:rPr>
          <w:rFonts w:ascii="Times" w:hAnsi="Times" w:cs="Times"/>
          <w:color w:val="505150"/>
        </w:rPr>
        <w:t xml:space="preserve"> </w:t>
      </w:r>
      <w:proofErr w:type="spellStart"/>
      <w:r>
        <w:rPr>
          <w:rFonts w:ascii="Times" w:hAnsi="Times" w:cs="Times"/>
          <w:color w:val="505150"/>
        </w:rPr>
        <w:t>Malhotra</w:t>
      </w:r>
      <w:proofErr w:type="spellEnd"/>
      <w:r>
        <w:rPr>
          <w:rFonts w:ascii="Times" w:hAnsi="Times" w:cs="Times"/>
          <w:color w:val="505150"/>
        </w:rPr>
        <w:t>, MD</w:t>
      </w:r>
      <w:r>
        <w:rPr>
          <w:rFonts w:ascii="Times" w:hAnsi="Times" w:cs="Times"/>
          <w:color w:val="505150"/>
          <w:sz w:val="13"/>
          <w:szCs w:val="13"/>
        </w:rPr>
        <w:t>5</w:t>
      </w:r>
    </w:p>
    <w:p w14:paraId="6FD4EBC1"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56653D4E"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75436">
        <w:rPr>
          <w:rFonts w:cs="Helvetica"/>
          <w:color w:val="141413"/>
        </w:rPr>
        <w:t>Objective: Minimal clinical researc</w:t>
      </w:r>
      <w:r>
        <w:rPr>
          <w:rFonts w:cs="Helvetica"/>
          <w:color w:val="141413"/>
        </w:rPr>
        <w:t>h has investigated the signifi</w:t>
      </w:r>
      <w:r w:rsidRPr="00475436">
        <w:rPr>
          <w:rFonts w:cs="Helvetica"/>
          <w:color w:val="141413"/>
        </w:rPr>
        <w:t>cance of different blood pressure monitoring techniques in the ICU and whether systolic vs. mean blood pressures should be targeted in therapeutic protocols and in defining clinical study cohorts. The objectives of this study are to compare real-world invasive arterial blood pressure with noninvasive blood pressure, and to determine if differences between the two techniques have clinical implications.</w:t>
      </w:r>
    </w:p>
    <w:p w14:paraId="04EDAC49" w14:textId="77777777" w:rsidR="00475436" w:rsidRP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2CF722EB"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75436">
        <w:rPr>
          <w:rFonts w:cs="Helvetica"/>
          <w:color w:val="141413"/>
        </w:rPr>
        <w:t>Design: We conducted a retrospective study comparing invasive arterial blood pressure and noni</w:t>
      </w:r>
      <w:r>
        <w:rPr>
          <w:rFonts w:cs="Helvetica"/>
          <w:color w:val="141413"/>
        </w:rPr>
        <w:t>nvasive blood pressure measure</w:t>
      </w:r>
      <w:r w:rsidRPr="00475436">
        <w:rPr>
          <w:rFonts w:cs="Helvetica"/>
          <w:color w:val="141413"/>
        </w:rPr>
        <w:t>ments using a large ICU database</w:t>
      </w:r>
      <w:r>
        <w:rPr>
          <w:rFonts w:cs="Helvetica"/>
          <w:color w:val="141413"/>
        </w:rPr>
        <w:t>. We performed pairwise compar</w:t>
      </w:r>
      <w:r w:rsidRPr="00475436">
        <w:rPr>
          <w:rFonts w:cs="Helvetica"/>
          <w:color w:val="141413"/>
        </w:rPr>
        <w:t>ison between concurrent measures of invasive</w:t>
      </w:r>
      <w:r>
        <w:rPr>
          <w:rFonts w:cs="Helvetica"/>
          <w:color w:val="141413"/>
        </w:rPr>
        <w:t xml:space="preserve"> arterial blood pres</w:t>
      </w:r>
      <w:r w:rsidRPr="00475436">
        <w:rPr>
          <w:rFonts w:cs="Helvetica"/>
          <w:color w:val="141413"/>
        </w:rPr>
        <w:t xml:space="preserve">sure and noninvasive blood pressure. We studied the association of systolic and mean invasive arterial blood pressure and noninvasive blood pressure with acute kidney injury, and with ICU mortality. </w:t>
      </w:r>
    </w:p>
    <w:p w14:paraId="20036644"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3D7710D3"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75436">
        <w:rPr>
          <w:rFonts w:cs="Helvetica"/>
          <w:color w:val="141413"/>
        </w:rPr>
        <w:t xml:space="preserve">Setting: Adult intensive care units at a tertiary care hospital. </w:t>
      </w:r>
    </w:p>
    <w:p w14:paraId="1BCD4B7E"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2DD5D646" w14:textId="77777777" w:rsidR="00475436" w:rsidRP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75436">
        <w:rPr>
          <w:rFonts w:cs="Helvetica"/>
          <w:color w:val="141413"/>
        </w:rPr>
        <w:t>Patients: Adult patients admitted to intensive care units between 2001 and 2007.</w:t>
      </w:r>
    </w:p>
    <w:p w14:paraId="7F8A096D"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6D989E2B"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75436">
        <w:rPr>
          <w:rFonts w:cs="Helvetica"/>
          <w:color w:val="141413"/>
        </w:rPr>
        <w:t xml:space="preserve">Interventions: None. </w:t>
      </w:r>
    </w:p>
    <w:p w14:paraId="12F8D654"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6F430DFC"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75436">
        <w:rPr>
          <w:rFonts w:cs="Helvetica"/>
          <w:color w:val="141413"/>
        </w:rPr>
        <w:t>Measurements and Main Results: Pairw</w:t>
      </w:r>
      <w:r>
        <w:rPr>
          <w:rFonts w:cs="Helvetica"/>
          <w:color w:val="141413"/>
        </w:rPr>
        <w:t>ise analysis of 27,022 simulta</w:t>
      </w:r>
      <w:r w:rsidRPr="00475436">
        <w:rPr>
          <w:rFonts w:cs="Helvetica"/>
          <w:color w:val="141413"/>
        </w:rPr>
        <w:t>neously measured invasive arterial blood pressure/noninvasive blood pressure pairs indicated that nonin</w:t>
      </w:r>
      <w:r>
        <w:rPr>
          <w:rFonts w:cs="Helvetica"/>
          <w:color w:val="141413"/>
        </w:rPr>
        <w:t>vasive blood pressure overesti</w:t>
      </w:r>
      <w:r w:rsidRPr="00475436">
        <w:rPr>
          <w:rFonts w:cs="Helvetica"/>
          <w:color w:val="141413"/>
        </w:rPr>
        <w:t>mated systolic invasive arterial blood pressure during hypotension. Analysis of acute kidney injury and ICU mortality involved 1,633 and 4,957 patients, respectively. Our results indicated that hypotensive systolic noninvasive blood pressure readings were associated with a higher acute kidney injury prevalence (p = 0.008) and ICU mortality (p &lt; 0.001) than systolic invasive arterial blood pressure in the same range (</w:t>
      </w:r>
      <w:r w:rsidRPr="00475436">
        <w:rPr>
          <w:rFonts w:cs="Times"/>
          <w:color w:val="141413"/>
        </w:rPr>
        <w:t>≤</w:t>
      </w:r>
      <w:r w:rsidRPr="00475436">
        <w:rPr>
          <w:rFonts w:cs="Helvetica"/>
          <w:color w:val="141413"/>
        </w:rPr>
        <w:t>70 mm Hg). Noninvasive blood pressure and invasive arterial blood pressure mean arterial pressures showed better agreement; acute kidney injury prevalence (p = 0.28) and ICU mortality (p = 0.76) associated with hypotensive mean arterial pressure readings (</w:t>
      </w:r>
      <w:r w:rsidRPr="00475436">
        <w:rPr>
          <w:rFonts w:cs="Times"/>
          <w:color w:val="141413"/>
        </w:rPr>
        <w:t>≤</w:t>
      </w:r>
      <w:r w:rsidRPr="00475436">
        <w:rPr>
          <w:rFonts w:cs="Helvetica"/>
          <w:color w:val="141413"/>
        </w:rPr>
        <w:t xml:space="preserve">60mm Hg) were independent of measurement technique. </w:t>
      </w:r>
    </w:p>
    <w:p w14:paraId="7A7C6299"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0DF70B6" w14:textId="77777777" w:rsidR="00D46B93"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75436">
        <w:rPr>
          <w:rFonts w:cs="Helvetica"/>
          <w:color w:val="141413"/>
        </w:rPr>
        <w:t>Conclusions: Clinically significant di</w:t>
      </w:r>
      <w:r>
        <w:rPr>
          <w:rFonts w:cs="Helvetica"/>
          <w:color w:val="141413"/>
        </w:rPr>
        <w:t>screpancies exist between inva</w:t>
      </w:r>
      <w:r w:rsidRPr="00475436">
        <w:rPr>
          <w:rFonts w:cs="Helvetica"/>
          <w:color w:val="141413"/>
        </w:rPr>
        <w:t>sive and noninvasive systolic blood pressure measurements during hypotension. Mean blood pressure f</w:t>
      </w:r>
      <w:r>
        <w:rPr>
          <w:rFonts w:cs="Helvetica"/>
          <w:color w:val="141413"/>
        </w:rPr>
        <w:t>rom both techniques may be in</w:t>
      </w:r>
      <w:r w:rsidRPr="00475436">
        <w:rPr>
          <w:rFonts w:cs="Helvetica"/>
          <w:color w:val="141413"/>
        </w:rPr>
        <w:t>terpreted in a consistent manner in assessing patients’ prognosis. Our results suggest that mean rather than systolic blood pressure is the preferred metric in the ICU to guide therapy. (</w:t>
      </w:r>
      <w:proofErr w:type="spellStart"/>
      <w:r w:rsidRPr="00475436">
        <w:rPr>
          <w:rFonts w:cs="Helvetica"/>
          <w:color w:val="141413"/>
        </w:rPr>
        <w:t>Crit</w:t>
      </w:r>
      <w:proofErr w:type="spellEnd"/>
      <w:r w:rsidRPr="00475436">
        <w:rPr>
          <w:rFonts w:cs="Helvetica"/>
          <w:color w:val="141413"/>
        </w:rPr>
        <w:t xml:space="preserve"> Care Med 2013; 41:34–40)</w:t>
      </w:r>
    </w:p>
    <w:p w14:paraId="66F3A399"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lastRenderedPageBreak/>
        <w:t>Questions:</w:t>
      </w:r>
    </w:p>
    <w:p w14:paraId="2BD8083D"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9C0D5F8" w14:textId="77777777" w:rsidR="00475436" w:rsidRPr="00475436" w:rsidRDefault="00475436" w:rsidP="00475436">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75436">
        <w:rPr>
          <w:rFonts w:cs="Helvetica"/>
          <w:color w:val="141413"/>
        </w:rPr>
        <w:t>Which of the following statements</w:t>
      </w:r>
      <w:r>
        <w:rPr>
          <w:rFonts w:cs="Helvetica"/>
          <w:color w:val="141413"/>
        </w:rPr>
        <w:t xml:space="preserve"> based on the above article</w:t>
      </w:r>
      <w:r w:rsidRPr="00475436">
        <w:rPr>
          <w:rFonts w:cs="Helvetica"/>
          <w:color w:val="141413"/>
        </w:rPr>
        <w:t xml:space="preserve"> is true?</w:t>
      </w:r>
    </w:p>
    <w:p w14:paraId="15DD3B5A" w14:textId="77777777" w:rsidR="00475436" w:rsidRDefault="00475436" w:rsidP="00475436">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roofErr w:type="spellStart"/>
      <w:r>
        <w:rPr>
          <w:rFonts w:cs="Helvetica"/>
          <w:color w:val="141413"/>
        </w:rPr>
        <w:t>Oscillometric</w:t>
      </w:r>
      <w:proofErr w:type="spellEnd"/>
      <w:r>
        <w:rPr>
          <w:rFonts w:cs="Helvetica"/>
          <w:color w:val="141413"/>
        </w:rPr>
        <w:t xml:space="preserve"> blood pressure devices directly measure systolic blood pressure and report algorithm-derived mean and diastolic pressures.</w:t>
      </w:r>
    </w:p>
    <w:p w14:paraId="633A9E45" w14:textId="77777777" w:rsidR="00475436" w:rsidRDefault="00475436" w:rsidP="00475436">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Noninvasive blood pressure measurement overestimated mean arterial blood pressure relative to invasive blood pressure measurement in hypotensive patients.</w:t>
      </w:r>
    </w:p>
    <w:p w14:paraId="5AD6AE35" w14:textId="77777777" w:rsidR="00475436" w:rsidRDefault="00475436" w:rsidP="00475436">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Hypotensive systolic noninvasive blood pressure measurements were associated with higher rates of AKI as compared to systolic invasive blood pressure measurements in the same range.</w:t>
      </w:r>
    </w:p>
    <w:p w14:paraId="78E60BBB" w14:textId="77777777" w:rsidR="00475436" w:rsidRDefault="00475436" w:rsidP="00475436">
      <w:pPr>
        <w:pStyle w:val="ListParagraph"/>
        <w:widowControl w:val="0"/>
        <w:numPr>
          <w:ilvl w:val="1"/>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Hypotensive systolic noninvasive blood pressure measurements were associated with similar rates of mortality as compared to systolic invasive blood pressure measurements in the same range.</w:t>
      </w:r>
    </w:p>
    <w:p w14:paraId="2C5CF507" w14:textId="77777777" w:rsidR="00475436" w:rsidRDefault="00475436" w:rsidP="004754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0530DD32"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44"/>
          <w:szCs w:val="44"/>
        </w:rPr>
      </w:pPr>
      <w:r>
        <w:rPr>
          <w:rFonts w:ascii="Helvetica" w:hAnsi="Helvetica" w:cs="Helvetica"/>
          <w:color w:val="141413"/>
          <w:sz w:val="44"/>
          <w:szCs w:val="44"/>
        </w:rPr>
        <w:t xml:space="preserve">The Difference Between Critical Care Initiation Anion Gap and </w:t>
      </w:r>
      <w:proofErr w:type="spellStart"/>
      <w:r>
        <w:rPr>
          <w:rFonts w:ascii="Helvetica" w:hAnsi="Helvetica" w:cs="Helvetica"/>
          <w:color w:val="141413"/>
          <w:sz w:val="44"/>
          <w:szCs w:val="44"/>
        </w:rPr>
        <w:t>Prehospital</w:t>
      </w:r>
      <w:proofErr w:type="spellEnd"/>
      <w:r>
        <w:rPr>
          <w:rFonts w:ascii="Helvetica" w:hAnsi="Helvetica" w:cs="Helvetica"/>
          <w:color w:val="141413"/>
          <w:sz w:val="44"/>
          <w:szCs w:val="44"/>
        </w:rPr>
        <w:t xml:space="preserve"> Admission Anion Gap is Predictive of Mortality in Critical Illness*</w:t>
      </w:r>
    </w:p>
    <w:p w14:paraId="3EA27DDD"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ascii="Times" w:hAnsi="Times" w:cs="Times"/>
          <w:color w:val="505150"/>
        </w:rPr>
        <w:t xml:space="preserve">Michael S. </w:t>
      </w:r>
      <w:proofErr w:type="spellStart"/>
      <w:r>
        <w:rPr>
          <w:rFonts w:ascii="Times" w:hAnsi="Times" w:cs="Times"/>
          <w:color w:val="505150"/>
        </w:rPr>
        <w:t>Lipnick</w:t>
      </w:r>
      <w:proofErr w:type="spellEnd"/>
      <w:r>
        <w:rPr>
          <w:rFonts w:ascii="Times" w:hAnsi="Times" w:cs="Times"/>
          <w:color w:val="505150"/>
        </w:rPr>
        <w:t>, MD</w:t>
      </w:r>
      <w:r>
        <w:rPr>
          <w:rFonts w:ascii="Times" w:hAnsi="Times" w:cs="Times"/>
          <w:color w:val="505150"/>
          <w:sz w:val="13"/>
          <w:szCs w:val="13"/>
        </w:rPr>
        <w:t>1</w:t>
      </w:r>
      <w:r>
        <w:rPr>
          <w:rFonts w:ascii="Times" w:hAnsi="Times" w:cs="Times"/>
          <w:color w:val="505150"/>
        </w:rPr>
        <w:t>; Andrea B. Braun, MD</w:t>
      </w:r>
      <w:r>
        <w:rPr>
          <w:rFonts w:ascii="Times" w:hAnsi="Times" w:cs="Times"/>
          <w:color w:val="505150"/>
          <w:sz w:val="13"/>
          <w:szCs w:val="13"/>
        </w:rPr>
        <w:t>2</w:t>
      </w:r>
      <w:r>
        <w:rPr>
          <w:rFonts w:ascii="Times" w:hAnsi="Times" w:cs="Times"/>
          <w:color w:val="505150"/>
        </w:rPr>
        <w:t>; Joyce Ting-</w:t>
      </w:r>
      <w:proofErr w:type="spellStart"/>
      <w:r>
        <w:rPr>
          <w:rFonts w:ascii="Times" w:hAnsi="Times" w:cs="Times"/>
          <w:color w:val="505150"/>
        </w:rPr>
        <w:t>Wai</w:t>
      </w:r>
      <w:proofErr w:type="spellEnd"/>
      <w:r>
        <w:rPr>
          <w:rFonts w:ascii="Times" w:hAnsi="Times" w:cs="Times"/>
          <w:color w:val="505150"/>
        </w:rPr>
        <w:t xml:space="preserve"> Cheung, BSc</w:t>
      </w:r>
      <w:r>
        <w:rPr>
          <w:rFonts w:ascii="Times" w:hAnsi="Times" w:cs="Times"/>
          <w:color w:val="505150"/>
          <w:sz w:val="13"/>
          <w:szCs w:val="13"/>
        </w:rPr>
        <w:t>3</w:t>
      </w:r>
      <w:r>
        <w:rPr>
          <w:rFonts w:ascii="Times" w:hAnsi="Times" w:cs="Times"/>
          <w:color w:val="505150"/>
        </w:rPr>
        <w:t>; Fiona K. Gibbons, MD</w:t>
      </w:r>
      <w:r>
        <w:rPr>
          <w:rFonts w:ascii="Times" w:hAnsi="Times" w:cs="Times"/>
          <w:color w:val="505150"/>
          <w:sz w:val="13"/>
          <w:szCs w:val="13"/>
        </w:rPr>
        <w:t>4</w:t>
      </w:r>
      <w:r>
        <w:rPr>
          <w:rFonts w:ascii="Times" w:hAnsi="Times" w:cs="Times"/>
          <w:color w:val="505150"/>
        </w:rPr>
        <w:t>; Kenneth B. Christopher, MD</w:t>
      </w:r>
      <w:r>
        <w:rPr>
          <w:rFonts w:ascii="Times" w:hAnsi="Times" w:cs="Times"/>
          <w:color w:val="505150"/>
          <w:sz w:val="13"/>
          <w:szCs w:val="13"/>
        </w:rPr>
        <w:t>5</w:t>
      </w:r>
    </w:p>
    <w:p w14:paraId="7AC351B0"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3221B4F0"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Objective: We hypothesized that the delta anion gap defined as difference between critical care initiation standard anion gap and </w:t>
      </w:r>
      <w:proofErr w:type="spellStart"/>
      <w:r w:rsidRPr="00F03851">
        <w:rPr>
          <w:rFonts w:cs="Helvetica"/>
          <w:color w:val="141413"/>
        </w:rPr>
        <w:t>prehospital</w:t>
      </w:r>
      <w:proofErr w:type="spellEnd"/>
      <w:r w:rsidRPr="00F03851">
        <w:rPr>
          <w:rFonts w:cs="Helvetica"/>
          <w:color w:val="141413"/>
        </w:rPr>
        <w:t xml:space="preserve"> admission standard anion gap is associated with all cause mortality in the critically ill.</w:t>
      </w:r>
    </w:p>
    <w:p w14:paraId="52273985" w14:textId="77777777" w:rsidR="00F03851" w:rsidRP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45D69775"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Design: Observational cohort study. </w:t>
      </w:r>
    </w:p>
    <w:p w14:paraId="547D2BCF"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610688E7"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Setting: Two hundred nine medical and surgical intensive care beds in two hospitals in Boston, MA. </w:t>
      </w:r>
    </w:p>
    <w:p w14:paraId="52BEE48D"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0052DEE0"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Patients: Eighteen thousand nine hundred eighty-five patients, age </w:t>
      </w:r>
      <w:r w:rsidRPr="00F03851">
        <w:rPr>
          <w:rFonts w:cs="Times"/>
          <w:color w:val="141413"/>
        </w:rPr>
        <w:t>≥</w:t>
      </w:r>
      <w:r w:rsidRPr="00F03851">
        <w:rPr>
          <w:rFonts w:cs="Helvetica"/>
          <w:color w:val="141413"/>
        </w:rPr>
        <w:t xml:space="preserve">18 </w:t>
      </w:r>
      <w:proofErr w:type="spellStart"/>
      <w:r w:rsidRPr="00F03851">
        <w:rPr>
          <w:rFonts w:cs="Helvetica"/>
          <w:color w:val="141413"/>
        </w:rPr>
        <w:t>yrs</w:t>
      </w:r>
      <w:proofErr w:type="spellEnd"/>
      <w:r w:rsidRPr="00F03851">
        <w:rPr>
          <w:rFonts w:cs="Helvetica"/>
          <w:color w:val="141413"/>
        </w:rPr>
        <w:t xml:space="preserve">, who received </w:t>
      </w:r>
      <w:proofErr w:type="gramStart"/>
      <w:r w:rsidRPr="00F03851">
        <w:rPr>
          <w:rFonts w:cs="Helvetica"/>
          <w:color w:val="141413"/>
        </w:rPr>
        <w:t>critical</w:t>
      </w:r>
      <w:proofErr w:type="gramEnd"/>
      <w:r w:rsidRPr="00F03851">
        <w:rPr>
          <w:rFonts w:cs="Helvetica"/>
          <w:color w:val="141413"/>
        </w:rPr>
        <w:t xml:space="preserve"> care between 1997 and 2007. </w:t>
      </w:r>
    </w:p>
    <w:p w14:paraId="063CEF33"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6AB1375E"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Measurements: The exposure of interest was delta anion gap and categorized a priori as &lt;0, 0–5, 5–10, and &gt;10 </w:t>
      </w:r>
      <w:proofErr w:type="spellStart"/>
      <w:r w:rsidRPr="00F03851">
        <w:rPr>
          <w:rFonts w:cs="Helvetica"/>
          <w:color w:val="141413"/>
        </w:rPr>
        <w:t>mEq</w:t>
      </w:r>
      <w:proofErr w:type="spellEnd"/>
      <w:r w:rsidRPr="00F03851">
        <w:rPr>
          <w:rFonts w:cs="Helvetica"/>
          <w:color w:val="141413"/>
        </w:rPr>
        <w:t xml:space="preserve">/L. Logistic regression examined death by days 30, 90, and 365 </w:t>
      </w:r>
      <w:proofErr w:type="spellStart"/>
      <w:r w:rsidRPr="00F03851">
        <w:rPr>
          <w:rFonts w:cs="Helvetica"/>
          <w:color w:val="141413"/>
        </w:rPr>
        <w:t>postcritical</w:t>
      </w:r>
      <w:proofErr w:type="spellEnd"/>
      <w:r w:rsidRPr="00F03851">
        <w:rPr>
          <w:rFonts w:cs="Helvetica"/>
          <w:color w:val="141413"/>
        </w:rPr>
        <w:t xml:space="preserve"> care initiation and in-hospital mortality. Adjusted odds ratios were estimated by multivariable logistic r</w:t>
      </w:r>
      <w:r>
        <w:rPr>
          <w:rFonts w:cs="Helvetica"/>
          <w:color w:val="141413"/>
        </w:rPr>
        <w:t>egression models. The discrimi</w:t>
      </w:r>
      <w:r w:rsidRPr="00F03851">
        <w:rPr>
          <w:rFonts w:cs="Helvetica"/>
          <w:color w:val="141413"/>
        </w:rPr>
        <w:t>nation of delta anion gap for 30-day mortality was evaluated using receiver operator characteristic curve</w:t>
      </w:r>
      <w:r>
        <w:rPr>
          <w:rFonts w:cs="Helvetica"/>
          <w:color w:val="141413"/>
        </w:rPr>
        <w:t>s performed for a subset of pa</w:t>
      </w:r>
      <w:r w:rsidRPr="00F03851">
        <w:rPr>
          <w:rFonts w:cs="Helvetica"/>
          <w:color w:val="141413"/>
        </w:rPr>
        <w:t>tients with all laboratory data required</w:t>
      </w:r>
      <w:r>
        <w:rPr>
          <w:rFonts w:cs="Helvetica"/>
          <w:color w:val="141413"/>
        </w:rPr>
        <w:t xml:space="preserve"> to analyze the data via physi</w:t>
      </w:r>
      <w:r w:rsidRPr="00F03851">
        <w:rPr>
          <w:rFonts w:cs="Helvetica"/>
          <w:color w:val="141413"/>
        </w:rPr>
        <w:t xml:space="preserve">cal chemical principles (n = 664). </w:t>
      </w:r>
    </w:p>
    <w:p w14:paraId="2BA5F012"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7F7AAD9"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Interventions: None. </w:t>
      </w:r>
    </w:p>
    <w:p w14:paraId="1362052D"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326D479F"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Results: Delta anion gap was a particularly strong predictor of 30-day mortality with a significant risk gradient across delta anion gap quartiles following multivariable adjustment: delta anion gap &lt;0 </w:t>
      </w:r>
      <w:proofErr w:type="spellStart"/>
      <w:r w:rsidRPr="00F03851">
        <w:rPr>
          <w:rFonts w:cs="Helvetica"/>
          <w:color w:val="141413"/>
        </w:rPr>
        <w:t>mEq</w:t>
      </w:r>
      <w:proofErr w:type="spellEnd"/>
      <w:r w:rsidRPr="00F03851">
        <w:rPr>
          <w:rFonts w:cs="Helvetica"/>
          <w:color w:val="141413"/>
        </w:rPr>
        <w:t xml:space="preserve">/L odds ratio 0.75 (95% confidence interval 0.67–0.81; p &lt; 0.0001); delta anion gap 5–10 </w:t>
      </w:r>
      <w:proofErr w:type="spellStart"/>
      <w:r w:rsidRPr="00F03851">
        <w:rPr>
          <w:rFonts w:cs="Helvetica"/>
          <w:color w:val="141413"/>
        </w:rPr>
        <w:t>mEq</w:t>
      </w:r>
      <w:proofErr w:type="spellEnd"/>
      <w:r w:rsidRPr="00F03851">
        <w:rPr>
          <w:rFonts w:cs="Helvetica"/>
          <w:color w:val="141413"/>
        </w:rPr>
        <w:t xml:space="preserve">/L odds ratio 1.56 (95% confidence interval 1.35–1.81; p &lt; 0.0001); delta anion gap &gt;10 </w:t>
      </w:r>
      <w:proofErr w:type="spellStart"/>
      <w:r w:rsidRPr="00F03851">
        <w:rPr>
          <w:rFonts w:cs="Helvetica"/>
          <w:color w:val="141413"/>
        </w:rPr>
        <w:t>mEq</w:t>
      </w:r>
      <w:proofErr w:type="spellEnd"/>
      <w:r w:rsidRPr="00F03851">
        <w:rPr>
          <w:rFonts w:cs="Helvetica"/>
          <w:color w:val="141413"/>
        </w:rPr>
        <w:t xml:space="preserve">/L odds ratio 2.18 (95% confidence interval 1.76–2.71; p &lt; 0.0001); and all relative to patients with delta anion gap 0–5 </w:t>
      </w:r>
      <w:proofErr w:type="spellStart"/>
      <w:r w:rsidRPr="00F03851">
        <w:rPr>
          <w:rFonts w:cs="Helvetica"/>
          <w:color w:val="141413"/>
        </w:rPr>
        <w:t>mEq</w:t>
      </w:r>
      <w:proofErr w:type="spellEnd"/>
      <w:r w:rsidRPr="00F03851">
        <w:rPr>
          <w:rFonts w:cs="Helvetica"/>
          <w:color w:val="141413"/>
        </w:rPr>
        <w:t xml:space="preserve">/L. Similar significant robust associations post multivariable adjustments are seen with death by days 90 and 365 as well as in-hospital mortality. Correcting for albumin or limiting the cohort to patients with standard anion gap at critical care initiation of 10–18 </w:t>
      </w:r>
      <w:proofErr w:type="spellStart"/>
      <w:r w:rsidRPr="00F03851">
        <w:rPr>
          <w:rFonts w:cs="Helvetica"/>
          <w:color w:val="141413"/>
        </w:rPr>
        <w:t>mEq</w:t>
      </w:r>
      <w:proofErr w:type="spellEnd"/>
      <w:r w:rsidRPr="00F03851">
        <w:rPr>
          <w:rFonts w:cs="Helvetica"/>
          <w:color w:val="141413"/>
        </w:rPr>
        <w:t>/L did not materially change the delta anion gap–mortality association. Delta anion gap has similarly moderate discriminative ability for 30-day mortality in comparison to standard base excess and strong ion gap.</w:t>
      </w:r>
    </w:p>
    <w:p w14:paraId="2561620D" w14:textId="77777777" w:rsidR="00F03851" w:rsidRP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23FB448C" w14:textId="77777777" w:rsidR="00475436"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Conclusion: An increase in standard </w:t>
      </w:r>
      <w:r>
        <w:rPr>
          <w:rFonts w:cs="Helvetica"/>
          <w:color w:val="141413"/>
        </w:rPr>
        <w:t>anion gap at critical care ini</w:t>
      </w:r>
      <w:r w:rsidRPr="00F03851">
        <w:rPr>
          <w:rFonts w:cs="Helvetica"/>
          <w:color w:val="141413"/>
        </w:rPr>
        <w:t xml:space="preserve">tiation relative to </w:t>
      </w:r>
      <w:proofErr w:type="spellStart"/>
      <w:r w:rsidRPr="00F03851">
        <w:rPr>
          <w:rFonts w:cs="Helvetica"/>
          <w:color w:val="141413"/>
        </w:rPr>
        <w:t>prehospital</w:t>
      </w:r>
      <w:proofErr w:type="spellEnd"/>
      <w:r w:rsidRPr="00F03851">
        <w:rPr>
          <w:rFonts w:cs="Helvetica"/>
          <w:color w:val="141413"/>
        </w:rPr>
        <w:t xml:space="preserve"> admission standard anion gap is a predictor of the risk of all cause patient mortality in the critically ill. (</w:t>
      </w:r>
      <w:proofErr w:type="spellStart"/>
      <w:r w:rsidRPr="00F03851">
        <w:rPr>
          <w:rFonts w:cs="Helvetica"/>
          <w:color w:val="141413"/>
        </w:rPr>
        <w:t>Crit</w:t>
      </w:r>
      <w:proofErr w:type="spellEnd"/>
      <w:r w:rsidRPr="00F03851">
        <w:rPr>
          <w:rFonts w:cs="Helvetica"/>
          <w:color w:val="141413"/>
        </w:rPr>
        <w:t xml:space="preserve"> Care Med 2013; 41:49–59)</w:t>
      </w:r>
    </w:p>
    <w:p w14:paraId="79816EB2"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75809993"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Questions:</w:t>
      </w:r>
      <w:r>
        <w:rPr>
          <w:rFonts w:cs="Helvetica"/>
          <w:color w:val="141413"/>
        </w:rPr>
        <w:br/>
        <w:t>True or false: Correcting for albumin changed the delta anion gap-mortality association.</w:t>
      </w:r>
    </w:p>
    <w:p w14:paraId="6190806E"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7F9BE8AE" w14:textId="77777777" w:rsidR="005255EC" w:rsidRDefault="005255EC" w:rsidP="005255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44"/>
          <w:szCs w:val="44"/>
        </w:rPr>
      </w:pPr>
      <w:r>
        <w:rPr>
          <w:rFonts w:ascii="Helvetica" w:hAnsi="Helvetica" w:cs="Helvetica"/>
          <w:color w:val="141413"/>
          <w:sz w:val="44"/>
          <w:szCs w:val="44"/>
        </w:rPr>
        <w:t>Fluctuations in Serum Sodium Level Are Associated With an Increased Risk of Death in Surgical ICU Patients*</w:t>
      </w:r>
    </w:p>
    <w:p w14:paraId="1B3A4A8F" w14:textId="77777777" w:rsidR="00F03851" w:rsidRDefault="005255EC" w:rsidP="005255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505150"/>
          <w:sz w:val="13"/>
          <w:szCs w:val="13"/>
        </w:rPr>
      </w:pPr>
      <w:r>
        <w:rPr>
          <w:rFonts w:ascii="Times" w:hAnsi="Times" w:cs="Times"/>
          <w:color w:val="505150"/>
        </w:rPr>
        <w:t xml:space="preserve">Yasser </w:t>
      </w:r>
      <w:proofErr w:type="spellStart"/>
      <w:r>
        <w:rPr>
          <w:rFonts w:ascii="Times" w:hAnsi="Times" w:cs="Times"/>
          <w:color w:val="505150"/>
        </w:rPr>
        <w:t>Sakr</w:t>
      </w:r>
      <w:proofErr w:type="spellEnd"/>
      <w:r>
        <w:rPr>
          <w:rFonts w:ascii="Times" w:hAnsi="Times" w:cs="Times"/>
          <w:color w:val="505150"/>
        </w:rPr>
        <w:t>, MD, PhD</w:t>
      </w:r>
      <w:r>
        <w:rPr>
          <w:rFonts w:ascii="Times" w:hAnsi="Times" w:cs="Times"/>
          <w:color w:val="505150"/>
          <w:sz w:val="13"/>
          <w:szCs w:val="13"/>
        </w:rPr>
        <w:t>1</w:t>
      </w:r>
      <w:r>
        <w:rPr>
          <w:rFonts w:ascii="Times" w:hAnsi="Times" w:cs="Times"/>
          <w:color w:val="505150"/>
        </w:rPr>
        <w:t xml:space="preserve">; Steffen </w:t>
      </w:r>
      <w:proofErr w:type="spellStart"/>
      <w:r>
        <w:rPr>
          <w:rFonts w:ascii="Times" w:hAnsi="Times" w:cs="Times"/>
          <w:color w:val="505150"/>
        </w:rPr>
        <w:t>Rother</w:t>
      </w:r>
      <w:proofErr w:type="spellEnd"/>
      <w:r>
        <w:rPr>
          <w:rFonts w:ascii="Times" w:hAnsi="Times" w:cs="Times"/>
          <w:color w:val="505150"/>
        </w:rPr>
        <w:t xml:space="preserve">, MD </w:t>
      </w:r>
      <w:r>
        <w:rPr>
          <w:rFonts w:ascii="Times" w:hAnsi="Times" w:cs="Times"/>
          <w:color w:val="505150"/>
          <w:sz w:val="13"/>
          <w:szCs w:val="13"/>
        </w:rPr>
        <w:t>1</w:t>
      </w:r>
      <w:r>
        <w:rPr>
          <w:rFonts w:ascii="Times" w:hAnsi="Times" w:cs="Times"/>
          <w:color w:val="505150"/>
        </w:rPr>
        <w:t xml:space="preserve">; Alberto </w:t>
      </w:r>
      <w:proofErr w:type="spellStart"/>
      <w:r>
        <w:rPr>
          <w:rFonts w:ascii="Times" w:hAnsi="Times" w:cs="Times"/>
          <w:color w:val="505150"/>
        </w:rPr>
        <w:t>Mendonca</w:t>
      </w:r>
      <w:proofErr w:type="spellEnd"/>
      <w:r>
        <w:rPr>
          <w:rFonts w:ascii="Times" w:hAnsi="Times" w:cs="Times"/>
          <w:color w:val="505150"/>
        </w:rPr>
        <w:t xml:space="preserve"> </w:t>
      </w:r>
      <w:proofErr w:type="spellStart"/>
      <w:r>
        <w:rPr>
          <w:rFonts w:ascii="Times" w:hAnsi="Times" w:cs="Times"/>
          <w:color w:val="505150"/>
        </w:rPr>
        <w:t>Pires</w:t>
      </w:r>
      <w:proofErr w:type="spellEnd"/>
      <w:r>
        <w:rPr>
          <w:rFonts w:ascii="Times" w:hAnsi="Times" w:cs="Times"/>
          <w:color w:val="505150"/>
        </w:rPr>
        <w:t xml:space="preserve"> Ferreira, MD</w:t>
      </w:r>
      <w:r>
        <w:rPr>
          <w:rFonts w:ascii="Times" w:hAnsi="Times" w:cs="Times"/>
          <w:color w:val="505150"/>
          <w:sz w:val="13"/>
          <w:szCs w:val="13"/>
        </w:rPr>
        <w:t>1</w:t>
      </w:r>
      <w:r>
        <w:rPr>
          <w:rFonts w:ascii="Times" w:hAnsi="Times" w:cs="Times"/>
          <w:color w:val="505150"/>
        </w:rPr>
        <w:t xml:space="preserve">; Christian </w:t>
      </w:r>
      <w:proofErr w:type="spellStart"/>
      <w:r>
        <w:rPr>
          <w:rFonts w:ascii="Times" w:hAnsi="Times" w:cs="Times"/>
          <w:color w:val="505150"/>
        </w:rPr>
        <w:t>Ewald</w:t>
      </w:r>
      <w:proofErr w:type="spellEnd"/>
      <w:r>
        <w:rPr>
          <w:rFonts w:ascii="Times" w:hAnsi="Times" w:cs="Times"/>
          <w:color w:val="505150"/>
        </w:rPr>
        <w:t>, MD</w:t>
      </w:r>
      <w:r>
        <w:rPr>
          <w:rFonts w:ascii="Times" w:hAnsi="Times" w:cs="Times"/>
          <w:color w:val="505150"/>
          <w:sz w:val="13"/>
          <w:szCs w:val="13"/>
        </w:rPr>
        <w:t>2</w:t>
      </w:r>
      <w:r>
        <w:rPr>
          <w:rFonts w:ascii="Times" w:hAnsi="Times" w:cs="Times"/>
          <w:color w:val="505150"/>
        </w:rPr>
        <w:t xml:space="preserve">; Pedro </w:t>
      </w:r>
      <w:proofErr w:type="spellStart"/>
      <w:r>
        <w:rPr>
          <w:rFonts w:ascii="Times" w:hAnsi="Times" w:cs="Times"/>
          <w:color w:val="505150"/>
        </w:rPr>
        <w:t>Dünisch</w:t>
      </w:r>
      <w:proofErr w:type="spellEnd"/>
      <w:r>
        <w:rPr>
          <w:rFonts w:ascii="Times" w:hAnsi="Times" w:cs="Times"/>
          <w:color w:val="505150"/>
        </w:rPr>
        <w:t>, MD</w:t>
      </w:r>
      <w:r>
        <w:rPr>
          <w:rFonts w:ascii="Times" w:hAnsi="Times" w:cs="Times"/>
          <w:color w:val="505150"/>
          <w:sz w:val="13"/>
          <w:szCs w:val="13"/>
        </w:rPr>
        <w:t>2</w:t>
      </w:r>
      <w:r>
        <w:rPr>
          <w:rFonts w:ascii="Times" w:hAnsi="Times" w:cs="Times"/>
          <w:color w:val="505150"/>
        </w:rPr>
        <w:t xml:space="preserve">; </w:t>
      </w:r>
      <w:proofErr w:type="spellStart"/>
      <w:r>
        <w:rPr>
          <w:rFonts w:ascii="Times" w:hAnsi="Times" w:cs="Times"/>
          <w:color w:val="505150"/>
        </w:rPr>
        <w:t>Niels</w:t>
      </w:r>
      <w:proofErr w:type="spellEnd"/>
      <w:r>
        <w:rPr>
          <w:rFonts w:ascii="Times" w:hAnsi="Times" w:cs="Times"/>
          <w:color w:val="505150"/>
        </w:rPr>
        <w:t xml:space="preserve"> </w:t>
      </w:r>
      <w:proofErr w:type="spellStart"/>
      <w:r>
        <w:rPr>
          <w:rFonts w:ascii="Times" w:hAnsi="Times" w:cs="Times"/>
          <w:color w:val="505150"/>
        </w:rPr>
        <w:t>Riedemmann</w:t>
      </w:r>
      <w:proofErr w:type="spellEnd"/>
      <w:r>
        <w:rPr>
          <w:rFonts w:ascii="Times" w:hAnsi="Times" w:cs="Times"/>
          <w:color w:val="505150"/>
        </w:rPr>
        <w:t>, MD</w:t>
      </w:r>
      <w:r>
        <w:rPr>
          <w:rFonts w:ascii="Times" w:hAnsi="Times" w:cs="Times"/>
          <w:color w:val="505150"/>
          <w:sz w:val="13"/>
          <w:szCs w:val="13"/>
        </w:rPr>
        <w:t>1</w:t>
      </w:r>
      <w:r>
        <w:rPr>
          <w:rFonts w:ascii="Times" w:hAnsi="Times" w:cs="Times"/>
          <w:color w:val="505150"/>
        </w:rPr>
        <w:t xml:space="preserve">; </w:t>
      </w:r>
      <w:proofErr w:type="spellStart"/>
      <w:r>
        <w:rPr>
          <w:rFonts w:ascii="Times" w:hAnsi="Times" w:cs="Times"/>
          <w:color w:val="505150"/>
        </w:rPr>
        <w:t>Konrad</w:t>
      </w:r>
      <w:proofErr w:type="spellEnd"/>
      <w:r>
        <w:rPr>
          <w:rFonts w:ascii="Times" w:hAnsi="Times" w:cs="Times"/>
          <w:color w:val="505150"/>
        </w:rPr>
        <w:t xml:space="preserve"> Reinhart, MD</w:t>
      </w:r>
      <w:r>
        <w:rPr>
          <w:rFonts w:ascii="Times" w:hAnsi="Times" w:cs="Times"/>
          <w:color w:val="505150"/>
          <w:sz w:val="13"/>
          <w:szCs w:val="13"/>
        </w:rPr>
        <w:t>1</w:t>
      </w:r>
    </w:p>
    <w:p w14:paraId="264B006E" w14:textId="77777777" w:rsidR="005255EC" w:rsidRDefault="005255EC" w:rsidP="005255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265C4372" w14:textId="77777777" w:rsidR="005255EC"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Objective: </w:t>
      </w:r>
      <w:proofErr w:type="spellStart"/>
      <w:r w:rsidRPr="00F03851">
        <w:rPr>
          <w:rFonts w:cs="Helvetica"/>
          <w:color w:val="141413"/>
        </w:rPr>
        <w:t>Dysnatremia</w:t>
      </w:r>
      <w:proofErr w:type="spellEnd"/>
      <w:r w:rsidRPr="00F03851">
        <w:rPr>
          <w:rFonts w:cs="Helvetica"/>
          <w:color w:val="141413"/>
        </w:rPr>
        <w:t xml:space="preserve"> may have an impact on outcomes in critically ill patients, but this has not been widely investigated in surgical ICU patients. We investigated the epidemiology of </w:t>
      </w:r>
      <w:proofErr w:type="spellStart"/>
      <w:r w:rsidRPr="00F03851">
        <w:rPr>
          <w:rFonts w:cs="Helvetica"/>
          <w:color w:val="141413"/>
        </w:rPr>
        <w:t>dysnatremia</w:t>
      </w:r>
      <w:proofErr w:type="spellEnd"/>
      <w:r w:rsidRPr="00F03851">
        <w:rPr>
          <w:rFonts w:cs="Helvetica"/>
          <w:color w:val="141413"/>
        </w:rPr>
        <w:t xml:space="preserve"> in a large cohort of surgical ICU patients and evaluated the possible influence of the time of acquisition of </w:t>
      </w:r>
      <w:proofErr w:type="spellStart"/>
      <w:r w:rsidRPr="00F03851">
        <w:rPr>
          <w:rFonts w:cs="Helvetica"/>
          <w:color w:val="141413"/>
        </w:rPr>
        <w:t>dysnatremia</w:t>
      </w:r>
      <w:proofErr w:type="spellEnd"/>
      <w:r w:rsidRPr="00F03851">
        <w:rPr>
          <w:rFonts w:cs="Helvetica"/>
          <w:color w:val="141413"/>
        </w:rPr>
        <w:t xml:space="preserve"> and fluctuations in serum sodium concentrations on hospital mortality in these patients. </w:t>
      </w:r>
    </w:p>
    <w:p w14:paraId="3C942AD4" w14:textId="77777777" w:rsidR="005255EC" w:rsidRDefault="005255EC"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B3BEC9F" w14:textId="77777777" w:rsidR="00F03851" w:rsidRP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Design: Retrospective analysis.</w:t>
      </w:r>
    </w:p>
    <w:p w14:paraId="64F14EED" w14:textId="77777777" w:rsidR="005255EC" w:rsidRDefault="005255EC"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86DB8A9" w14:textId="77777777" w:rsidR="005255EC"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Setting: Fifty-bed surgical ICU. Patients: All patients admitted to the ICU between January 2004 and January 2009. </w:t>
      </w:r>
    </w:p>
    <w:p w14:paraId="4451E7B6" w14:textId="77777777" w:rsidR="005255EC" w:rsidRDefault="005255EC"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1533136D" w14:textId="77777777" w:rsidR="00F03851" w:rsidRP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Measurements and Main Results: </w:t>
      </w:r>
      <w:proofErr w:type="spellStart"/>
      <w:r w:rsidRPr="00F03851">
        <w:rPr>
          <w:rFonts w:cs="Helvetica"/>
          <w:color w:val="141413"/>
        </w:rPr>
        <w:t>Hyponatremia</w:t>
      </w:r>
      <w:proofErr w:type="spellEnd"/>
      <w:r w:rsidRPr="00F03851">
        <w:rPr>
          <w:rFonts w:cs="Helvetica"/>
          <w:color w:val="141413"/>
        </w:rPr>
        <w:t xml:space="preserve"> was defined as a serum sodium concentration &lt;135 </w:t>
      </w:r>
      <w:proofErr w:type="spellStart"/>
      <w:r w:rsidRPr="00F03851">
        <w:rPr>
          <w:rFonts w:cs="Helvetica"/>
          <w:color w:val="141413"/>
        </w:rPr>
        <w:t>mmol</w:t>
      </w:r>
      <w:proofErr w:type="spellEnd"/>
      <w:r w:rsidRPr="00F03851">
        <w:rPr>
          <w:rFonts w:cs="Helvetica"/>
          <w:color w:val="141413"/>
        </w:rPr>
        <w:t xml:space="preserve">/L and hypernatremia as a serum sodium concentration &gt;145 </w:t>
      </w:r>
      <w:proofErr w:type="spellStart"/>
      <w:r w:rsidRPr="00F03851">
        <w:rPr>
          <w:rFonts w:cs="Helvetica"/>
          <w:color w:val="141413"/>
        </w:rPr>
        <w:t>mmol</w:t>
      </w:r>
      <w:proofErr w:type="spellEnd"/>
      <w:r w:rsidRPr="00F03851">
        <w:rPr>
          <w:rFonts w:cs="Helvetica"/>
          <w:color w:val="141413"/>
        </w:rPr>
        <w:t xml:space="preserve">/L. Of the 10,923 surgical ICU patients included in the study, 1,215 (11.2%) had </w:t>
      </w:r>
      <w:proofErr w:type="spellStart"/>
      <w:r w:rsidRPr="00F03851">
        <w:rPr>
          <w:rFonts w:cs="Helvetica"/>
          <w:color w:val="141413"/>
        </w:rPr>
        <w:t>hyponatremia</w:t>
      </w:r>
      <w:proofErr w:type="spellEnd"/>
      <w:r w:rsidRPr="00F03851">
        <w:rPr>
          <w:rFonts w:cs="Helvetica"/>
          <w:color w:val="141413"/>
        </w:rPr>
        <w:t xml:space="preserve"> and 277 (2.5%) had hypernatremia at admission to the ICU. Among patients with </w:t>
      </w:r>
      <w:proofErr w:type="spellStart"/>
      <w:r w:rsidRPr="00F03851">
        <w:rPr>
          <w:rFonts w:cs="Helvetica"/>
          <w:color w:val="141413"/>
        </w:rPr>
        <w:t>normonatremia</w:t>
      </w:r>
      <w:proofErr w:type="spellEnd"/>
      <w:r w:rsidRPr="00F03851">
        <w:rPr>
          <w:rFonts w:cs="Helvetica"/>
          <w:color w:val="141413"/>
        </w:rPr>
        <w:t xml:space="preserve"> at admission to the ICU (n = 9431), the prevalen</w:t>
      </w:r>
      <w:r w:rsidR="005255EC">
        <w:rPr>
          <w:rFonts w:cs="Helvetica"/>
          <w:color w:val="141413"/>
        </w:rPr>
        <w:t xml:space="preserve">ce of ICU–acquired </w:t>
      </w:r>
      <w:proofErr w:type="spellStart"/>
      <w:r w:rsidR="005255EC">
        <w:rPr>
          <w:rFonts w:cs="Helvetica"/>
          <w:color w:val="141413"/>
        </w:rPr>
        <w:t>dysnatre</w:t>
      </w:r>
      <w:r w:rsidRPr="00F03851">
        <w:rPr>
          <w:rFonts w:cs="Helvetica"/>
          <w:color w:val="141413"/>
        </w:rPr>
        <w:t>mia</w:t>
      </w:r>
      <w:proofErr w:type="spellEnd"/>
      <w:r w:rsidRPr="00F03851">
        <w:rPr>
          <w:rFonts w:cs="Helvetica"/>
          <w:color w:val="141413"/>
        </w:rPr>
        <w:t xml:space="preserve"> was 31.3%. </w:t>
      </w:r>
      <w:proofErr w:type="spellStart"/>
      <w:r w:rsidRPr="00F03851">
        <w:rPr>
          <w:rFonts w:cs="Helvetica"/>
          <w:color w:val="141413"/>
        </w:rPr>
        <w:t>Dysnatremia</w:t>
      </w:r>
      <w:proofErr w:type="spellEnd"/>
      <w:r w:rsidRPr="00F03851">
        <w:rPr>
          <w:rFonts w:cs="Helvetica"/>
          <w:color w:val="141413"/>
        </w:rPr>
        <w:t xml:space="preserve"> present at ICU admission (odds ratio 2.53; 95% confidence interval 2.06–3.12; p &lt; .001) and ICU–acquired </w:t>
      </w:r>
      <w:proofErr w:type="spellStart"/>
      <w:r w:rsidRPr="00F03851">
        <w:rPr>
          <w:rFonts w:cs="Helvetica"/>
          <w:color w:val="141413"/>
        </w:rPr>
        <w:t>dysnatremia</w:t>
      </w:r>
      <w:proofErr w:type="spellEnd"/>
      <w:r w:rsidRPr="00F03851">
        <w:rPr>
          <w:rFonts w:cs="Helvetica"/>
          <w:color w:val="141413"/>
        </w:rPr>
        <w:t xml:space="preserve"> (odds ratio 2.06; 95% confidence interval 1.71–2.48; p &lt; 0.001) were independently associated with an increased risk of in-hosp</w:t>
      </w:r>
      <w:r w:rsidR="005255EC">
        <w:rPr>
          <w:rFonts w:cs="Helvetica"/>
          <w:color w:val="141413"/>
        </w:rPr>
        <w:t xml:space="preserve">ital death compared to </w:t>
      </w:r>
      <w:proofErr w:type="spellStart"/>
      <w:r w:rsidR="005255EC">
        <w:rPr>
          <w:rFonts w:cs="Helvetica"/>
          <w:color w:val="141413"/>
        </w:rPr>
        <w:t>normona</w:t>
      </w:r>
      <w:r w:rsidRPr="00F03851">
        <w:rPr>
          <w:rFonts w:cs="Helvetica"/>
          <w:color w:val="141413"/>
        </w:rPr>
        <w:t>tremia</w:t>
      </w:r>
      <w:proofErr w:type="spellEnd"/>
      <w:r w:rsidRPr="00F03851">
        <w:rPr>
          <w:rFonts w:cs="Helvetica"/>
          <w:color w:val="141413"/>
        </w:rPr>
        <w:t xml:space="preserve">. </w:t>
      </w:r>
      <w:proofErr w:type="spellStart"/>
      <w:r w:rsidRPr="00F03851">
        <w:rPr>
          <w:rFonts w:cs="Helvetica"/>
          <w:color w:val="141413"/>
        </w:rPr>
        <w:t>Dysnatremia</w:t>
      </w:r>
      <w:proofErr w:type="spellEnd"/>
      <w:r w:rsidRPr="00F03851">
        <w:rPr>
          <w:rFonts w:cs="Helvetica"/>
          <w:color w:val="141413"/>
        </w:rPr>
        <w:t xml:space="preserve"> at ICU admission (odds ratio 1.23; 95% confidence interval 1.01–1.50) was associated with a higher risk of in-hospital death, co</w:t>
      </w:r>
      <w:r w:rsidR="005255EC">
        <w:rPr>
          <w:rFonts w:cs="Helvetica"/>
          <w:color w:val="141413"/>
        </w:rPr>
        <w:t xml:space="preserve">mpared with ICU–acquired </w:t>
      </w:r>
      <w:proofErr w:type="spellStart"/>
      <w:r w:rsidR="005255EC">
        <w:rPr>
          <w:rFonts w:cs="Helvetica"/>
          <w:color w:val="141413"/>
        </w:rPr>
        <w:t>dysna</w:t>
      </w:r>
      <w:r w:rsidRPr="00F03851">
        <w:rPr>
          <w:rFonts w:cs="Helvetica"/>
          <w:color w:val="141413"/>
        </w:rPr>
        <w:t>tremia</w:t>
      </w:r>
      <w:proofErr w:type="spellEnd"/>
      <w:r w:rsidRPr="00F03851">
        <w:rPr>
          <w:rFonts w:cs="Helvetica"/>
          <w:color w:val="141413"/>
        </w:rPr>
        <w:t xml:space="preserve">. Fluctuation in serum sodium concentration was also independently associated with an increased risk of in-hospital mortality, in patients who remained </w:t>
      </w:r>
      <w:proofErr w:type="spellStart"/>
      <w:r w:rsidRPr="00F03851">
        <w:rPr>
          <w:rFonts w:cs="Helvetica"/>
          <w:color w:val="141413"/>
        </w:rPr>
        <w:t>normonatremic</w:t>
      </w:r>
      <w:proofErr w:type="spellEnd"/>
      <w:r w:rsidRPr="00F03851">
        <w:rPr>
          <w:rFonts w:cs="Helvetica"/>
          <w:color w:val="141413"/>
        </w:rPr>
        <w:t xml:space="preserve"> (&gt;6 </w:t>
      </w:r>
      <w:proofErr w:type="spellStart"/>
      <w:r w:rsidRPr="00F03851">
        <w:rPr>
          <w:rFonts w:cs="Helvetica"/>
          <w:color w:val="141413"/>
        </w:rPr>
        <w:t>mmol</w:t>
      </w:r>
      <w:proofErr w:type="spellEnd"/>
      <w:r w:rsidRPr="00F03851">
        <w:rPr>
          <w:rFonts w:cs="Helvetica"/>
          <w:color w:val="141413"/>
        </w:rPr>
        <w:t xml:space="preserve">/L/ ICU stay) and in those with </w:t>
      </w:r>
      <w:proofErr w:type="spellStart"/>
      <w:r w:rsidRPr="00F03851">
        <w:rPr>
          <w:rFonts w:cs="Helvetica"/>
          <w:color w:val="141413"/>
        </w:rPr>
        <w:t>dysnatremia</w:t>
      </w:r>
      <w:proofErr w:type="spellEnd"/>
      <w:r w:rsidRPr="00F03851">
        <w:rPr>
          <w:rFonts w:cs="Helvetica"/>
          <w:color w:val="141413"/>
        </w:rPr>
        <w:t xml:space="preserve"> (&gt;12 </w:t>
      </w:r>
      <w:proofErr w:type="spellStart"/>
      <w:r w:rsidRPr="00F03851">
        <w:rPr>
          <w:rFonts w:cs="Helvetica"/>
          <w:color w:val="141413"/>
        </w:rPr>
        <w:t>mmol</w:t>
      </w:r>
      <w:proofErr w:type="spellEnd"/>
      <w:r w:rsidRPr="00F03851">
        <w:rPr>
          <w:rFonts w:cs="Helvetica"/>
          <w:color w:val="141413"/>
        </w:rPr>
        <w:t xml:space="preserve">/L/24 </w:t>
      </w:r>
      <w:proofErr w:type="spellStart"/>
      <w:r w:rsidRPr="00F03851">
        <w:rPr>
          <w:rFonts w:cs="Helvetica"/>
          <w:color w:val="141413"/>
        </w:rPr>
        <w:t>hrs</w:t>
      </w:r>
      <w:proofErr w:type="spellEnd"/>
      <w:r w:rsidRPr="00F03851">
        <w:rPr>
          <w:rFonts w:cs="Helvetica"/>
          <w:color w:val="141413"/>
        </w:rPr>
        <w:t xml:space="preserve"> or &gt;12 </w:t>
      </w:r>
      <w:proofErr w:type="spellStart"/>
      <w:r w:rsidRPr="00F03851">
        <w:rPr>
          <w:rFonts w:cs="Helvetica"/>
          <w:color w:val="141413"/>
        </w:rPr>
        <w:t>mmol</w:t>
      </w:r>
      <w:proofErr w:type="spellEnd"/>
      <w:r w:rsidRPr="00F03851">
        <w:rPr>
          <w:rFonts w:cs="Helvetica"/>
          <w:color w:val="141413"/>
        </w:rPr>
        <w:t>/L/ICU stay).</w:t>
      </w:r>
    </w:p>
    <w:p w14:paraId="637CFC0F" w14:textId="77777777" w:rsidR="005255EC" w:rsidRDefault="005255EC"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4CDEC5E2" w14:textId="77777777" w:rsidR="00F03851" w:rsidRDefault="00F03851"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F03851">
        <w:rPr>
          <w:rFonts w:cs="Helvetica"/>
          <w:color w:val="141413"/>
        </w:rPr>
        <w:t xml:space="preserve">Conclusions: </w:t>
      </w:r>
      <w:proofErr w:type="spellStart"/>
      <w:r w:rsidRPr="00F03851">
        <w:rPr>
          <w:rFonts w:cs="Helvetica"/>
          <w:color w:val="141413"/>
        </w:rPr>
        <w:t>Dysnatremia</w:t>
      </w:r>
      <w:proofErr w:type="spellEnd"/>
      <w:r w:rsidRPr="00F03851">
        <w:rPr>
          <w:rFonts w:cs="Helvetica"/>
          <w:color w:val="141413"/>
        </w:rPr>
        <w:t xml:space="preserve"> was common in surgical ICU patients and was independently associated with an increased risk of in-hospital death in these patients. </w:t>
      </w:r>
      <w:proofErr w:type="spellStart"/>
      <w:r w:rsidRPr="00F03851">
        <w:rPr>
          <w:rFonts w:cs="Helvetica"/>
          <w:color w:val="141413"/>
        </w:rPr>
        <w:t>Dysnatremia</w:t>
      </w:r>
      <w:proofErr w:type="spellEnd"/>
      <w:r w:rsidRPr="00F03851">
        <w:rPr>
          <w:rFonts w:cs="Helvetica"/>
          <w:color w:val="141413"/>
        </w:rPr>
        <w:t xml:space="preserve"> at ICU admission was associated with a higher risk of death compared with ICU– acquired </w:t>
      </w:r>
      <w:proofErr w:type="spellStart"/>
      <w:r w:rsidRPr="00F03851">
        <w:rPr>
          <w:rFonts w:cs="Helvetica"/>
          <w:color w:val="141413"/>
        </w:rPr>
        <w:t>dysnatremia</w:t>
      </w:r>
      <w:proofErr w:type="spellEnd"/>
      <w:r w:rsidRPr="00F03851">
        <w:rPr>
          <w:rFonts w:cs="Helvetica"/>
          <w:color w:val="141413"/>
        </w:rPr>
        <w:t xml:space="preserve">. Fluctuations in serum sodium concentrations were independently associated with an increased risk of in-hospital death, even in patients who remained </w:t>
      </w:r>
      <w:proofErr w:type="spellStart"/>
      <w:r w:rsidRPr="00F03851">
        <w:rPr>
          <w:rFonts w:cs="Helvetica"/>
          <w:color w:val="141413"/>
        </w:rPr>
        <w:t>normonatremic</w:t>
      </w:r>
      <w:proofErr w:type="spellEnd"/>
      <w:r w:rsidRPr="00F03851">
        <w:rPr>
          <w:rFonts w:cs="Helvetica"/>
          <w:color w:val="141413"/>
        </w:rPr>
        <w:t xml:space="preserve"> during the ICU stay. (</w:t>
      </w:r>
      <w:proofErr w:type="spellStart"/>
      <w:r w:rsidRPr="00F03851">
        <w:rPr>
          <w:rFonts w:cs="Helvetica"/>
          <w:color w:val="141413"/>
        </w:rPr>
        <w:t>Crit</w:t>
      </w:r>
      <w:proofErr w:type="spellEnd"/>
      <w:r w:rsidRPr="00F03851">
        <w:rPr>
          <w:rFonts w:cs="Helvetica"/>
          <w:color w:val="141413"/>
        </w:rPr>
        <w:t xml:space="preserve"> Care Med 2013; 41:133–142)</w:t>
      </w:r>
    </w:p>
    <w:p w14:paraId="195A414D" w14:textId="77777777" w:rsidR="0069404C" w:rsidRDefault="0069404C"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3687E46A" w14:textId="77777777" w:rsidR="0069404C" w:rsidRDefault="0069404C" w:rsidP="00F038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Questions:</w:t>
      </w:r>
    </w:p>
    <w:p w14:paraId="16528E40" w14:textId="77777777" w:rsidR="0069404C" w:rsidRPr="0069404C" w:rsidRDefault="0069404C" w:rsidP="0069404C">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69404C">
        <w:rPr>
          <w:rFonts w:cs="Helvetica"/>
          <w:color w:val="141413"/>
        </w:rPr>
        <w:t>Which of t</w:t>
      </w:r>
      <w:r>
        <w:rPr>
          <w:rFonts w:cs="Helvetica"/>
          <w:color w:val="141413"/>
        </w:rPr>
        <w:t xml:space="preserve">he following statements is false </w:t>
      </w:r>
      <w:r w:rsidRPr="0069404C">
        <w:rPr>
          <w:rFonts w:cs="Helvetica"/>
          <w:color w:val="141413"/>
        </w:rPr>
        <w:t>regarding the above article?</w:t>
      </w:r>
    </w:p>
    <w:p w14:paraId="7827FB9F" w14:textId="77777777" w:rsidR="0069404C" w:rsidRDefault="004F2F86" w:rsidP="0069404C">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roofErr w:type="spellStart"/>
      <w:r>
        <w:rPr>
          <w:rFonts w:cs="Helvetica"/>
          <w:color w:val="141413"/>
        </w:rPr>
        <w:t>Dysnatremia</w:t>
      </w:r>
      <w:proofErr w:type="spellEnd"/>
      <w:r>
        <w:rPr>
          <w:rFonts w:cs="Helvetica"/>
          <w:color w:val="141413"/>
        </w:rPr>
        <w:t xml:space="preserve"> was independently associated with higher incidences of in-hospital mortality.</w:t>
      </w:r>
    </w:p>
    <w:p w14:paraId="30ED02D1" w14:textId="77777777" w:rsidR="004F2F86" w:rsidRDefault="004F2F86" w:rsidP="0069404C">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roofErr w:type="spellStart"/>
      <w:r>
        <w:rPr>
          <w:rFonts w:cs="Helvetica"/>
          <w:color w:val="141413"/>
        </w:rPr>
        <w:t>Dysnatremia</w:t>
      </w:r>
      <w:proofErr w:type="spellEnd"/>
      <w:r>
        <w:rPr>
          <w:rFonts w:cs="Helvetica"/>
          <w:color w:val="141413"/>
        </w:rPr>
        <w:t xml:space="preserve"> at hospital admission was associated with lower incidences of in-hospital mortality than hospital-acquired </w:t>
      </w:r>
      <w:proofErr w:type="spellStart"/>
      <w:r>
        <w:rPr>
          <w:rFonts w:cs="Helvetica"/>
          <w:color w:val="141413"/>
        </w:rPr>
        <w:t>dysnatremia</w:t>
      </w:r>
      <w:proofErr w:type="spellEnd"/>
      <w:r>
        <w:rPr>
          <w:rFonts w:cs="Helvetica"/>
          <w:color w:val="141413"/>
        </w:rPr>
        <w:t>.</w:t>
      </w:r>
    </w:p>
    <w:p w14:paraId="0F91CFBD" w14:textId="77777777" w:rsidR="004F2F86" w:rsidRDefault="004F2F86" w:rsidP="0069404C">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 xml:space="preserve">Fluctuation of sodium concentrations within the normal reference range was associated with an increased risk of in-hospital mortality. </w:t>
      </w:r>
    </w:p>
    <w:p w14:paraId="67DB47E5" w14:textId="77777777" w:rsidR="004F2F86" w:rsidRDefault="004F2F86" w:rsidP="0069404C">
      <w:pPr>
        <w:pStyle w:val="ListParagraph"/>
        <w:widowControl w:val="0"/>
        <w:numPr>
          <w:ilvl w:val="1"/>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roofErr w:type="spellStart"/>
      <w:r>
        <w:rPr>
          <w:rFonts w:cs="Helvetica"/>
          <w:color w:val="141413"/>
        </w:rPr>
        <w:t>Dysnatremic</w:t>
      </w:r>
      <w:proofErr w:type="spellEnd"/>
      <w:r>
        <w:rPr>
          <w:rFonts w:cs="Helvetica"/>
          <w:color w:val="141413"/>
        </w:rPr>
        <w:t xml:space="preserve"> patients had higher disease severity scores than those with normal sodium concentrations.</w:t>
      </w:r>
    </w:p>
    <w:p w14:paraId="62620BE8" w14:textId="77777777" w:rsidR="004F2F86" w:rsidRDefault="004F2F86" w:rsidP="004F2F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666FBCD0" w14:textId="77777777" w:rsidR="004F2F86" w:rsidRPr="004F2F86" w:rsidRDefault="004F2F86" w:rsidP="004F2F86">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F2F86">
        <w:rPr>
          <w:rFonts w:cs="Helvetica"/>
          <w:color w:val="141413"/>
        </w:rPr>
        <w:t>List complications of hypernatremia.</w:t>
      </w:r>
    </w:p>
    <w:p w14:paraId="67AB693A" w14:textId="77777777" w:rsidR="004F2F86" w:rsidRDefault="004F2F86" w:rsidP="004F2F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35F0C4F7" w14:textId="77777777" w:rsidR="004F2F86" w:rsidRPr="004F2F86" w:rsidRDefault="004F2F86" w:rsidP="004F2F86">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sidRPr="004F2F86">
        <w:rPr>
          <w:rFonts w:cs="Helvetica"/>
          <w:color w:val="141413"/>
        </w:rPr>
        <w:t>The phenomenon of hyperglycemia resulting in increased movement of water from the intracellular to the extracellular space resulting in lower serum sodium without any change in total body water is called BLANK.</w:t>
      </w:r>
    </w:p>
    <w:p w14:paraId="70C10AF9" w14:textId="77777777" w:rsidR="004F2F86" w:rsidRPr="004F2F86" w:rsidRDefault="004F2F86" w:rsidP="004F2F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p>
    <w:p w14:paraId="38CEEB18" w14:textId="77777777" w:rsidR="004F2F86" w:rsidRPr="004F2F86" w:rsidRDefault="004F2F86" w:rsidP="004F2F86">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141413"/>
        </w:rPr>
      </w:pPr>
      <w:r>
        <w:rPr>
          <w:rFonts w:cs="Helvetica"/>
          <w:color w:val="141413"/>
        </w:rPr>
        <w:t xml:space="preserve">True or false: The phenomenon described above is associated with similar outcome to other </w:t>
      </w:r>
      <w:proofErr w:type="spellStart"/>
      <w:r>
        <w:rPr>
          <w:rFonts w:cs="Helvetica"/>
          <w:color w:val="141413"/>
        </w:rPr>
        <w:t>hyponatremic</w:t>
      </w:r>
      <w:proofErr w:type="spellEnd"/>
      <w:r>
        <w:rPr>
          <w:rFonts w:cs="Helvetica"/>
          <w:color w:val="141413"/>
        </w:rPr>
        <w:t xml:space="preserve"> patients in the study described above.</w:t>
      </w:r>
      <w:bookmarkStart w:id="0" w:name="_GoBack"/>
      <w:bookmarkEnd w:id="0"/>
    </w:p>
    <w:sectPr w:rsidR="004F2F86" w:rsidRPr="004F2F86"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27FE8"/>
    <w:multiLevelType w:val="hybridMultilevel"/>
    <w:tmpl w:val="73748A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DA6289"/>
    <w:multiLevelType w:val="hybridMultilevel"/>
    <w:tmpl w:val="F842B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436"/>
    <w:rsid w:val="00475436"/>
    <w:rsid w:val="004F2F86"/>
    <w:rsid w:val="005255EC"/>
    <w:rsid w:val="0069404C"/>
    <w:rsid w:val="00D46B93"/>
    <w:rsid w:val="00F038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CCD1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43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4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1415</Words>
  <Characters>8069</Characters>
  <Application>Microsoft Macintosh Word</Application>
  <DocSecurity>0</DocSecurity>
  <Lines>67</Lines>
  <Paragraphs>18</Paragraphs>
  <ScaleCrop>false</ScaleCrop>
  <Company>Cornell University</Company>
  <LinksUpToDate>false</LinksUpToDate>
  <CharactersWithSpaces>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2</cp:revision>
  <dcterms:created xsi:type="dcterms:W3CDTF">2013-01-10T01:17:00Z</dcterms:created>
  <dcterms:modified xsi:type="dcterms:W3CDTF">2013-01-10T02:20:00Z</dcterms:modified>
</cp:coreProperties>
</file>