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731" w:rsidRDefault="0067267A">
      <w:r>
        <w:rPr>
          <w:noProof/>
        </w:rPr>
        <w:drawing>
          <wp:inline distT="0" distB="0" distL="0" distR="0">
            <wp:extent cx="4750533" cy="3743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533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67A" w:rsidRDefault="0067267A">
      <w:r>
        <w:t>Retired racing greyhounds have higher incidences of post-</w:t>
      </w:r>
      <w:proofErr w:type="spellStart"/>
      <w:r>
        <w:t>gonadectomy</w:t>
      </w:r>
      <w:proofErr w:type="spellEnd"/>
      <w:r>
        <w:t xml:space="preserve"> bleeding compared to other breeds (26% </w:t>
      </w:r>
      <w:proofErr w:type="spellStart"/>
      <w:r>
        <w:t>vs</w:t>
      </w:r>
      <w:proofErr w:type="spellEnd"/>
      <w:r>
        <w:t xml:space="preserve"> 2%). Greyhounds with post-op bleeding issues have been shown to have lower levels of </w:t>
      </w:r>
      <w:proofErr w:type="spellStart"/>
      <w:r>
        <w:t>antiplasmin</w:t>
      </w:r>
      <w:proofErr w:type="spellEnd"/>
      <w:r>
        <w:t xml:space="preserve"> and </w:t>
      </w:r>
      <w:proofErr w:type="spellStart"/>
      <w:r>
        <w:t>antithrombin</w:t>
      </w:r>
      <w:proofErr w:type="spellEnd"/>
      <w:r>
        <w:t xml:space="preserve"> suggesting an abnormality in the clot maintenance or </w:t>
      </w:r>
      <w:proofErr w:type="spellStart"/>
      <w:r>
        <w:t>fibrinolytic</w:t>
      </w:r>
      <w:proofErr w:type="spellEnd"/>
      <w:r>
        <w:t xml:space="preserve"> system </w:t>
      </w:r>
      <w:r w:rsidR="00F13F12">
        <w:t xml:space="preserve">(enhanced fibrinolysis?) </w:t>
      </w:r>
      <w:r>
        <w:t>or endothelial dysfunction.</w:t>
      </w:r>
    </w:p>
    <w:p w:rsidR="0067267A" w:rsidRDefault="00BA5B2D">
      <w:r>
        <w:t xml:space="preserve">Epsilon </w:t>
      </w:r>
      <w:proofErr w:type="spellStart"/>
      <w:r>
        <w:t>a</w:t>
      </w:r>
      <w:r w:rsidR="0067267A">
        <w:t>minocaproic</w:t>
      </w:r>
      <w:proofErr w:type="spellEnd"/>
      <w:r w:rsidR="0067267A">
        <w:t xml:space="preserve"> acid</w:t>
      </w:r>
      <w:r>
        <w:t xml:space="preserve"> (EACA)</w:t>
      </w:r>
      <w:r w:rsidR="0067267A">
        <w:t xml:space="preserve"> is a </w:t>
      </w:r>
      <w:proofErr w:type="spellStart"/>
      <w:r w:rsidR="0067267A">
        <w:t>fibrinolytic</w:t>
      </w:r>
      <w:proofErr w:type="spellEnd"/>
      <w:r w:rsidR="0067267A">
        <w:t xml:space="preserve"> inhibitor. </w:t>
      </w:r>
      <w:proofErr w:type="gramStart"/>
      <w:r w:rsidR="0067267A">
        <w:t>Prevents the activation of plasminogen into plasmin on the fibrin surface.</w:t>
      </w:r>
      <w:proofErr w:type="gramEnd"/>
    </w:p>
    <w:p w:rsidR="0067267A" w:rsidRDefault="0067267A">
      <w:r>
        <w:t xml:space="preserve">Hypothesis: </w:t>
      </w:r>
      <w:proofErr w:type="spellStart"/>
      <w:r>
        <w:t>Aminocaproic</w:t>
      </w:r>
      <w:proofErr w:type="spellEnd"/>
      <w:r>
        <w:t xml:space="preserve"> acid would significantly decrease the prevalence of post-op bleeding in RRG and result in significant changes in TEG and fibrinolysis variables.</w:t>
      </w:r>
    </w:p>
    <w:p w:rsidR="00BA5B2D" w:rsidRDefault="0067267A">
      <w:r>
        <w:t>N=100</w:t>
      </w:r>
    </w:p>
    <w:p w:rsidR="00BA5B2D" w:rsidRDefault="00BA5B2D">
      <w:proofErr w:type="gramStart"/>
      <w:r>
        <w:t xml:space="preserve">Randomized to receive </w:t>
      </w:r>
      <w:proofErr w:type="spellStart"/>
      <w:r>
        <w:t>aminocaproic</w:t>
      </w:r>
      <w:proofErr w:type="spellEnd"/>
      <w:r>
        <w:t xml:space="preserve"> acid (500mg PO TID) or placebo.</w:t>
      </w:r>
      <w:proofErr w:type="gramEnd"/>
      <w:r>
        <w:t xml:space="preserve"> Scoring of bruising was subjective according to modified bleeding score (recorded by 1 individual). </w:t>
      </w:r>
      <w:proofErr w:type="gramStart"/>
      <w:r>
        <w:t>Bloods drawn pre op, and 24, 48, and 72h post-op.</w:t>
      </w:r>
      <w:proofErr w:type="gramEnd"/>
    </w:p>
    <w:p w:rsidR="00BA5B2D" w:rsidRDefault="00BA5B2D">
      <w:r>
        <w:t>Statistics: Random effects linear regression model to test main effects and interactions. Bleeding prediction model was developed</w:t>
      </w:r>
    </w:p>
    <w:p w:rsidR="00BA5B2D" w:rsidRDefault="00BA5B2D">
      <w:r>
        <w:t xml:space="preserve">Results: </w:t>
      </w:r>
    </w:p>
    <w:p w:rsidR="00BA5B2D" w:rsidRDefault="00BA5B2D">
      <w:r>
        <w:t xml:space="preserve">30% of placebo group had bleeding compared to 10% in tested group. (P=0.012). </w:t>
      </w:r>
    </w:p>
    <w:p w:rsidR="0067267A" w:rsidRDefault="00BA5B2D">
      <w:r>
        <w:t xml:space="preserve">No significant differences pre-op on TEG </w:t>
      </w:r>
      <w:proofErr w:type="gramStart"/>
      <w:r>
        <w:t>values,</w:t>
      </w:r>
      <w:proofErr w:type="gramEnd"/>
      <w:r>
        <w:t xml:space="preserve"> however over time the R and K significantly decreased in the </w:t>
      </w:r>
      <w:proofErr w:type="spellStart"/>
      <w:r>
        <w:t>aminocaproic</w:t>
      </w:r>
      <w:proofErr w:type="spellEnd"/>
      <w:r>
        <w:t xml:space="preserve"> acid group but increased in the placebo group.</w:t>
      </w:r>
      <w:r w:rsidR="00F13F12">
        <w:t xml:space="preserve"> Implies initial clot begins to form faster in the EACA group.</w:t>
      </w:r>
      <w:r>
        <w:t xml:space="preserve"> The angle, MA and G increased in the EACA group and decreased in the placebo group over time. This implies stronger clot formation in the EACA group.</w:t>
      </w:r>
      <w:r w:rsidR="0067267A">
        <w:t xml:space="preserve"> </w:t>
      </w:r>
      <w:r w:rsidR="00F13F12">
        <w:t xml:space="preserve">Values suggest that EACA dogs became </w:t>
      </w:r>
      <w:proofErr w:type="spellStart"/>
      <w:r w:rsidR="00F13F12">
        <w:t>hypercoagulable</w:t>
      </w:r>
      <w:proofErr w:type="spellEnd"/>
      <w:r w:rsidR="00F13F12">
        <w:t>.</w:t>
      </w:r>
    </w:p>
    <w:p w:rsidR="00F13F12" w:rsidRDefault="00F13F12">
      <w:r>
        <w:t xml:space="preserve">Bottom line: Administration of EACA significantly decreased the prevalence of delayed post-op bleeding in RRG undergoing </w:t>
      </w:r>
      <w:proofErr w:type="spellStart"/>
      <w:r>
        <w:t>gonadectomy</w:t>
      </w:r>
      <w:proofErr w:type="spellEnd"/>
      <w:r>
        <w:t xml:space="preserve"> by amplifying strengthening of the fibrin clot.</w:t>
      </w:r>
    </w:p>
    <w:p w:rsidR="00716757" w:rsidRDefault="00716757">
      <w:r>
        <w:rPr>
          <w:noProof/>
        </w:rPr>
        <w:drawing>
          <wp:inline distT="0" distB="0" distL="0" distR="0">
            <wp:extent cx="4143375" cy="33909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F5" w:rsidRDefault="00716757">
      <w:r>
        <w:t xml:space="preserve">Case report: Canine </w:t>
      </w:r>
      <w:proofErr w:type="spellStart"/>
      <w:r>
        <w:t>epidermoid</w:t>
      </w:r>
      <w:proofErr w:type="spellEnd"/>
      <w:r>
        <w:t xml:space="preserve"> cyst noted in dog, removed surgically. MRI findings include heterogeneously </w:t>
      </w:r>
      <w:proofErr w:type="spellStart"/>
      <w:r>
        <w:t>hypertense</w:t>
      </w:r>
      <w:proofErr w:type="spellEnd"/>
      <w:r>
        <w:t xml:space="preserve"> lesion on T2 weight series</w:t>
      </w:r>
      <w:r w:rsidR="00506AF5">
        <w:t xml:space="preserve">. </w:t>
      </w:r>
      <w:proofErr w:type="spellStart"/>
      <w:r w:rsidR="00506AF5">
        <w:t>Epidermoid</w:t>
      </w:r>
      <w:proofErr w:type="spellEnd"/>
      <w:r w:rsidR="00506AF5">
        <w:t xml:space="preserve"> cysts are histologically benign. Patient presented with seizures and decreased level of mentation. The mass was largely excised, however clinical signs returned 8 months post-op.</w:t>
      </w:r>
    </w:p>
    <w:p w:rsidR="00506AF5" w:rsidRDefault="00506AF5">
      <w:r>
        <w:rPr>
          <w:noProof/>
        </w:rPr>
        <w:drawing>
          <wp:inline distT="0" distB="0" distL="0" distR="0">
            <wp:extent cx="4638675" cy="35242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F5" w:rsidRDefault="00506AF5">
      <w:proofErr w:type="gramStart"/>
      <w:r>
        <w:t xml:space="preserve">Comparing laparoscopic </w:t>
      </w:r>
      <w:proofErr w:type="spellStart"/>
      <w:r>
        <w:t>vs</w:t>
      </w:r>
      <w:proofErr w:type="spellEnd"/>
      <w:r>
        <w:t xml:space="preserve"> </w:t>
      </w:r>
      <w:proofErr w:type="spellStart"/>
      <w:r>
        <w:t>transvaginal</w:t>
      </w:r>
      <w:proofErr w:type="spellEnd"/>
      <w:r>
        <w:t xml:space="preserve"> laparoscopic OVH techniques – no significant differences in surgical time.</w:t>
      </w:r>
      <w:proofErr w:type="gramEnd"/>
      <w:r>
        <w:t xml:space="preserve"> </w:t>
      </w:r>
      <w:proofErr w:type="gramStart"/>
      <w:r>
        <w:t>Requires strict hygiene with vaginal approach.</w:t>
      </w:r>
      <w:proofErr w:type="gramEnd"/>
      <w:r>
        <w:t xml:space="preserve"> No complications noted. Recommend avoiding with patients that have any vaginal pathology.</w:t>
      </w:r>
    </w:p>
    <w:p w:rsidR="00506AF5" w:rsidRDefault="00506AF5">
      <w:r>
        <w:br w:type="page"/>
      </w:r>
    </w:p>
    <w:p w:rsidR="00506AF5" w:rsidRDefault="00506AF5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333875" cy="3858260"/>
            <wp:effectExtent l="0" t="0" r="9525" b="8890"/>
            <wp:wrapTight wrapText="bothSides">
              <wp:wrapPolygon edited="0">
                <wp:start x="0" y="0"/>
                <wp:lineTo x="0" y="21543"/>
                <wp:lineTo x="21553" y="21543"/>
                <wp:lineTo x="2155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37B" w:rsidRDefault="00506AF5">
      <w:r>
        <w:t xml:space="preserve">Comparing bovine cross-linked collagen (BC) to polyethylene glycol-based hydrogel (PRG-CMC) injected into the urethral </w:t>
      </w:r>
      <w:proofErr w:type="spellStart"/>
      <w:r>
        <w:t>submucosa</w:t>
      </w:r>
      <w:proofErr w:type="spellEnd"/>
      <w:r>
        <w:t xml:space="preserve"> to treat urinary incontinence. BC typically used currently but can require retreatment. PEG-CMC is supposed to undergo little swelling or shrinking after placement (more permanent).</w:t>
      </w:r>
      <w:r w:rsidR="00A7337B">
        <w:t xml:space="preserve"> </w:t>
      </w:r>
      <w:r w:rsidR="00AB265D">
        <w:t xml:space="preserve">Conclusions: PEG-CMC produced mucosal excoriations in some dogs, suggesting further studies are needed before stating that it can be used without formation of mucosal defect or negative clinical effects. </w:t>
      </w:r>
    </w:p>
    <w:p w:rsidR="00AB265D" w:rsidRDefault="00AB265D"/>
    <w:p w:rsidR="00A7337B" w:rsidRDefault="00A7337B"/>
    <w:p w:rsidR="00A7337B" w:rsidRDefault="00A7337B">
      <w:bookmarkStart w:id="0" w:name="_GoBack"/>
      <w:r>
        <w:rPr>
          <w:noProof/>
        </w:rPr>
        <w:drawing>
          <wp:anchor distT="0" distB="0" distL="114300" distR="114300" simplePos="0" relativeHeight="251667456" behindDoc="1" locked="0" layoutInCell="1" allowOverlap="1" wp14:anchorId="766EC769" wp14:editId="12E4EFF9">
            <wp:simplePos x="0" y="0"/>
            <wp:positionH relativeFrom="column">
              <wp:posOffset>-4724400</wp:posOffset>
            </wp:positionH>
            <wp:positionV relativeFrom="paragraph">
              <wp:posOffset>215900</wp:posOffset>
            </wp:positionV>
            <wp:extent cx="5367655" cy="4953000"/>
            <wp:effectExtent l="0" t="0" r="4445" b="0"/>
            <wp:wrapTight wrapText="bothSides">
              <wp:wrapPolygon edited="0">
                <wp:start x="0" y="0"/>
                <wp:lineTo x="0" y="21517"/>
                <wp:lineTo x="21541" y="21517"/>
                <wp:lineTo x="2154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7337B" w:rsidRDefault="00A7337B"/>
    <w:p w:rsidR="00A7337B" w:rsidRDefault="00A7337B"/>
    <w:p w:rsidR="00A7337B" w:rsidRDefault="00A7337B">
      <w:r>
        <w:t xml:space="preserve">Indications: when better visibility is needed during </w:t>
      </w:r>
      <w:proofErr w:type="spellStart"/>
      <w:r>
        <w:t>thoracoscopy</w:t>
      </w:r>
      <w:proofErr w:type="spellEnd"/>
      <w:r>
        <w:t xml:space="preserve"> procedures.</w:t>
      </w:r>
    </w:p>
    <w:p w:rsidR="00506AF5" w:rsidRDefault="00A7337B">
      <w:r>
        <w:t>Conclusion: do-able but bronchoscopy still useful</w:t>
      </w:r>
      <w:r w:rsidR="00506AF5">
        <w:br w:type="page"/>
      </w:r>
    </w:p>
    <w:p w:rsidR="00F13F12" w:rsidRDefault="00F13F12">
      <w:r>
        <w:t>Questions:</w:t>
      </w:r>
    </w:p>
    <w:p w:rsidR="00F13F12" w:rsidRDefault="00F13F12">
      <w:r>
        <w:t xml:space="preserve">Marin, et al. EACA for prevention of delayed post-op bleeding in retired racing greyhounds undergoing </w:t>
      </w:r>
      <w:proofErr w:type="spellStart"/>
      <w:r>
        <w:t>gonadectomy</w:t>
      </w:r>
      <w:proofErr w:type="spellEnd"/>
      <w:r>
        <w:t xml:space="preserve"> (</w:t>
      </w:r>
      <w:proofErr w:type="spellStart"/>
      <w:r>
        <w:t>VetSurg</w:t>
      </w:r>
      <w:proofErr w:type="spellEnd"/>
      <w:r>
        <w:t xml:space="preserve"> 41 (2012) 594-603</w:t>
      </w:r>
    </w:p>
    <w:p w:rsidR="00F13F12" w:rsidRDefault="00F13F12" w:rsidP="00F13F12">
      <w:pPr>
        <w:pStyle w:val="ListParagraph"/>
        <w:numPr>
          <w:ilvl w:val="0"/>
          <w:numId w:val="1"/>
        </w:numPr>
      </w:pPr>
      <w:r>
        <w:t>Define</w:t>
      </w:r>
      <w:r w:rsidR="00AA0B91">
        <w:t xml:space="preserve"> and label</w:t>
      </w:r>
      <w:r>
        <w:t xml:space="preserve"> the following (TEG variables):</w:t>
      </w:r>
    </w:p>
    <w:p w:rsidR="00F13F12" w:rsidRDefault="00F13F12" w:rsidP="00F13F12">
      <w:pPr>
        <w:pStyle w:val="ListParagraph"/>
        <w:numPr>
          <w:ilvl w:val="1"/>
          <w:numId w:val="1"/>
        </w:numPr>
      </w:pPr>
      <w:r>
        <w:t>R time – latency time, time to initial fibrin formation</w:t>
      </w:r>
    </w:p>
    <w:p w:rsidR="00F13F12" w:rsidRDefault="00F13F12" w:rsidP="00F13F12">
      <w:pPr>
        <w:pStyle w:val="ListParagraph"/>
        <w:numPr>
          <w:ilvl w:val="1"/>
          <w:numId w:val="1"/>
        </w:numPr>
      </w:pPr>
      <w:r>
        <w:t>K time – speed to a pre-determined specific level of clot strength</w:t>
      </w:r>
    </w:p>
    <w:p w:rsidR="00F13F12" w:rsidRDefault="00F13F12" w:rsidP="00F13F12">
      <w:pPr>
        <w:pStyle w:val="ListParagraph"/>
        <w:numPr>
          <w:ilvl w:val="1"/>
          <w:numId w:val="1"/>
        </w:numPr>
      </w:pPr>
      <w:r>
        <w:t>Alpha angle – measures speed of fibrin buildup and cross linking (clot strengthening)</w:t>
      </w:r>
    </w:p>
    <w:p w:rsidR="00F13F12" w:rsidRDefault="00AA0B91" w:rsidP="00F13F12">
      <w:pPr>
        <w:pStyle w:val="ListParagraph"/>
        <w:numPr>
          <w:ilvl w:val="1"/>
          <w:numId w:val="1"/>
        </w:num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2E4B6DA" wp14:editId="4B47B71D">
            <wp:simplePos x="0" y="0"/>
            <wp:positionH relativeFrom="column">
              <wp:posOffset>1885950</wp:posOffset>
            </wp:positionH>
            <wp:positionV relativeFrom="paragraph">
              <wp:posOffset>278130</wp:posOffset>
            </wp:positionV>
            <wp:extent cx="3171825" cy="2073910"/>
            <wp:effectExtent l="0" t="0" r="9525" b="2540"/>
            <wp:wrapTight wrapText="bothSides">
              <wp:wrapPolygon edited="0">
                <wp:start x="0" y="0"/>
                <wp:lineTo x="0" y="21428"/>
                <wp:lineTo x="21535" y="21428"/>
                <wp:lineTo x="21535" y="0"/>
                <wp:lineTo x="0" y="0"/>
              </wp:wrapPolygon>
            </wp:wrapTight>
            <wp:docPr id="2" name="Picture 2" descr="http://gut.bmj.com/content/43/2/267/F1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ut.bmj.com/content/43/2/267/F1.lar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F12">
        <w:t xml:space="preserve">MA (maximal amplitude) </w:t>
      </w:r>
      <w:r>
        <w:t>–</w:t>
      </w:r>
      <w:r w:rsidR="00F13F12">
        <w:t xml:space="preserve"> </w:t>
      </w:r>
      <w:r>
        <w:t>represents the clot strength</w:t>
      </w:r>
    </w:p>
    <w:p w:rsidR="00AA0B91" w:rsidRDefault="00AA0B91" w:rsidP="00AA0B91">
      <w:pPr>
        <w:ind w:left="1080"/>
      </w:pPr>
    </w:p>
    <w:p w:rsidR="00AA0B91" w:rsidRDefault="00AA0B91" w:rsidP="00F13F1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48FF00" wp14:editId="1B6B7E7D">
                <wp:simplePos x="0" y="0"/>
                <wp:positionH relativeFrom="column">
                  <wp:posOffset>1971675</wp:posOffset>
                </wp:positionH>
                <wp:positionV relativeFrom="paragraph">
                  <wp:posOffset>155575</wp:posOffset>
                </wp:positionV>
                <wp:extent cx="342900" cy="333375"/>
                <wp:effectExtent l="0" t="0" r="19050" b="28575"/>
                <wp:wrapTight wrapText="bothSides">
                  <wp:wrapPolygon edited="0">
                    <wp:start x="0" y="0"/>
                    <wp:lineTo x="0" y="22217"/>
                    <wp:lineTo x="21600" y="22217"/>
                    <wp:lineTo x="21600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55.25pt;margin-top:12.25pt;width:27pt;height:26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" fillcolor="white [3212]" strokecolor="black [3213]" strokeweight="2pt">
                <w10:wrap type="tight"/>
              </v:rect>
            </w:pict>
          </mc:Fallback>
        </mc:AlternateContent>
      </w:r>
    </w:p>
    <w:p w:rsidR="00AA0B91" w:rsidRDefault="00AA0B91" w:rsidP="00F13F1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356645D" wp14:editId="64552D5B">
                <wp:simplePos x="0" y="0"/>
                <wp:positionH relativeFrom="column">
                  <wp:posOffset>2714625</wp:posOffset>
                </wp:positionH>
                <wp:positionV relativeFrom="paragraph">
                  <wp:posOffset>161925</wp:posOffset>
                </wp:positionV>
                <wp:extent cx="257175" cy="2286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2400" y="21600"/>
                    <wp:lineTo x="22400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3.75pt;margin-top:12.75pt;width:20.2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" fillcolor="white [3212]" strokecolor="black [3213]" strokeweight="2pt">
                <w10:wrap type="tight"/>
              </v:rect>
            </w:pict>
          </mc:Fallback>
        </mc:AlternateContent>
      </w:r>
    </w:p>
    <w:p w:rsidR="00AA0B91" w:rsidRDefault="00AA0B91" w:rsidP="00F13F1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453A33" wp14:editId="6AD68919">
                <wp:simplePos x="0" y="0"/>
                <wp:positionH relativeFrom="column">
                  <wp:posOffset>3686175</wp:posOffset>
                </wp:positionH>
                <wp:positionV relativeFrom="paragraph">
                  <wp:posOffset>10160</wp:posOffset>
                </wp:positionV>
                <wp:extent cx="342900" cy="333375"/>
                <wp:effectExtent l="0" t="0" r="19050" b="28575"/>
                <wp:wrapTight wrapText="bothSides">
                  <wp:wrapPolygon edited="0">
                    <wp:start x="0" y="0"/>
                    <wp:lineTo x="0" y="22217"/>
                    <wp:lineTo x="21600" y="22217"/>
                    <wp:lineTo x="21600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290.25pt;margin-top:.8pt;width:27pt;height:26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" fillcolor="white [3212]" strokecolor="black [3213]" strokeweight="2pt">
                <w10:wrap type="tight"/>
              </v:rect>
            </w:pict>
          </mc:Fallback>
        </mc:AlternateContent>
      </w:r>
    </w:p>
    <w:p w:rsidR="00AA0B91" w:rsidRDefault="00AA0B91" w:rsidP="00F13F12"/>
    <w:p w:rsidR="00AA0B91" w:rsidRDefault="00AA0B91" w:rsidP="00F13F1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A8A6D2" wp14:editId="24148DC6">
                <wp:simplePos x="0" y="0"/>
                <wp:positionH relativeFrom="column">
                  <wp:posOffset>2314575</wp:posOffset>
                </wp:positionH>
                <wp:positionV relativeFrom="paragraph">
                  <wp:posOffset>211455</wp:posOffset>
                </wp:positionV>
                <wp:extent cx="485775" cy="333375"/>
                <wp:effectExtent l="0" t="0" r="28575" b="28575"/>
                <wp:wrapTight wrapText="bothSides">
                  <wp:wrapPolygon edited="0">
                    <wp:start x="0" y="0"/>
                    <wp:lineTo x="0" y="22217"/>
                    <wp:lineTo x="22024" y="22217"/>
                    <wp:lineTo x="22024" y="0"/>
                    <wp:lineTo x="0" y="0"/>
                  </wp:wrapPolygon>
                </wp:wrapTight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6" style="position:absolute;margin-left:182.25pt;margin-top:16.65pt;width:38.25pt;height:26.2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" fillcolor="white [3212]" strokecolor="black [3213]" strokeweight="2pt">
                <w10:wrap type="tight"/>
              </v:rect>
            </w:pict>
          </mc:Fallback>
        </mc:AlternateContent>
      </w:r>
    </w:p>
    <w:p w:rsidR="00AA0B91" w:rsidRDefault="00AA0B91" w:rsidP="00F13F12"/>
    <w:p w:rsidR="00F13F12" w:rsidRDefault="00AA0B91" w:rsidP="00AA0B91">
      <w:pPr>
        <w:pStyle w:val="ListParagraph"/>
        <w:numPr>
          <w:ilvl w:val="0"/>
          <w:numId w:val="1"/>
        </w:numPr>
      </w:pPr>
      <w:r>
        <w:t>The authors postulate that which of the following are causes for post-operative bleeding in retired racing greyhounds?</w:t>
      </w:r>
    </w:p>
    <w:p w:rsidR="00AA0B91" w:rsidRDefault="00AA0B91" w:rsidP="00AA0B91">
      <w:pPr>
        <w:pStyle w:val="ListParagraph"/>
        <w:numPr>
          <w:ilvl w:val="1"/>
          <w:numId w:val="1"/>
        </w:numPr>
      </w:pPr>
      <w:r>
        <w:t>Enhanced fibrinolysis</w:t>
      </w:r>
    </w:p>
    <w:p w:rsidR="00AA0B91" w:rsidRDefault="00AA0B91" w:rsidP="00AA0B91">
      <w:pPr>
        <w:pStyle w:val="ListParagraph"/>
        <w:numPr>
          <w:ilvl w:val="1"/>
          <w:numId w:val="1"/>
        </w:numPr>
      </w:pPr>
      <w:r>
        <w:t>Primary hemostatic disorders</w:t>
      </w:r>
    </w:p>
    <w:p w:rsidR="00AA0B91" w:rsidRDefault="00AA0B91" w:rsidP="00AA0B91">
      <w:pPr>
        <w:pStyle w:val="ListParagraph"/>
        <w:numPr>
          <w:ilvl w:val="1"/>
          <w:numId w:val="1"/>
        </w:numPr>
      </w:pPr>
      <w:r>
        <w:t>Secondary hemostatic disorders</w:t>
      </w:r>
    </w:p>
    <w:p w:rsidR="00AA0B91" w:rsidRDefault="00AA0B91" w:rsidP="00AA0B91">
      <w:pPr>
        <w:pStyle w:val="ListParagraph"/>
        <w:numPr>
          <w:ilvl w:val="1"/>
          <w:numId w:val="1"/>
        </w:numPr>
      </w:pPr>
      <w:r>
        <w:t>Thrombocytopenia</w:t>
      </w:r>
    </w:p>
    <w:p w:rsidR="00AA0B91" w:rsidRDefault="00AA0B91" w:rsidP="00AA0B91"/>
    <w:sectPr w:rsidR="00AA0B91" w:rsidSect="00A7337B">
      <w:headerReference w:type="default" r:id="rId14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37B" w:rsidRDefault="00A7337B" w:rsidP="00A7337B">
      <w:pPr>
        <w:spacing w:after="0" w:line="240" w:lineRule="auto"/>
      </w:pPr>
      <w:r>
        <w:separator/>
      </w:r>
    </w:p>
  </w:endnote>
  <w:endnote w:type="continuationSeparator" w:id="0">
    <w:p w:rsidR="00A7337B" w:rsidRDefault="00A7337B" w:rsidP="00A7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37B" w:rsidRDefault="00A7337B" w:rsidP="00A7337B">
      <w:pPr>
        <w:spacing w:after="0" w:line="240" w:lineRule="auto"/>
      </w:pPr>
      <w:r>
        <w:separator/>
      </w:r>
    </w:p>
  </w:footnote>
  <w:footnote w:type="continuationSeparator" w:id="0">
    <w:p w:rsidR="00A7337B" w:rsidRDefault="00A7337B" w:rsidP="00A73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37B" w:rsidRDefault="00A7337B">
    <w:pPr>
      <w:pStyle w:val="Header"/>
    </w:pPr>
    <w:r>
      <w:t xml:space="preserve">Vet </w:t>
    </w:r>
    <w:proofErr w:type="spellStart"/>
    <w:r>
      <w:t>Surg</w:t>
    </w:r>
    <w:proofErr w:type="spellEnd"/>
    <w:r>
      <w:t xml:space="preserve"> July and Aug 2012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75727"/>
    <w:multiLevelType w:val="hybridMultilevel"/>
    <w:tmpl w:val="895E5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7A"/>
    <w:rsid w:val="00506AF5"/>
    <w:rsid w:val="0067267A"/>
    <w:rsid w:val="00716757"/>
    <w:rsid w:val="00A7337B"/>
    <w:rsid w:val="00AA0B91"/>
    <w:rsid w:val="00AB265D"/>
    <w:rsid w:val="00BA5B2D"/>
    <w:rsid w:val="00F13F1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6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3F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3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37B"/>
  </w:style>
  <w:style w:type="paragraph" w:styleId="Footer">
    <w:name w:val="footer"/>
    <w:basedOn w:val="Normal"/>
    <w:link w:val="FooterChar"/>
    <w:uiPriority w:val="99"/>
    <w:unhideWhenUsed/>
    <w:rsid w:val="00A73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3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6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3F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3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37B"/>
  </w:style>
  <w:style w:type="paragraph" w:styleId="Footer">
    <w:name w:val="footer"/>
    <w:basedOn w:val="Normal"/>
    <w:link w:val="FooterChar"/>
    <w:uiPriority w:val="99"/>
    <w:unhideWhenUsed/>
    <w:rsid w:val="00A73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3</cp:revision>
  <dcterms:created xsi:type="dcterms:W3CDTF">2012-10-03T06:24:00Z</dcterms:created>
  <dcterms:modified xsi:type="dcterms:W3CDTF">2012-10-03T07:44:00Z</dcterms:modified>
</cp:coreProperties>
</file>