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0B6" w:rsidRPr="00BB3D0C" w:rsidRDefault="007A0679">
      <w:pPr>
        <w:rPr>
          <w:rFonts w:cstheme="minorHAnsi"/>
          <w:sz w:val="20"/>
          <w:szCs w:val="20"/>
          <w:lang w:val="en-US"/>
        </w:rPr>
      </w:pPr>
      <w:r w:rsidRPr="00BB3D0C">
        <w:rPr>
          <w:rFonts w:cstheme="minorHAnsi"/>
          <w:sz w:val="20"/>
          <w:szCs w:val="20"/>
          <w:lang w:val="en-US"/>
        </w:rPr>
        <w:t>Board Review November 6, 2012</w:t>
      </w:r>
    </w:p>
    <w:p w:rsidR="007A0679" w:rsidRPr="00BB3D0C" w:rsidRDefault="007A0679">
      <w:pPr>
        <w:rPr>
          <w:rFonts w:cstheme="minorHAnsi"/>
          <w:b/>
          <w:sz w:val="20"/>
          <w:szCs w:val="20"/>
          <w:lang w:val="en-US"/>
        </w:rPr>
      </w:pPr>
      <w:r w:rsidRPr="00BB3D0C">
        <w:rPr>
          <w:rFonts w:cstheme="minorHAnsi"/>
          <w:b/>
          <w:sz w:val="20"/>
          <w:szCs w:val="20"/>
          <w:lang w:val="en-US"/>
        </w:rPr>
        <w:t>The Coagulant Response in Sepsis and Inflammation</w:t>
      </w:r>
    </w:p>
    <w:p w:rsidR="007A0679" w:rsidRPr="00BB3D0C" w:rsidRDefault="007A0679">
      <w:pPr>
        <w:rPr>
          <w:rFonts w:cstheme="minorHAnsi"/>
          <w:sz w:val="20"/>
          <w:szCs w:val="20"/>
          <w:lang w:val="en-US"/>
        </w:rPr>
      </w:pPr>
      <w:r w:rsidRPr="00BB3D0C">
        <w:rPr>
          <w:rFonts w:cstheme="minorHAnsi"/>
          <w:sz w:val="20"/>
          <w:szCs w:val="20"/>
          <w:lang w:val="en-US"/>
        </w:rPr>
        <w:t>Author: M. Levi</w:t>
      </w:r>
    </w:p>
    <w:p w:rsidR="002674A2" w:rsidRPr="00BB3D0C" w:rsidRDefault="002674A2">
      <w:pPr>
        <w:rPr>
          <w:rFonts w:cstheme="minorHAnsi"/>
          <w:sz w:val="20"/>
          <w:szCs w:val="20"/>
          <w:lang w:val="en-US"/>
        </w:rPr>
      </w:pPr>
      <w:r w:rsidRPr="00BB3D0C">
        <w:rPr>
          <w:rFonts w:cstheme="minorHAnsi"/>
          <w:b/>
          <w:sz w:val="20"/>
          <w:szCs w:val="20"/>
          <w:u w:val="single"/>
          <w:lang w:val="en-US"/>
        </w:rPr>
        <w:t>Summary</w:t>
      </w:r>
      <w:r w:rsidRPr="00BB3D0C">
        <w:rPr>
          <w:rFonts w:cstheme="minorHAnsi"/>
          <w:sz w:val="20"/>
          <w:szCs w:val="20"/>
          <w:lang w:val="en-US"/>
        </w:rPr>
        <w:t>:</w:t>
      </w:r>
    </w:p>
    <w:p w:rsidR="007A0679" w:rsidRPr="00BB3D0C" w:rsidRDefault="007A0679" w:rsidP="007A0679">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Critically ill patients often have systemic activation of both inflammation and coagulation.</w:t>
      </w:r>
    </w:p>
    <w:p w:rsidR="007A0679" w:rsidRPr="00BB3D0C" w:rsidRDefault="007A0679" w:rsidP="007A0679">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There is extensive cross-talk between these two systems, whereby inflammation not only leads to activation of coagulation, but coagulation also considerably affects inflammatory activity</w:t>
      </w:r>
    </w:p>
    <w:p w:rsidR="00D26550" w:rsidRPr="00BB3D0C" w:rsidRDefault="007A0679" w:rsidP="00D26550">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This may have major consequences for the pathogenesis of </w:t>
      </w:r>
      <w:proofErr w:type="spellStart"/>
      <w:r w:rsidRPr="00BB3D0C">
        <w:rPr>
          <w:rFonts w:cstheme="minorHAnsi"/>
          <w:color w:val="231F20"/>
          <w:sz w:val="20"/>
          <w:szCs w:val="20"/>
        </w:rPr>
        <w:t>microvascular</w:t>
      </w:r>
      <w:proofErr w:type="spellEnd"/>
      <w:r w:rsidRPr="00BB3D0C">
        <w:rPr>
          <w:rFonts w:cstheme="minorHAnsi"/>
          <w:color w:val="231F20"/>
          <w:sz w:val="20"/>
          <w:szCs w:val="20"/>
        </w:rPr>
        <w:t xml:space="preserve"> failure and subsequent multiple organ failure, as a result of severe infection and the associated systemic inflammatory response.</w:t>
      </w:r>
    </w:p>
    <w:p w:rsidR="00D26550" w:rsidRPr="00BB3D0C" w:rsidRDefault="00D26550" w:rsidP="00D26550">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Activation of the coagulation system and ensuing thrombin generation is dependent on an interleukin- 6-induced expression of tissue factor on activated mononuclear cells and endothelial cells and is insufficiently counteracted by tissue factor pathway inhibitor.</w:t>
      </w:r>
    </w:p>
    <w:p w:rsidR="002674A2" w:rsidRPr="00BB3D0C" w:rsidRDefault="00D26550" w:rsidP="002674A2">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Simultaneously, endothelial-bound anticoagulant mechanisms, in particular the protein C system and the </w:t>
      </w:r>
      <w:proofErr w:type="spellStart"/>
      <w:r w:rsidRPr="00BB3D0C">
        <w:rPr>
          <w:rFonts w:cstheme="minorHAnsi"/>
          <w:color w:val="231F20"/>
          <w:sz w:val="20"/>
          <w:szCs w:val="20"/>
        </w:rPr>
        <w:t>antithrombin</w:t>
      </w:r>
      <w:proofErr w:type="spellEnd"/>
      <w:r w:rsidRPr="00BB3D0C">
        <w:rPr>
          <w:rFonts w:cstheme="minorHAnsi"/>
          <w:color w:val="231F20"/>
          <w:sz w:val="20"/>
          <w:szCs w:val="20"/>
        </w:rPr>
        <w:t xml:space="preserve"> system, are shut-off by pro-inflammatory cytokines.</w:t>
      </w:r>
    </w:p>
    <w:p w:rsidR="002674A2" w:rsidRPr="00BB3D0C" w:rsidRDefault="002674A2" w:rsidP="002674A2">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Modulation of inflammatory activity by activation of coagulation also occurs by various mechanisms. Activated coagulation proteases, such as the tissue factor-factor </w:t>
      </w:r>
      <w:proofErr w:type="spellStart"/>
      <w:r w:rsidRPr="00BB3D0C">
        <w:rPr>
          <w:rFonts w:cstheme="minorHAnsi"/>
          <w:color w:val="231F20"/>
          <w:sz w:val="20"/>
          <w:szCs w:val="20"/>
        </w:rPr>
        <w:t>VIIa</w:t>
      </w:r>
      <w:proofErr w:type="spellEnd"/>
      <w:r w:rsidRPr="00BB3D0C">
        <w:rPr>
          <w:rFonts w:cstheme="minorHAnsi"/>
          <w:color w:val="231F20"/>
          <w:sz w:val="20"/>
          <w:szCs w:val="20"/>
        </w:rPr>
        <w:t xml:space="preserve"> complex, factor </w:t>
      </w:r>
      <w:proofErr w:type="spellStart"/>
      <w:r w:rsidRPr="00BB3D0C">
        <w:rPr>
          <w:rFonts w:cstheme="minorHAnsi"/>
          <w:color w:val="231F20"/>
          <w:sz w:val="20"/>
          <w:szCs w:val="20"/>
        </w:rPr>
        <w:t>Xa</w:t>
      </w:r>
      <w:proofErr w:type="spellEnd"/>
      <w:r w:rsidRPr="00BB3D0C">
        <w:rPr>
          <w:rFonts w:cstheme="minorHAnsi"/>
          <w:color w:val="231F20"/>
          <w:sz w:val="20"/>
          <w:szCs w:val="20"/>
        </w:rPr>
        <w:t xml:space="preserve"> and thrombin can bind to protease-activated receptors on various cells and the ensuing intracellular signaling leads to increased production of pro-inflammatory cytokines and </w:t>
      </w:r>
      <w:proofErr w:type="spellStart"/>
      <w:r w:rsidRPr="00BB3D0C">
        <w:rPr>
          <w:rFonts w:cstheme="minorHAnsi"/>
          <w:color w:val="231F20"/>
          <w:sz w:val="20"/>
          <w:szCs w:val="20"/>
        </w:rPr>
        <w:t>chemokines</w:t>
      </w:r>
      <w:proofErr w:type="spellEnd"/>
    </w:p>
    <w:p w:rsidR="00D30919" w:rsidRPr="00BB3D0C" w:rsidRDefault="00D30919" w:rsidP="00D30919">
      <w:pPr>
        <w:autoSpaceDE w:val="0"/>
        <w:autoSpaceDN w:val="0"/>
        <w:adjustRightInd w:val="0"/>
        <w:spacing w:after="0" w:line="240" w:lineRule="auto"/>
        <w:rPr>
          <w:rFonts w:cstheme="minorHAnsi"/>
          <w:color w:val="231F20"/>
          <w:sz w:val="20"/>
          <w:szCs w:val="20"/>
        </w:rPr>
      </w:pPr>
    </w:p>
    <w:p w:rsidR="00D30919" w:rsidRPr="00BB3D0C" w:rsidRDefault="00D30919" w:rsidP="00D30919">
      <w:p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All situations that lead to a systemic inflammatory response are associated with some degree of activation of coagulation</w:t>
      </w:r>
    </w:p>
    <w:p w:rsidR="00D30919" w:rsidRPr="00BB3D0C" w:rsidRDefault="00D30919" w:rsidP="00D30919">
      <w:pPr>
        <w:autoSpaceDE w:val="0"/>
        <w:autoSpaceDN w:val="0"/>
        <w:adjustRightInd w:val="0"/>
        <w:spacing w:after="0" w:line="240" w:lineRule="auto"/>
        <w:rPr>
          <w:rFonts w:cstheme="minorHAnsi"/>
          <w:color w:val="231F20"/>
          <w:sz w:val="20"/>
          <w:szCs w:val="20"/>
        </w:rPr>
      </w:pPr>
    </w:p>
    <w:p w:rsidR="00D30919" w:rsidRPr="00BB3D0C" w:rsidRDefault="00D30919" w:rsidP="00D30919">
      <w:p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Pro-inflammatory cytokines (mediators of inflammation) </w:t>
      </w:r>
      <w:r w:rsidRPr="00BB3D0C">
        <w:rPr>
          <w:rFonts w:cstheme="minorHAnsi"/>
          <w:color w:val="231F20"/>
          <w:sz w:val="20"/>
          <w:szCs w:val="20"/>
        </w:rPr>
        <w:sym w:font="Wingdings" w:char="F0E0"/>
      </w:r>
      <w:r w:rsidRPr="00BB3D0C">
        <w:rPr>
          <w:rFonts w:cstheme="minorHAnsi"/>
          <w:color w:val="231F20"/>
          <w:sz w:val="20"/>
          <w:szCs w:val="20"/>
        </w:rPr>
        <w:t xml:space="preserve"> play a role in inflammation induced activation of coagulation. Studies show:</w:t>
      </w:r>
    </w:p>
    <w:p w:rsidR="00D30919" w:rsidRPr="00BB3D0C" w:rsidRDefault="00D30919" w:rsidP="00D30919">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IL-6 (activation of coagulation)</w:t>
      </w:r>
    </w:p>
    <w:p w:rsidR="00D30919" w:rsidRPr="00BB3D0C" w:rsidRDefault="00D30919" w:rsidP="00D30919">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TNF alpha and IL-1 in the regulation of physiological anti-coagulation</w:t>
      </w:r>
    </w:p>
    <w:p w:rsidR="00D30919" w:rsidRPr="00BB3D0C" w:rsidRDefault="00D30919" w:rsidP="00D30919">
      <w:pPr>
        <w:autoSpaceDE w:val="0"/>
        <w:autoSpaceDN w:val="0"/>
        <w:adjustRightInd w:val="0"/>
        <w:spacing w:after="0" w:line="240" w:lineRule="auto"/>
        <w:rPr>
          <w:rFonts w:cstheme="minorHAnsi"/>
          <w:color w:val="231F20"/>
          <w:sz w:val="20"/>
          <w:szCs w:val="20"/>
        </w:rPr>
      </w:pPr>
    </w:p>
    <w:p w:rsidR="00D30919" w:rsidRPr="00BB3D0C" w:rsidRDefault="00D30919" w:rsidP="00D30919">
      <w:p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Concepts:</w:t>
      </w:r>
    </w:p>
    <w:p w:rsidR="00D30919" w:rsidRPr="00BB3D0C" w:rsidRDefault="00D30919" w:rsidP="00D30919">
      <w:pPr>
        <w:pStyle w:val="ListParagraph"/>
        <w:numPr>
          <w:ilvl w:val="0"/>
          <w:numId w:val="2"/>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Inflammation leads to coagulation</w:t>
      </w:r>
    </w:p>
    <w:p w:rsidR="00D30919" w:rsidRPr="00BB3D0C" w:rsidRDefault="00D30919" w:rsidP="00D30919">
      <w:pPr>
        <w:pStyle w:val="ListParagraph"/>
        <w:numPr>
          <w:ilvl w:val="0"/>
          <w:numId w:val="2"/>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Coagulation affected inflammatory activity </w:t>
      </w:r>
      <w:r w:rsidRPr="00BB3D0C">
        <w:rPr>
          <w:rFonts w:cstheme="minorHAnsi"/>
          <w:color w:val="231F20"/>
          <w:sz w:val="20"/>
          <w:szCs w:val="20"/>
        </w:rPr>
        <w:sym w:font="Wingdings" w:char="F0E0"/>
      </w:r>
      <w:r w:rsidRPr="00BB3D0C">
        <w:rPr>
          <w:rFonts w:cstheme="minorHAnsi"/>
          <w:color w:val="231F20"/>
          <w:sz w:val="20"/>
          <w:szCs w:val="20"/>
        </w:rPr>
        <w:t xml:space="preserve"> via specific receptors on inflammatory cells and endothelial cells</w:t>
      </w:r>
    </w:p>
    <w:p w:rsidR="00D30919" w:rsidRPr="00BB3D0C" w:rsidRDefault="00D30919" w:rsidP="00D30919">
      <w:pPr>
        <w:autoSpaceDE w:val="0"/>
        <w:autoSpaceDN w:val="0"/>
        <w:adjustRightInd w:val="0"/>
        <w:spacing w:after="0" w:line="240" w:lineRule="auto"/>
        <w:rPr>
          <w:rFonts w:cstheme="minorHAnsi"/>
          <w:color w:val="231F20"/>
          <w:sz w:val="20"/>
          <w:szCs w:val="20"/>
        </w:rPr>
      </w:pPr>
    </w:p>
    <w:p w:rsidR="00D30919" w:rsidRPr="00BB3D0C" w:rsidRDefault="00D30919" w:rsidP="00D30919">
      <w:p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u w:val="single"/>
        </w:rPr>
        <w:t>Inflammation induced activation of coagulation</w:t>
      </w:r>
      <w:r w:rsidRPr="00BB3D0C">
        <w:rPr>
          <w:rFonts w:cstheme="minorHAnsi"/>
          <w:color w:val="231F20"/>
          <w:sz w:val="20"/>
          <w:szCs w:val="20"/>
        </w:rPr>
        <w:t>:</w:t>
      </w:r>
    </w:p>
    <w:p w:rsidR="0017395E" w:rsidRPr="00BB3D0C" w:rsidRDefault="0017395E" w:rsidP="0017395E">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The main mechanisms of the coagulation derangement during systemic inflammatory activity are:</w:t>
      </w:r>
    </w:p>
    <w:p w:rsidR="0017395E" w:rsidRPr="00BB3D0C" w:rsidRDefault="0017395E" w:rsidP="0017395E">
      <w:pPr>
        <w:pStyle w:val="ListParagraph"/>
        <w:numPr>
          <w:ilvl w:val="0"/>
          <w:numId w:val="3"/>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Tissue factor-mediated thrombin generation</w:t>
      </w:r>
    </w:p>
    <w:p w:rsidR="00D30919" w:rsidRPr="00BB3D0C" w:rsidRDefault="0017395E" w:rsidP="0017395E">
      <w:pPr>
        <w:pStyle w:val="ListParagraph"/>
        <w:numPr>
          <w:ilvl w:val="0"/>
          <w:numId w:val="3"/>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An imbalance or dysfunction of the normal physiologic anticoagulant mechanisms</w:t>
      </w:r>
    </w:p>
    <w:p w:rsidR="00586995" w:rsidRPr="00BB3D0C" w:rsidRDefault="00586995" w:rsidP="00586995">
      <w:pPr>
        <w:autoSpaceDE w:val="0"/>
        <w:autoSpaceDN w:val="0"/>
        <w:adjustRightInd w:val="0"/>
        <w:spacing w:after="0" w:line="240" w:lineRule="auto"/>
        <w:rPr>
          <w:rFonts w:cstheme="minorHAnsi"/>
          <w:color w:val="231F20"/>
          <w:sz w:val="20"/>
          <w:szCs w:val="20"/>
        </w:rPr>
      </w:pPr>
    </w:p>
    <w:p w:rsidR="00586995" w:rsidRPr="00BB3D0C" w:rsidRDefault="00586995" w:rsidP="00586995">
      <w:p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             </w:t>
      </w:r>
      <w:r w:rsidR="0017395E" w:rsidRPr="00BB3D0C">
        <w:rPr>
          <w:rFonts w:cstheme="minorHAnsi"/>
          <w:color w:val="231F20"/>
          <w:sz w:val="20"/>
          <w:szCs w:val="20"/>
        </w:rPr>
        <w:t xml:space="preserve">Also enhanced fibrin formation and decreased removal (due to depression of the </w:t>
      </w:r>
      <w:proofErr w:type="spellStart"/>
      <w:r w:rsidR="0017395E" w:rsidRPr="00BB3D0C">
        <w:rPr>
          <w:rFonts w:cstheme="minorHAnsi"/>
          <w:color w:val="231F20"/>
          <w:sz w:val="20"/>
          <w:szCs w:val="20"/>
        </w:rPr>
        <w:t>fibrinolytic</w:t>
      </w:r>
      <w:proofErr w:type="spellEnd"/>
      <w:r w:rsidR="0017395E" w:rsidRPr="00BB3D0C">
        <w:rPr>
          <w:rFonts w:cstheme="minorHAnsi"/>
          <w:color w:val="231F20"/>
          <w:sz w:val="20"/>
          <w:szCs w:val="20"/>
        </w:rPr>
        <w:t xml:space="preserve"> </w:t>
      </w:r>
    </w:p>
    <w:p w:rsidR="0017395E" w:rsidRPr="00BB3D0C" w:rsidRDefault="00586995" w:rsidP="00586995">
      <w:p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             </w:t>
      </w:r>
      <w:proofErr w:type="gramStart"/>
      <w:r w:rsidR="0017395E" w:rsidRPr="00BB3D0C">
        <w:rPr>
          <w:rFonts w:cstheme="minorHAnsi"/>
          <w:color w:val="231F20"/>
          <w:sz w:val="20"/>
          <w:szCs w:val="20"/>
        </w:rPr>
        <w:t>system</w:t>
      </w:r>
      <w:proofErr w:type="gramEnd"/>
      <w:r w:rsidR="0017395E" w:rsidRPr="00BB3D0C">
        <w:rPr>
          <w:rFonts w:cstheme="minorHAnsi"/>
          <w:color w:val="231F20"/>
          <w:sz w:val="20"/>
          <w:szCs w:val="20"/>
        </w:rPr>
        <w:t>)</w:t>
      </w:r>
    </w:p>
    <w:p w:rsidR="0017395E" w:rsidRPr="00BB3D0C" w:rsidRDefault="0017395E" w:rsidP="0017395E">
      <w:pPr>
        <w:autoSpaceDE w:val="0"/>
        <w:autoSpaceDN w:val="0"/>
        <w:adjustRightInd w:val="0"/>
        <w:spacing w:after="0" w:line="240" w:lineRule="auto"/>
        <w:rPr>
          <w:rFonts w:cstheme="minorHAnsi"/>
          <w:color w:val="231F20"/>
          <w:sz w:val="20"/>
          <w:szCs w:val="20"/>
        </w:rPr>
      </w:pPr>
    </w:p>
    <w:p w:rsidR="0017395E" w:rsidRPr="00BB3D0C" w:rsidRDefault="00A1068F" w:rsidP="0017395E">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The expression of tissue factor appears to be dependent on I-L6 (studies showing inhibition of IL-6 </w:t>
      </w:r>
      <w:proofErr w:type="spellStart"/>
      <w:r w:rsidRPr="00BB3D0C">
        <w:rPr>
          <w:rFonts w:cstheme="minorHAnsi"/>
          <w:color w:val="231F20"/>
          <w:sz w:val="20"/>
          <w:szCs w:val="20"/>
        </w:rPr>
        <w:t>abbrogates</w:t>
      </w:r>
      <w:proofErr w:type="spellEnd"/>
      <w:r w:rsidRPr="00BB3D0C">
        <w:rPr>
          <w:rFonts w:cstheme="minorHAnsi"/>
          <w:color w:val="231F20"/>
          <w:sz w:val="20"/>
          <w:szCs w:val="20"/>
        </w:rPr>
        <w:t xml:space="preserve"> tissue factor dependent thrombin generation</w:t>
      </w:r>
    </w:p>
    <w:p w:rsidR="00586995" w:rsidRPr="00BB3D0C" w:rsidRDefault="00586995" w:rsidP="0017395E">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In severe sepsis, mononuclear cells stimulated by pro-inflammatory cytokines, express TF which leads to systemic activation of coagulation</w:t>
      </w:r>
    </w:p>
    <w:p w:rsidR="00586995" w:rsidRPr="00BB3D0C" w:rsidRDefault="00586995" w:rsidP="0017395E">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Potential alternative sources of TF include endothelial cells, PMN cells and other cell types </w:t>
      </w:r>
    </w:p>
    <w:p w:rsidR="00F57DD0" w:rsidRPr="00BB3D0C" w:rsidRDefault="00F57DD0" w:rsidP="0017395E">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Upon exposure to blood TF binds </w:t>
      </w:r>
      <w:proofErr w:type="spellStart"/>
      <w:r w:rsidRPr="00BB3D0C">
        <w:rPr>
          <w:rFonts w:cstheme="minorHAnsi"/>
          <w:color w:val="231F20"/>
          <w:sz w:val="20"/>
          <w:szCs w:val="20"/>
        </w:rPr>
        <w:t>FVIIa</w:t>
      </w:r>
      <w:proofErr w:type="spellEnd"/>
      <w:r w:rsidRPr="00BB3D0C">
        <w:rPr>
          <w:rFonts w:cstheme="minorHAnsi"/>
          <w:color w:val="231F20"/>
          <w:sz w:val="20"/>
          <w:szCs w:val="20"/>
        </w:rPr>
        <w:t xml:space="preserve"> </w:t>
      </w:r>
      <w:r w:rsidRPr="00BB3D0C">
        <w:rPr>
          <w:rFonts w:cstheme="minorHAnsi"/>
          <w:color w:val="231F20"/>
          <w:sz w:val="20"/>
          <w:szCs w:val="20"/>
        </w:rPr>
        <w:sym w:font="Wingdings" w:char="F0E0"/>
      </w:r>
      <w:r w:rsidRPr="00BB3D0C">
        <w:rPr>
          <w:rFonts w:cstheme="minorHAnsi"/>
          <w:color w:val="231F20"/>
          <w:sz w:val="20"/>
          <w:szCs w:val="20"/>
        </w:rPr>
        <w:t xml:space="preserve"> TF/</w:t>
      </w:r>
      <w:proofErr w:type="spellStart"/>
      <w:r w:rsidRPr="00BB3D0C">
        <w:rPr>
          <w:rFonts w:cstheme="minorHAnsi"/>
          <w:color w:val="231F20"/>
          <w:sz w:val="20"/>
          <w:szCs w:val="20"/>
        </w:rPr>
        <w:t>FVIIa</w:t>
      </w:r>
      <w:proofErr w:type="spellEnd"/>
      <w:r w:rsidRPr="00BB3D0C">
        <w:rPr>
          <w:rFonts w:cstheme="minorHAnsi"/>
          <w:color w:val="231F20"/>
          <w:sz w:val="20"/>
          <w:szCs w:val="20"/>
        </w:rPr>
        <w:t xml:space="preserve"> complex converts FX</w:t>
      </w:r>
      <w:r w:rsidRPr="00BB3D0C">
        <w:rPr>
          <w:rFonts w:cstheme="minorHAnsi"/>
          <w:color w:val="231F20"/>
          <w:sz w:val="20"/>
          <w:szCs w:val="20"/>
        </w:rPr>
        <w:sym w:font="Wingdings" w:char="F0E0"/>
      </w:r>
      <w:proofErr w:type="spellStart"/>
      <w:r w:rsidRPr="00BB3D0C">
        <w:rPr>
          <w:rFonts w:cstheme="minorHAnsi"/>
          <w:color w:val="231F20"/>
          <w:sz w:val="20"/>
          <w:szCs w:val="20"/>
        </w:rPr>
        <w:t>FXa</w:t>
      </w:r>
      <w:proofErr w:type="spellEnd"/>
    </w:p>
    <w:p w:rsidR="00F57DD0" w:rsidRPr="00BB3D0C" w:rsidRDefault="00F57DD0" w:rsidP="0017395E">
      <w:pPr>
        <w:pStyle w:val="ListParagraph"/>
        <w:numPr>
          <w:ilvl w:val="0"/>
          <w:numId w:val="1"/>
        </w:numPr>
        <w:autoSpaceDE w:val="0"/>
        <w:autoSpaceDN w:val="0"/>
        <w:adjustRightInd w:val="0"/>
        <w:spacing w:after="0" w:line="240" w:lineRule="auto"/>
        <w:rPr>
          <w:rFonts w:cstheme="minorHAnsi"/>
          <w:color w:val="231F20"/>
          <w:sz w:val="20"/>
          <w:szCs w:val="20"/>
        </w:rPr>
      </w:pPr>
      <w:proofErr w:type="spellStart"/>
      <w:r w:rsidRPr="00BB3D0C">
        <w:rPr>
          <w:rFonts w:cstheme="minorHAnsi"/>
          <w:color w:val="231F20"/>
          <w:sz w:val="20"/>
          <w:szCs w:val="20"/>
        </w:rPr>
        <w:t>FXa</w:t>
      </w:r>
      <w:proofErr w:type="spellEnd"/>
      <w:r w:rsidRPr="00BB3D0C">
        <w:rPr>
          <w:rFonts w:cstheme="minorHAnsi"/>
          <w:color w:val="231F20"/>
          <w:sz w:val="20"/>
          <w:szCs w:val="20"/>
        </w:rPr>
        <w:t xml:space="preserve"> complexes with </w:t>
      </w:r>
      <w:proofErr w:type="spellStart"/>
      <w:r w:rsidRPr="00BB3D0C">
        <w:rPr>
          <w:rFonts w:cstheme="minorHAnsi"/>
          <w:color w:val="231F20"/>
          <w:sz w:val="20"/>
          <w:szCs w:val="20"/>
        </w:rPr>
        <w:t>FVa</w:t>
      </w:r>
      <w:proofErr w:type="spellEnd"/>
      <w:r w:rsidRPr="00BB3D0C">
        <w:rPr>
          <w:rFonts w:cstheme="minorHAnsi"/>
          <w:color w:val="231F20"/>
          <w:sz w:val="20"/>
          <w:szCs w:val="20"/>
        </w:rPr>
        <w:t xml:space="preserve"> and Pro-thrombin (FII) and calcium (aka </w:t>
      </w:r>
      <w:proofErr w:type="spellStart"/>
      <w:r w:rsidRPr="00BB3D0C">
        <w:rPr>
          <w:rFonts w:cstheme="minorHAnsi"/>
          <w:color w:val="231F20"/>
          <w:sz w:val="20"/>
          <w:szCs w:val="20"/>
        </w:rPr>
        <w:t>prothrombinase</w:t>
      </w:r>
      <w:proofErr w:type="spellEnd"/>
      <w:r w:rsidRPr="00BB3D0C">
        <w:rPr>
          <w:rFonts w:cstheme="minorHAnsi"/>
          <w:color w:val="231F20"/>
          <w:sz w:val="20"/>
          <w:szCs w:val="20"/>
        </w:rPr>
        <w:t xml:space="preserve"> complex) </w:t>
      </w:r>
      <w:r w:rsidRPr="00BB3D0C">
        <w:rPr>
          <w:rFonts w:cstheme="minorHAnsi"/>
          <w:color w:val="231F20"/>
          <w:sz w:val="20"/>
          <w:szCs w:val="20"/>
        </w:rPr>
        <w:sym w:font="Wingdings" w:char="F0E0"/>
      </w:r>
      <w:r w:rsidRPr="00BB3D0C">
        <w:rPr>
          <w:rFonts w:cstheme="minorHAnsi"/>
          <w:color w:val="231F20"/>
          <w:sz w:val="20"/>
          <w:szCs w:val="20"/>
        </w:rPr>
        <w:t xml:space="preserve"> generates thrombin</w:t>
      </w:r>
    </w:p>
    <w:p w:rsidR="00F57DD0" w:rsidRPr="00BB3D0C" w:rsidRDefault="00F57DD0" w:rsidP="00F57DD0">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lastRenderedPageBreak/>
        <w:t>TF/</w:t>
      </w:r>
      <w:proofErr w:type="spellStart"/>
      <w:r w:rsidRPr="00BB3D0C">
        <w:rPr>
          <w:rFonts w:cstheme="minorHAnsi"/>
          <w:color w:val="231F20"/>
          <w:sz w:val="20"/>
          <w:szCs w:val="20"/>
        </w:rPr>
        <w:t>FVIIa</w:t>
      </w:r>
      <w:proofErr w:type="spellEnd"/>
      <w:r w:rsidRPr="00BB3D0C">
        <w:rPr>
          <w:rFonts w:cstheme="minorHAnsi"/>
          <w:color w:val="231F20"/>
          <w:sz w:val="20"/>
          <w:szCs w:val="20"/>
        </w:rPr>
        <w:t xml:space="preserve"> complex activates FIX </w:t>
      </w:r>
      <w:r w:rsidRPr="00BB3D0C">
        <w:rPr>
          <w:rFonts w:cstheme="minorHAnsi"/>
          <w:color w:val="231F20"/>
          <w:sz w:val="20"/>
          <w:szCs w:val="20"/>
        </w:rPr>
        <w:sym w:font="Wingdings" w:char="F0E0"/>
      </w:r>
      <w:r w:rsidRPr="00BB3D0C">
        <w:rPr>
          <w:rFonts w:cstheme="minorHAnsi"/>
          <w:color w:val="231F20"/>
          <w:sz w:val="20"/>
          <w:szCs w:val="20"/>
        </w:rPr>
        <w:t xml:space="preserve"> </w:t>
      </w:r>
      <w:proofErr w:type="spellStart"/>
      <w:r w:rsidRPr="00BB3D0C">
        <w:rPr>
          <w:rFonts w:cstheme="minorHAnsi"/>
          <w:color w:val="231F20"/>
          <w:sz w:val="20"/>
          <w:szCs w:val="20"/>
        </w:rPr>
        <w:t>FIXa</w:t>
      </w:r>
      <w:proofErr w:type="spellEnd"/>
      <w:r w:rsidRPr="00BB3D0C">
        <w:rPr>
          <w:rFonts w:cstheme="minorHAnsi"/>
          <w:color w:val="231F20"/>
          <w:sz w:val="20"/>
          <w:szCs w:val="20"/>
        </w:rPr>
        <w:t xml:space="preserve">; </w:t>
      </w:r>
      <w:proofErr w:type="spellStart"/>
      <w:r w:rsidRPr="00BB3D0C">
        <w:rPr>
          <w:rFonts w:cstheme="minorHAnsi"/>
          <w:color w:val="231F20"/>
          <w:sz w:val="20"/>
          <w:szCs w:val="20"/>
        </w:rPr>
        <w:t>Tenase</w:t>
      </w:r>
      <w:proofErr w:type="spellEnd"/>
      <w:r w:rsidRPr="00BB3D0C">
        <w:rPr>
          <w:rFonts w:cstheme="minorHAnsi"/>
          <w:color w:val="231F20"/>
          <w:sz w:val="20"/>
          <w:szCs w:val="20"/>
        </w:rPr>
        <w:t xml:space="preserve"> complex formation </w:t>
      </w:r>
      <w:proofErr w:type="spellStart"/>
      <w:r w:rsidRPr="00BB3D0C">
        <w:rPr>
          <w:rFonts w:cstheme="minorHAnsi"/>
          <w:color w:val="231F20"/>
          <w:sz w:val="20"/>
          <w:szCs w:val="20"/>
        </w:rPr>
        <w:t>FIXa</w:t>
      </w:r>
      <w:proofErr w:type="spellEnd"/>
      <w:r w:rsidRPr="00BB3D0C">
        <w:rPr>
          <w:rFonts w:cstheme="minorHAnsi"/>
          <w:color w:val="231F20"/>
          <w:sz w:val="20"/>
          <w:szCs w:val="20"/>
        </w:rPr>
        <w:t xml:space="preserve">/FX </w:t>
      </w:r>
      <w:r w:rsidRPr="00BB3D0C">
        <w:rPr>
          <w:rFonts w:cstheme="minorHAnsi"/>
          <w:sz w:val="20"/>
          <w:szCs w:val="20"/>
        </w:rPr>
        <w:sym w:font="Wingdings" w:char="F0E0"/>
      </w:r>
      <w:r w:rsidRPr="00BB3D0C">
        <w:rPr>
          <w:rFonts w:cstheme="minorHAnsi"/>
          <w:color w:val="231F20"/>
          <w:sz w:val="20"/>
          <w:szCs w:val="20"/>
        </w:rPr>
        <w:t xml:space="preserve"> generates additional </w:t>
      </w:r>
      <w:proofErr w:type="spellStart"/>
      <w:r w:rsidRPr="00BB3D0C">
        <w:rPr>
          <w:rFonts w:cstheme="minorHAnsi"/>
          <w:color w:val="231F20"/>
          <w:sz w:val="20"/>
          <w:szCs w:val="20"/>
        </w:rPr>
        <w:t>FXa</w:t>
      </w:r>
      <w:proofErr w:type="spellEnd"/>
      <w:r w:rsidRPr="00BB3D0C">
        <w:rPr>
          <w:rFonts w:cstheme="minorHAnsi"/>
          <w:color w:val="231F20"/>
          <w:sz w:val="20"/>
          <w:szCs w:val="20"/>
        </w:rPr>
        <w:t xml:space="preserve"> (amplification)</w:t>
      </w:r>
    </w:p>
    <w:p w:rsidR="00F57DD0" w:rsidRPr="00BB3D0C" w:rsidRDefault="00F57DD0" w:rsidP="00F57DD0">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Complex formation markedly facilitated by a phospholipid surface (</w:t>
      </w:r>
      <w:proofErr w:type="spellStart"/>
      <w:r w:rsidRPr="00BB3D0C">
        <w:rPr>
          <w:rFonts w:cstheme="minorHAnsi"/>
          <w:color w:val="231F20"/>
          <w:sz w:val="20"/>
          <w:szCs w:val="20"/>
        </w:rPr>
        <w:t>ie</w:t>
      </w:r>
      <w:proofErr w:type="spellEnd"/>
      <w:r w:rsidRPr="00BB3D0C">
        <w:rPr>
          <w:rFonts w:cstheme="minorHAnsi"/>
          <w:color w:val="231F20"/>
          <w:sz w:val="20"/>
          <w:szCs w:val="20"/>
        </w:rPr>
        <w:t>. Activated platelets)</w:t>
      </w:r>
    </w:p>
    <w:p w:rsidR="00F57DD0" w:rsidRPr="00BB3D0C" w:rsidRDefault="00F57DD0" w:rsidP="00F57DD0">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NOTE: thrombin itself is one of the most potent platelet activators </w:t>
      </w:r>
    </w:p>
    <w:p w:rsidR="00F57DD0" w:rsidRPr="00BB3D0C" w:rsidRDefault="00F57DD0" w:rsidP="00F57DD0">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The expression of TF on monocytes is markedly stimulated by the presence of platelets and granulocytes in a P-</w:t>
      </w:r>
      <w:proofErr w:type="spellStart"/>
      <w:r w:rsidRPr="00BB3D0C">
        <w:rPr>
          <w:rFonts w:cstheme="minorHAnsi"/>
          <w:color w:val="231F20"/>
          <w:sz w:val="20"/>
          <w:szCs w:val="20"/>
        </w:rPr>
        <w:t>selectin</w:t>
      </w:r>
      <w:proofErr w:type="spellEnd"/>
      <w:r w:rsidRPr="00BB3D0C">
        <w:rPr>
          <w:rFonts w:cstheme="minorHAnsi"/>
          <w:color w:val="231F20"/>
          <w:sz w:val="20"/>
          <w:szCs w:val="20"/>
        </w:rPr>
        <w:t xml:space="preserve"> dependent manner </w:t>
      </w:r>
    </w:p>
    <w:p w:rsidR="00F57DD0" w:rsidRPr="00BB3D0C" w:rsidRDefault="00F57DD0" w:rsidP="00F57DD0">
      <w:pPr>
        <w:autoSpaceDE w:val="0"/>
        <w:autoSpaceDN w:val="0"/>
        <w:adjustRightInd w:val="0"/>
        <w:spacing w:after="0" w:line="240" w:lineRule="auto"/>
        <w:rPr>
          <w:rFonts w:cstheme="minorHAnsi"/>
          <w:color w:val="231F20"/>
          <w:sz w:val="20"/>
          <w:szCs w:val="20"/>
        </w:rPr>
      </w:pPr>
    </w:p>
    <w:p w:rsidR="00FD0616" w:rsidRPr="00BB3D0C" w:rsidRDefault="00FD0616" w:rsidP="00FD0616">
      <w:pPr>
        <w:autoSpaceDE w:val="0"/>
        <w:autoSpaceDN w:val="0"/>
        <w:adjustRightInd w:val="0"/>
        <w:spacing w:after="0" w:line="240" w:lineRule="auto"/>
        <w:rPr>
          <w:rFonts w:cstheme="minorHAnsi"/>
          <w:color w:val="231F20"/>
          <w:sz w:val="20"/>
          <w:szCs w:val="20"/>
        </w:rPr>
      </w:pPr>
    </w:p>
    <w:p w:rsidR="00F57DD0" w:rsidRPr="00BB3D0C" w:rsidRDefault="00FD0616" w:rsidP="00FD0616">
      <w:p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u w:val="single"/>
        </w:rPr>
        <w:t xml:space="preserve">Two </w:t>
      </w:r>
      <w:r w:rsidR="00F57DD0" w:rsidRPr="00BB3D0C">
        <w:rPr>
          <w:rFonts w:cstheme="minorHAnsi"/>
          <w:color w:val="231F20"/>
          <w:sz w:val="20"/>
          <w:szCs w:val="20"/>
          <w:u w:val="single"/>
        </w:rPr>
        <w:t>way relationship between inflammation and coagulation</w:t>
      </w:r>
      <w:r w:rsidR="00F57DD0" w:rsidRPr="00BB3D0C">
        <w:rPr>
          <w:rFonts w:cstheme="minorHAnsi"/>
          <w:color w:val="231F20"/>
          <w:sz w:val="20"/>
          <w:szCs w:val="20"/>
        </w:rPr>
        <w:t>:</w:t>
      </w:r>
    </w:p>
    <w:p w:rsidR="00A64F2F" w:rsidRPr="00BB3D0C" w:rsidRDefault="009F3284" w:rsidP="00A64F2F">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Coagulation proteases and</w:t>
      </w:r>
      <w:r w:rsidR="00FD0616" w:rsidRPr="00BB3D0C">
        <w:rPr>
          <w:rFonts w:cstheme="minorHAnsi"/>
          <w:color w:val="231F20"/>
          <w:sz w:val="20"/>
          <w:szCs w:val="20"/>
        </w:rPr>
        <w:t xml:space="preserve"> </w:t>
      </w:r>
      <w:r w:rsidRPr="00BB3D0C">
        <w:rPr>
          <w:rFonts w:cstheme="minorHAnsi"/>
          <w:color w:val="231F20"/>
          <w:sz w:val="20"/>
          <w:szCs w:val="20"/>
        </w:rPr>
        <w:t>protease inhibitors not only interact with</w:t>
      </w:r>
      <w:r w:rsidR="00FD0616" w:rsidRPr="00BB3D0C">
        <w:rPr>
          <w:rFonts w:cstheme="minorHAnsi"/>
          <w:color w:val="231F20"/>
          <w:sz w:val="20"/>
          <w:szCs w:val="20"/>
        </w:rPr>
        <w:t xml:space="preserve"> </w:t>
      </w:r>
      <w:r w:rsidRPr="00BB3D0C">
        <w:rPr>
          <w:rFonts w:cstheme="minorHAnsi"/>
          <w:color w:val="231F20"/>
          <w:sz w:val="20"/>
          <w:szCs w:val="20"/>
        </w:rPr>
        <w:t>coagulation protein zymogens, but also</w:t>
      </w:r>
      <w:r w:rsidR="00FD0616" w:rsidRPr="00BB3D0C">
        <w:rPr>
          <w:rFonts w:cstheme="minorHAnsi"/>
          <w:color w:val="231F20"/>
          <w:sz w:val="20"/>
          <w:szCs w:val="20"/>
        </w:rPr>
        <w:t xml:space="preserve"> </w:t>
      </w:r>
      <w:r w:rsidRPr="00BB3D0C">
        <w:rPr>
          <w:rFonts w:cstheme="minorHAnsi"/>
          <w:color w:val="231F20"/>
          <w:sz w:val="20"/>
          <w:szCs w:val="20"/>
        </w:rPr>
        <w:t>with specific cell receptors to induce signaling</w:t>
      </w:r>
      <w:r w:rsidR="00FD0616" w:rsidRPr="00BB3D0C">
        <w:rPr>
          <w:rFonts w:cstheme="minorHAnsi"/>
          <w:color w:val="231F20"/>
          <w:sz w:val="20"/>
          <w:szCs w:val="20"/>
        </w:rPr>
        <w:t xml:space="preserve"> </w:t>
      </w:r>
      <w:r w:rsidRPr="00BB3D0C">
        <w:rPr>
          <w:rFonts w:cstheme="minorHAnsi"/>
          <w:color w:val="231F20"/>
          <w:sz w:val="20"/>
          <w:szCs w:val="20"/>
        </w:rPr>
        <w:t>pathways.</w:t>
      </w:r>
    </w:p>
    <w:p w:rsidR="00A64F2F" w:rsidRPr="00BB3D0C" w:rsidRDefault="00A64F2F" w:rsidP="00A64F2F">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Ex. Administration of recombinant factor </w:t>
      </w:r>
      <w:proofErr w:type="spellStart"/>
      <w:r w:rsidRPr="00BB3D0C">
        <w:rPr>
          <w:rFonts w:cstheme="minorHAnsi"/>
          <w:color w:val="231F20"/>
          <w:sz w:val="20"/>
          <w:szCs w:val="20"/>
        </w:rPr>
        <w:t>VIIa</w:t>
      </w:r>
      <w:proofErr w:type="spellEnd"/>
      <w:r w:rsidRPr="00BB3D0C">
        <w:rPr>
          <w:rFonts w:cstheme="minorHAnsi"/>
          <w:color w:val="231F20"/>
          <w:sz w:val="20"/>
          <w:szCs w:val="20"/>
        </w:rPr>
        <w:t xml:space="preserve"> to healthy human subjects causes a small but significant three- to four-fold rise in plasma levels of IL-6 and IL-8</w:t>
      </w:r>
    </w:p>
    <w:p w:rsidR="00A64F2F" w:rsidRPr="00BB3D0C" w:rsidRDefault="00A64F2F" w:rsidP="00A64F2F">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The mechanism by which coagulation proteases modulate inflammation is by binding to protease activated receptors or PAR’s. Four types (PAR 1–4) have been identified, all belonging to the family of </w:t>
      </w:r>
      <w:proofErr w:type="spellStart"/>
      <w:r w:rsidRPr="00BB3D0C">
        <w:rPr>
          <w:rFonts w:cstheme="minorHAnsi"/>
          <w:color w:val="231F20"/>
          <w:sz w:val="20"/>
          <w:szCs w:val="20"/>
        </w:rPr>
        <w:t>transmembrane</w:t>
      </w:r>
      <w:proofErr w:type="spellEnd"/>
      <w:r w:rsidRPr="00BB3D0C">
        <w:rPr>
          <w:rFonts w:cstheme="minorHAnsi"/>
          <w:color w:val="231F20"/>
          <w:sz w:val="20"/>
          <w:szCs w:val="20"/>
        </w:rPr>
        <w:t xml:space="preserve"> domain, G-protein coupled receptors </w:t>
      </w:r>
    </w:p>
    <w:p w:rsidR="00A64F2F" w:rsidRPr="00BB3D0C" w:rsidRDefault="00A64F2F" w:rsidP="00A64F2F">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A typical feature of PARs is that they serve as their own ligand. </w:t>
      </w:r>
      <w:proofErr w:type="spellStart"/>
      <w:r w:rsidRPr="00BB3D0C">
        <w:rPr>
          <w:rFonts w:cstheme="minorHAnsi"/>
          <w:color w:val="231F20"/>
          <w:sz w:val="20"/>
          <w:szCs w:val="20"/>
        </w:rPr>
        <w:t>Proteolytic</w:t>
      </w:r>
      <w:proofErr w:type="spellEnd"/>
      <w:r w:rsidRPr="00BB3D0C">
        <w:rPr>
          <w:rFonts w:cstheme="minorHAnsi"/>
          <w:color w:val="231F20"/>
          <w:sz w:val="20"/>
          <w:szCs w:val="20"/>
        </w:rPr>
        <w:t xml:space="preserve"> cleavage by an activated coagulation factor leads to the exposure of a neo-</w:t>
      </w:r>
      <w:proofErr w:type="spellStart"/>
      <w:r w:rsidRPr="00BB3D0C">
        <w:rPr>
          <w:rFonts w:cstheme="minorHAnsi"/>
          <w:color w:val="231F20"/>
          <w:sz w:val="20"/>
          <w:szCs w:val="20"/>
        </w:rPr>
        <w:t>aminoterminus</w:t>
      </w:r>
      <w:proofErr w:type="spellEnd"/>
      <w:r w:rsidRPr="00BB3D0C">
        <w:rPr>
          <w:rFonts w:cstheme="minorHAnsi"/>
          <w:color w:val="231F20"/>
          <w:sz w:val="20"/>
          <w:szCs w:val="20"/>
        </w:rPr>
        <w:t xml:space="preserve"> which activates the same receptor </w:t>
      </w:r>
      <w:r w:rsidRPr="00BB3D0C">
        <w:rPr>
          <w:rFonts w:cstheme="minorHAnsi"/>
          <w:color w:val="231F20"/>
          <w:sz w:val="20"/>
          <w:szCs w:val="20"/>
        </w:rPr>
        <w:sym w:font="Wingdings" w:char="F0E0"/>
      </w:r>
      <w:r w:rsidRPr="00BB3D0C">
        <w:rPr>
          <w:rFonts w:cstheme="minorHAnsi"/>
          <w:color w:val="231F20"/>
          <w:sz w:val="20"/>
          <w:szCs w:val="20"/>
        </w:rPr>
        <w:t xml:space="preserve"> initiation of </w:t>
      </w:r>
      <w:proofErr w:type="spellStart"/>
      <w:r w:rsidRPr="00BB3D0C">
        <w:rPr>
          <w:rFonts w:cstheme="minorHAnsi"/>
          <w:color w:val="231F20"/>
          <w:sz w:val="20"/>
          <w:szCs w:val="20"/>
        </w:rPr>
        <w:t>transmembrane</w:t>
      </w:r>
      <w:proofErr w:type="spellEnd"/>
      <w:r w:rsidRPr="00BB3D0C">
        <w:rPr>
          <w:rFonts w:cstheme="minorHAnsi"/>
          <w:color w:val="231F20"/>
          <w:sz w:val="20"/>
          <w:szCs w:val="20"/>
        </w:rPr>
        <w:t xml:space="preserve"> signaling</w:t>
      </w:r>
    </w:p>
    <w:p w:rsidR="00A64F2F" w:rsidRPr="00BB3D0C" w:rsidRDefault="00A64F2F" w:rsidP="00A64F2F">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PARs 1</w:t>
      </w:r>
      <w:proofErr w:type="gramStart"/>
      <w:r w:rsidRPr="00BB3D0C">
        <w:rPr>
          <w:rFonts w:cstheme="minorHAnsi"/>
          <w:color w:val="231F20"/>
          <w:sz w:val="20"/>
          <w:szCs w:val="20"/>
        </w:rPr>
        <w:t>,3,4</w:t>
      </w:r>
      <w:proofErr w:type="gramEnd"/>
      <w:r w:rsidRPr="00BB3D0C">
        <w:rPr>
          <w:rFonts w:cstheme="minorHAnsi"/>
          <w:color w:val="231F20"/>
          <w:sz w:val="20"/>
          <w:szCs w:val="20"/>
        </w:rPr>
        <w:t xml:space="preserve"> </w:t>
      </w:r>
      <w:r w:rsidRPr="00BB3D0C">
        <w:rPr>
          <w:rFonts w:cstheme="minorHAnsi"/>
          <w:color w:val="231F20"/>
          <w:sz w:val="20"/>
          <w:szCs w:val="20"/>
        </w:rPr>
        <w:sym w:font="Wingdings" w:char="F0E0"/>
      </w:r>
      <w:r w:rsidRPr="00BB3D0C">
        <w:rPr>
          <w:rFonts w:cstheme="minorHAnsi"/>
          <w:color w:val="231F20"/>
          <w:sz w:val="20"/>
          <w:szCs w:val="20"/>
        </w:rPr>
        <w:t xml:space="preserve"> thrombin receptors. </w:t>
      </w:r>
    </w:p>
    <w:p w:rsidR="00A64F2F" w:rsidRPr="00BB3D0C" w:rsidRDefault="00A64F2F" w:rsidP="00A64F2F">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PAR 1 can also be a receptor for TF/</w:t>
      </w:r>
      <w:proofErr w:type="spellStart"/>
      <w:r w:rsidRPr="00BB3D0C">
        <w:rPr>
          <w:rFonts w:cstheme="minorHAnsi"/>
          <w:color w:val="231F20"/>
          <w:sz w:val="20"/>
          <w:szCs w:val="20"/>
        </w:rPr>
        <w:t>FVIIa</w:t>
      </w:r>
      <w:proofErr w:type="spellEnd"/>
      <w:r w:rsidRPr="00BB3D0C">
        <w:rPr>
          <w:rFonts w:cstheme="minorHAnsi"/>
          <w:color w:val="231F20"/>
          <w:sz w:val="20"/>
          <w:szCs w:val="20"/>
        </w:rPr>
        <w:t xml:space="preserve"> complex and </w:t>
      </w:r>
      <w:proofErr w:type="spellStart"/>
      <w:r w:rsidRPr="00BB3D0C">
        <w:rPr>
          <w:rFonts w:cstheme="minorHAnsi"/>
          <w:color w:val="231F20"/>
          <w:sz w:val="20"/>
          <w:szCs w:val="20"/>
        </w:rPr>
        <w:t>FXa</w:t>
      </w:r>
      <w:proofErr w:type="spellEnd"/>
    </w:p>
    <w:p w:rsidR="00A64F2F" w:rsidRPr="00BB3D0C" w:rsidRDefault="00A64F2F" w:rsidP="00A64F2F">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PAR 2 </w:t>
      </w:r>
      <w:r w:rsidRPr="00BB3D0C">
        <w:rPr>
          <w:rFonts w:cstheme="minorHAnsi"/>
          <w:color w:val="231F20"/>
          <w:sz w:val="20"/>
          <w:szCs w:val="20"/>
        </w:rPr>
        <w:sym w:font="Wingdings" w:char="F0E0"/>
      </w:r>
      <w:r w:rsidRPr="00BB3D0C">
        <w:rPr>
          <w:rFonts w:cstheme="minorHAnsi"/>
          <w:color w:val="231F20"/>
          <w:sz w:val="20"/>
          <w:szCs w:val="20"/>
        </w:rPr>
        <w:t xml:space="preserve"> TF/</w:t>
      </w:r>
      <w:proofErr w:type="spellStart"/>
      <w:r w:rsidRPr="00BB3D0C">
        <w:rPr>
          <w:rFonts w:cstheme="minorHAnsi"/>
          <w:color w:val="231F20"/>
          <w:sz w:val="20"/>
          <w:szCs w:val="20"/>
        </w:rPr>
        <w:t>FVIIa</w:t>
      </w:r>
      <w:proofErr w:type="spellEnd"/>
      <w:r w:rsidRPr="00BB3D0C">
        <w:rPr>
          <w:rFonts w:cstheme="minorHAnsi"/>
          <w:color w:val="231F20"/>
          <w:sz w:val="20"/>
          <w:szCs w:val="20"/>
        </w:rPr>
        <w:t xml:space="preserve"> or </w:t>
      </w:r>
      <w:proofErr w:type="spellStart"/>
      <w:r w:rsidRPr="00BB3D0C">
        <w:rPr>
          <w:rFonts w:cstheme="minorHAnsi"/>
          <w:color w:val="231F20"/>
          <w:sz w:val="20"/>
          <w:szCs w:val="20"/>
        </w:rPr>
        <w:t>FXa</w:t>
      </w:r>
      <w:proofErr w:type="spellEnd"/>
      <w:r w:rsidRPr="00BB3D0C">
        <w:rPr>
          <w:rFonts w:cstheme="minorHAnsi"/>
          <w:color w:val="231F20"/>
          <w:sz w:val="20"/>
          <w:szCs w:val="20"/>
        </w:rPr>
        <w:t xml:space="preserve"> receptor</w:t>
      </w:r>
    </w:p>
    <w:p w:rsidR="00CF4D42" w:rsidRPr="00BB3D0C" w:rsidRDefault="00CF4D42" w:rsidP="00A64F2F">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Binding of thrombin to its cellular receptor may induce the production of several cytokines</w:t>
      </w:r>
    </w:p>
    <w:p w:rsidR="006B0DB7" w:rsidRPr="00BB3D0C" w:rsidRDefault="006B0DB7" w:rsidP="00A64F2F">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PARs are localized on vascular endothelial cells, mononuclear cells, platelets fibroblasts and smooth muscle cells</w:t>
      </w:r>
    </w:p>
    <w:p w:rsidR="00650552" w:rsidRPr="00BB3D0C" w:rsidRDefault="00650552" w:rsidP="00650552">
      <w:pPr>
        <w:autoSpaceDE w:val="0"/>
        <w:autoSpaceDN w:val="0"/>
        <w:adjustRightInd w:val="0"/>
        <w:spacing w:after="0" w:line="240" w:lineRule="auto"/>
        <w:rPr>
          <w:rFonts w:cstheme="minorHAnsi"/>
          <w:color w:val="231F20"/>
          <w:sz w:val="20"/>
          <w:szCs w:val="20"/>
        </w:rPr>
      </w:pPr>
    </w:p>
    <w:p w:rsidR="00503D25" w:rsidRPr="00BB3D0C" w:rsidRDefault="00650552" w:rsidP="00503D25">
      <w:p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u w:val="single"/>
        </w:rPr>
        <w:t>Anticoagulant pathways</w:t>
      </w:r>
      <w:r w:rsidR="00503D25" w:rsidRPr="00BB3D0C">
        <w:rPr>
          <w:rFonts w:cstheme="minorHAnsi"/>
          <w:color w:val="231F20"/>
          <w:sz w:val="20"/>
          <w:szCs w:val="20"/>
        </w:rPr>
        <w:t>:</w:t>
      </w:r>
    </w:p>
    <w:p w:rsidR="00503D25" w:rsidRPr="00BB3D0C" w:rsidRDefault="00503D25" w:rsidP="00503D25">
      <w:pPr>
        <w:pStyle w:val="ListParagraph"/>
        <w:numPr>
          <w:ilvl w:val="0"/>
          <w:numId w:val="1"/>
        </w:numPr>
        <w:autoSpaceDE w:val="0"/>
        <w:autoSpaceDN w:val="0"/>
        <w:adjustRightInd w:val="0"/>
        <w:spacing w:after="0" w:line="240" w:lineRule="auto"/>
        <w:rPr>
          <w:rFonts w:cstheme="minorHAnsi"/>
          <w:color w:val="231F20"/>
          <w:sz w:val="20"/>
          <w:szCs w:val="20"/>
        </w:rPr>
      </w:pPr>
      <w:proofErr w:type="spellStart"/>
      <w:r w:rsidRPr="00BB3D0C">
        <w:rPr>
          <w:rFonts w:cstheme="minorHAnsi"/>
          <w:color w:val="231F20"/>
          <w:sz w:val="20"/>
          <w:szCs w:val="20"/>
        </w:rPr>
        <w:t>Procoagulant</w:t>
      </w:r>
      <w:proofErr w:type="spellEnd"/>
      <w:r w:rsidRPr="00BB3D0C">
        <w:rPr>
          <w:rFonts w:cstheme="minorHAnsi"/>
          <w:color w:val="231F20"/>
          <w:sz w:val="20"/>
          <w:szCs w:val="20"/>
        </w:rPr>
        <w:t xml:space="preserve"> activity is regulated by three important anticoagulant pathways</w:t>
      </w:r>
    </w:p>
    <w:p w:rsidR="00503D25" w:rsidRPr="00BB3D0C" w:rsidRDefault="00503D25" w:rsidP="00503D25">
      <w:pPr>
        <w:pStyle w:val="ListParagraph"/>
        <w:numPr>
          <w:ilvl w:val="0"/>
          <w:numId w:val="9"/>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Protein C system</w:t>
      </w:r>
    </w:p>
    <w:p w:rsidR="00503D25" w:rsidRPr="00BB3D0C" w:rsidRDefault="00503D25" w:rsidP="00503D25">
      <w:pPr>
        <w:pStyle w:val="ListParagraph"/>
        <w:numPr>
          <w:ilvl w:val="0"/>
          <w:numId w:val="9"/>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AT</w:t>
      </w:r>
    </w:p>
    <w:p w:rsidR="00503D25" w:rsidRPr="00BB3D0C" w:rsidRDefault="00503D25" w:rsidP="00503D25">
      <w:pPr>
        <w:pStyle w:val="ListParagraph"/>
        <w:numPr>
          <w:ilvl w:val="0"/>
          <w:numId w:val="9"/>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TFPI</w:t>
      </w:r>
    </w:p>
    <w:p w:rsidR="00503D25" w:rsidRPr="00BB3D0C" w:rsidRDefault="00503D25" w:rsidP="00503D25">
      <w:pPr>
        <w:pStyle w:val="ListParagraph"/>
        <w:autoSpaceDE w:val="0"/>
        <w:autoSpaceDN w:val="0"/>
        <w:adjustRightInd w:val="0"/>
        <w:spacing w:after="0" w:line="240" w:lineRule="auto"/>
        <w:ind w:left="1080"/>
        <w:rPr>
          <w:rFonts w:cstheme="minorHAnsi"/>
          <w:color w:val="231F20"/>
          <w:sz w:val="20"/>
          <w:szCs w:val="20"/>
        </w:rPr>
      </w:pPr>
    </w:p>
    <w:p w:rsidR="00503D25" w:rsidRPr="00BB3D0C" w:rsidRDefault="00503D25" w:rsidP="00503D25">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There is evidence that an insufficient functioning of the protein C pathway contributes to the derangement of coagulation in sepsis </w:t>
      </w:r>
    </w:p>
    <w:p w:rsidR="00503D25" w:rsidRPr="00BB3D0C" w:rsidRDefault="00503D25" w:rsidP="00503D25">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The circulating zymogen protein C is activated by the endothelial cell-bound </w:t>
      </w:r>
      <w:proofErr w:type="spellStart"/>
      <w:r w:rsidRPr="00BB3D0C">
        <w:rPr>
          <w:rFonts w:cstheme="minorHAnsi"/>
          <w:color w:val="231F20"/>
          <w:sz w:val="20"/>
          <w:szCs w:val="20"/>
        </w:rPr>
        <w:t>thrombomodulin</w:t>
      </w:r>
      <w:proofErr w:type="spellEnd"/>
      <w:r w:rsidRPr="00BB3D0C">
        <w:rPr>
          <w:rFonts w:cstheme="minorHAnsi"/>
          <w:color w:val="231F20"/>
          <w:sz w:val="20"/>
          <w:szCs w:val="20"/>
        </w:rPr>
        <w:t xml:space="preserve"> once this is activated by thrombin.</w:t>
      </w:r>
    </w:p>
    <w:p w:rsidR="00AF29F2" w:rsidRPr="00BB3D0C" w:rsidRDefault="00503D25" w:rsidP="00AF29F2">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 APC acts in concert with its co-factor protein S to </w:t>
      </w:r>
      <w:proofErr w:type="spellStart"/>
      <w:r w:rsidRPr="00BB3D0C">
        <w:rPr>
          <w:rFonts w:cstheme="minorHAnsi"/>
          <w:color w:val="231F20"/>
          <w:sz w:val="20"/>
          <w:szCs w:val="20"/>
        </w:rPr>
        <w:t>proteolytically</w:t>
      </w:r>
      <w:proofErr w:type="spellEnd"/>
      <w:r w:rsidRPr="00BB3D0C">
        <w:rPr>
          <w:rFonts w:cstheme="minorHAnsi"/>
          <w:color w:val="231F20"/>
          <w:sz w:val="20"/>
          <w:szCs w:val="20"/>
        </w:rPr>
        <w:t xml:space="preserve"> degrade the essential coagulation </w:t>
      </w:r>
      <w:r w:rsidR="00AF29F2" w:rsidRPr="00BB3D0C">
        <w:rPr>
          <w:rFonts w:cstheme="minorHAnsi"/>
          <w:color w:val="231F20"/>
          <w:sz w:val="20"/>
          <w:szCs w:val="20"/>
        </w:rPr>
        <w:t xml:space="preserve">co-factors </w:t>
      </w:r>
      <w:proofErr w:type="spellStart"/>
      <w:r w:rsidR="00AF29F2" w:rsidRPr="00BB3D0C">
        <w:rPr>
          <w:rFonts w:cstheme="minorHAnsi"/>
          <w:color w:val="231F20"/>
          <w:sz w:val="20"/>
          <w:szCs w:val="20"/>
        </w:rPr>
        <w:t>Va</w:t>
      </w:r>
      <w:proofErr w:type="spellEnd"/>
      <w:r w:rsidR="00AF29F2" w:rsidRPr="00BB3D0C">
        <w:rPr>
          <w:rFonts w:cstheme="minorHAnsi"/>
          <w:color w:val="231F20"/>
          <w:sz w:val="20"/>
          <w:szCs w:val="20"/>
        </w:rPr>
        <w:t xml:space="preserve"> and </w:t>
      </w:r>
      <w:proofErr w:type="spellStart"/>
      <w:r w:rsidR="00AF29F2" w:rsidRPr="00BB3D0C">
        <w:rPr>
          <w:rFonts w:cstheme="minorHAnsi"/>
          <w:color w:val="231F20"/>
          <w:sz w:val="20"/>
          <w:szCs w:val="20"/>
        </w:rPr>
        <w:t>VIIIa</w:t>
      </w:r>
      <w:proofErr w:type="spellEnd"/>
    </w:p>
    <w:p w:rsidR="00AF29F2" w:rsidRPr="00BB3D0C" w:rsidRDefault="00AF29F2" w:rsidP="00AF29F2">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The endothelial protein C receptor (EPCR) not only accelerates the activation of protein C several-fold, but also serves as a receptor for APC, and binding of APC to this receptor may amplify its anticoagulant and anti-inflammatory effects</w:t>
      </w:r>
    </w:p>
    <w:p w:rsidR="00AF29F2" w:rsidRPr="00BB3D0C" w:rsidRDefault="00AF29F2" w:rsidP="00AF29F2">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In patients with severe inflammation, the protein C system is malfunctioning at virtually all levels:</w:t>
      </w:r>
    </w:p>
    <w:p w:rsidR="00AF29F2" w:rsidRPr="00BB3D0C" w:rsidRDefault="00AF29F2" w:rsidP="00AF29F2">
      <w:pPr>
        <w:pStyle w:val="ListParagraph"/>
        <w:numPr>
          <w:ilvl w:val="0"/>
          <w:numId w:val="1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plasma levels of the zymogen protein C are low or very low, due to impaired synthesis, consumption, and degradation by </w:t>
      </w:r>
      <w:proofErr w:type="spellStart"/>
      <w:r w:rsidRPr="00BB3D0C">
        <w:rPr>
          <w:rFonts w:cstheme="minorHAnsi"/>
          <w:color w:val="231F20"/>
          <w:sz w:val="20"/>
          <w:szCs w:val="20"/>
        </w:rPr>
        <w:t>proteolytic</w:t>
      </w:r>
      <w:proofErr w:type="spellEnd"/>
      <w:r w:rsidRPr="00BB3D0C">
        <w:rPr>
          <w:rFonts w:cstheme="minorHAnsi"/>
          <w:color w:val="231F20"/>
          <w:sz w:val="20"/>
          <w:szCs w:val="20"/>
        </w:rPr>
        <w:t xml:space="preserve"> enzymes, such as neutrophil </w:t>
      </w:r>
      <w:proofErr w:type="spellStart"/>
      <w:r w:rsidRPr="00BB3D0C">
        <w:rPr>
          <w:rFonts w:cstheme="minorHAnsi"/>
          <w:color w:val="231F20"/>
          <w:sz w:val="20"/>
          <w:szCs w:val="20"/>
        </w:rPr>
        <w:t>elastase</w:t>
      </w:r>
      <w:proofErr w:type="spellEnd"/>
      <w:r w:rsidRPr="00BB3D0C">
        <w:rPr>
          <w:rFonts w:cstheme="minorHAnsi"/>
          <w:color w:val="231F20"/>
          <w:sz w:val="20"/>
          <w:szCs w:val="20"/>
        </w:rPr>
        <w:t xml:space="preserve"> </w:t>
      </w:r>
    </w:p>
    <w:p w:rsidR="001C5B3C" w:rsidRPr="00BB3D0C" w:rsidRDefault="00AF29F2" w:rsidP="001C5B3C">
      <w:pPr>
        <w:pStyle w:val="ListParagraph"/>
        <w:numPr>
          <w:ilvl w:val="0"/>
          <w:numId w:val="1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Significant down</w:t>
      </w:r>
      <w:r w:rsidR="00BA67B7" w:rsidRPr="00BB3D0C">
        <w:rPr>
          <w:rFonts w:cstheme="minorHAnsi"/>
          <w:color w:val="231F20"/>
          <w:sz w:val="20"/>
          <w:szCs w:val="20"/>
        </w:rPr>
        <w:t xml:space="preserve"> </w:t>
      </w:r>
      <w:r w:rsidRPr="00BB3D0C">
        <w:rPr>
          <w:rFonts w:cstheme="minorHAnsi"/>
          <w:color w:val="231F20"/>
          <w:sz w:val="20"/>
          <w:szCs w:val="20"/>
        </w:rPr>
        <w:t xml:space="preserve">regulation of </w:t>
      </w:r>
      <w:proofErr w:type="spellStart"/>
      <w:r w:rsidRPr="00BB3D0C">
        <w:rPr>
          <w:rFonts w:cstheme="minorHAnsi"/>
          <w:color w:val="231F20"/>
          <w:sz w:val="20"/>
          <w:szCs w:val="20"/>
        </w:rPr>
        <w:t>thrombomodulin</w:t>
      </w:r>
      <w:proofErr w:type="spellEnd"/>
      <w:r w:rsidRPr="00BB3D0C">
        <w:rPr>
          <w:rFonts w:cstheme="minorHAnsi"/>
          <w:color w:val="231F20"/>
          <w:sz w:val="20"/>
          <w:szCs w:val="20"/>
        </w:rPr>
        <w:t xml:space="preserve">, caused by pro-inflammatory </w:t>
      </w:r>
      <w:r w:rsidR="00BA67B7" w:rsidRPr="00BB3D0C">
        <w:rPr>
          <w:rFonts w:cstheme="minorHAnsi"/>
          <w:color w:val="231F20"/>
          <w:sz w:val="20"/>
          <w:szCs w:val="20"/>
        </w:rPr>
        <w:t>cytokines such as TNF alpha</w:t>
      </w:r>
      <w:r w:rsidRPr="00BB3D0C">
        <w:rPr>
          <w:rFonts w:cstheme="minorHAnsi"/>
          <w:color w:val="231F20"/>
          <w:sz w:val="20"/>
          <w:szCs w:val="20"/>
        </w:rPr>
        <w:t xml:space="preserve"> and IL-1</w:t>
      </w:r>
    </w:p>
    <w:p w:rsidR="001C5B3C" w:rsidRPr="00BB3D0C" w:rsidRDefault="001C5B3C" w:rsidP="001C5B3C">
      <w:pPr>
        <w:pStyle w:val="ListParagraph"/>
        <w:numPr>
          <w:ilvl w:val="0"/>
          <w:numId w:val="1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Low levels of free protein S may further compromise an adequate function of the protein C system</w:t>
      </w:r>
    </w:p>
    <w:p w:rsidR="001C5B3C" w:rsidRPr="00BB3D0C" w:rsidRDefault="001C5B3C" w:rsidP="001C5B3C">
      <w:pPr>
        <w:pStyle w:val="ListParagraph"/>
        <w:numPr>
          <w:ilvl w:val="0"/>
          <w:numId w:val="1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In sepsis the EPCR has shown to be </w:t>
      </w:r>
      <w:proofErr w:type="spellStart"/>
      <w:r w:rsidRPr="00BB3D0C">
        <w:rPr>
          <w:rFonts w:cstheme="minorHAnsi"/>
          <w:color w:val="231F20"/>
          <w:sz w:val="20"/>
          <w:szCs w:val="20"/>
        </w:rPr>
        <w:t>downregulated</w:t>
      </w:r>
      <w:proofErr w:type="spellEnd"/>
      <w:r w:rsidRPr="00BB3D0C">
        <w:rPr>
          <w:rFonts w:cstheme="minorHAnsi"/>
          <w:color w:val="231F20"/>
          <w:sz w:val="20"/>
          <w:szCs w:val="20"/>
        </w:rPr>
        <w:t>, which may further negatively affect the function of the protein C system</w:t>
      </w:r>
    </w:p>
    <w:p w:rsidR="001C5B3C" w:rsidRPr="00BB3D0C" w:rsidRDefault="001C5B3C" w:rsidP="001C5B3C">
      <w:pPr>
        <w:autoSpaceDE w:val="0"/>
        <w:autoSpaceDN w:val="0"/>
        <w:adjustRightInd w:val="0"/>
        <w:spacing w:after="0" w:line="240" w:lineRule="auto"/>
        <w:rPr>
          <w:rFonts w:cstheme="minorHAnsi"/>
          <w:color w:val="231F20"/>
          <w:sz w:val="20"/>
          <w:szCs w:val="20"/>
        </w:rPr>
      </w:pPr>
    </w:p>
    <w:p w:rsidR="001C5B3C" w:rsidRPr="00BB3D0C" w:rsidRDefault="001C5B3C" w:rsidP="001C5B3C">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Apart from these effects, sepsis may cause a resistance toward APC by other mechanisms, which are partly dependent on a sharp increase in factor VIII levels (released from endothelial </w:t>
      </w:r>
      <w:r w:rsidR="004C5638" w:rsidRPr="00BB3D0C">
        <w:rPr>
          <w:rFonts w:cstheme="minorHAnsi"/>
          <w:color w:val="231F20"/>
          <w:sz w:val="20"/>
          <w:szCs w:val="20"/>
        </w:rPr>
        <w:t>cells) and other unidentified me</w:t>
      </w:r>
      <w:r w:rsidRPr="00BB3D0C">
        <w:rPr>
          <w:rFonts w:cstheme="minorHAnsi"/>
          <w:color w:val="231F20"/>
          <w:sz w:val="20"/>
          <w:szCs w:val="20"/>
        </w:rPr>
        <w:t>chanisms</w:t>
      </w:r>
    </w:p>
    <w:p w:rsidR="00D46C88" w:rsidRPr="00BB3D0C" w:rsidRDefault="00D46C88" w:rsidP="00D46C88">
      <w:pPr>
        <w:autoSpaceDE w:val="0"/>
        <w:autoSpaceDN w:val="0"/>
        <w:adjustRightInd w:val="0"/>
        <w:spacing w:after="0" w:line="240" w:lineRule="auto"/>
        <w:rPr>
          <w:rFonts w:cstheme="minorHAnsi"/>
          <w:color w:val="231F20"/>
          <w:sz w:val="20"/>
          <w:szCs w:val="20"/>
        </w:rPr>
      </w:pPr>
    </w:p>
    <w:p w:rsidR="004C5638" w:rsidRPr="00BB3D0C" w:rsidRDefault="004C5638" w:rsidP="00D46C88">
      <w:p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AT (main inhibitor of </w:t>
      </w:r>
      <w:proofErr w:type="spellStart"/>
      <w:r w:rsidRPr="00BB3D0C">
        <w:rPr>
          <w:rFonts w:cstheme="minorHAnsi"/>
          <w:color w:val="231F20"/>
          <w:sz w:val="20"/>
          <w:szCs w:val="20"/>
        </w:rPr>
        <w:t>FXa</w:t>
      </w:r>
      <w:proofErr w:type="spellEnd"/>
      <w:r w:rsidRPr="00BB3D0C">
        <w:rPr>
          <w:rFonts w:cstheme="minorHAnsi"/>
          <w:color w:val="231F20"/>
          <w:sz w:val="20"/>
          <w:szCs w:val="20"/>
        </w:rPr>
        <w:t>)</w:t>
      </w:r>
    </w:p>
    <w:p w:rsidR="004C5638" w:rsidRPr="00BB3D0C" w:rsidRDefault="004C5638" w:rsidP="004C5638">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Heparin induces conformational changes in AT that result in at least a 1000-fold enhancement of AT activity. Thus, the clinical efficacy of heparin is attributed to its interaction with AT</w:t>
      </w:r>
    </w:p>
    <w:p w:rsidR="00D46C88" w:rsidRPr="00BB3D0C" w:rsidRDefault="004C5638" w:rsidP="00D46C88">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During severe inflammatory responses, AT levels are markedly decreased owing to impaired synthesis (as a result of a negative acute phase response), degradation by </w:t>
      </w:r>
      <w:proofErr w:type="spellStart"/>
      <w:r w:rsidRPr="00BB3D0C">
        <w:rPr>
          <w:rFonts w:cstheme="minorHAnsi"/>
          <w:color w:val="231F20"/>
          <w:sz w:val="20"/>
          <w:szCs w:val="20"/>
        </w:rPr>
        <w:t>elastase</w:t>
      </w:r>
      <w:proofErr w:type="spellEnd"/>
      <w:r w:rsidRPr="00BB3D0C">
        <w:rPr>
          <w:rFonts w:cstheme="minorHAnsi"/>
          <w:color w:val="231F20"/>
          <w:sz w:val="20"/>
          <w:szCs w:val="20"/>
        </w:rPr>
        <w:t xml:space="preserve"> from activated neutrophils, and – quantitatively most importantly – consumption as a consequence of ongoing thrombin generation</w:t>
      </w:r>
    </w:p>
    <w:p w:rsidR="00740CE2" w:rsidRPr="00BB3D0C" w:rsidRDefault="00D46C88" w:rsidP="00740CE2">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Pro-inflammatory cytokines can also cause reduced synthesis of </w:t>
      </w:r>
      <w:proofErr w:type="spellStart"/>
      <w:r w:rsidRPr="00BB3D0C">
        <w:rPr>
          <w:rFonts w:cstheme="minorHAnsi"/>
          <w:color w:val="231F20"/>
          <w:sz w:val="20"/>
          <w:szCs w:val="20"/>
        </w:rPr>
        <w:t>glycosaminoglycans</w:t>
      </w:r>
      <w:proofErr w:type="spellEnd"/>
      <w:r w:rsidRPr="00BB3D0C">
        <w:rPr>
          <w:rFonts w:cstheme="minorHAnsi"/>
          <w:color w:val="231F20"/>
          <w:sz w:val="20"/>
          <w:szCs w:val="20"/>
        </w:rPr>
        <w:t xml:space="preserve"> on the endothelial surface, which will also contribute to </w:t>
      </w:r>
      <w:proofErr w:type="spellStart"/>
      <w:r w:rsidRPr="00BB3D0C">
        <w:rPr>
          <w:rFonts w:cstheme="minorHAnsi"/>
          <w:color w:val="231F20"/>
          <w:sz w:val="20"/>
          <w:szCs w:val="20"/>
        </w:rPr>
        <w:t>reduced</w:t>
      </w:r>
      <w:proofErr w:type="spellEnd"/>
      <w:r w:rsidRPr="00BB3D0C">
        <w:rPr>
          <w:rFonts w:cstheme="minorHAnsi"/>
          <w:color w:val="231F20"/>
          <w:sz w:val="20"/>
          <w:szCs w:val="20"/>
        </w:rPr>
        <w:t xml:space="preserve"> AT function, since these </w:t>
      </w:r>
      <w:proofErr w:type="spellStart"/>
      <w:r w:rsidRPr="00BB3D0C">
        <w:rPr>
          <w:rFonts w:cstheme="minorHAnsi"/>
          <w:color w:val="231F20"/>
          <w:sz w:val="20"/>
          <w:szCs w:val="20"/>
        </w:rPr>
        <w:t>glycosaminoglycans</w:t>
      </w:r>
      <w:proofErr w:type="spellEnd"/>
      <w:r w:rsidRPr="00BB3D0C">
        <w:rPr>
          <w:rFonts w:cstheme="minorHAnsi"/>
          <w:color w:val="231F20"/>
          <w:sz w:val="20"/>
          <w:szCs w:val="20"/>
        </w:rPr>
        <w:t xml:space="preserve"> can act as physiological heparin-like cofactors of AT</w:t>
      </w:r>
    </w:p>
    <w:p w:rsidR="00740CE2" w:rsidRPr="00BB3D0C" w:rsidRDefault="00740CE2" w:rsidP="00740CE2">
      <w:pPr>
        <w:pStyle w:val="ListParagraph"/>
        <w:numPr>
          <w:ilvl w:val="0"/>
          <w:numId w:val="1"/>
        </w:numPr>
        <w:autoSpaceDE w:val="0"/>
        <w:autoSpaceDN w:val="0"/>
        <w:adjustRightInd w:val="0"/>
        <w:spacing w:after="0" w:line="240" w:lineRule="auto"/>
        <w:rPr>
          <w:rFonts w:cstheme="minorHAnsi"/>
          <w:color w:val="231F20"/>
          <w:sz w:val="20"/>
          <w:szCs w:val="20"/>
        </w:rPr>
      </w:pPr>
      <w:proofErr w:type="spellStart"/>
      <w:r w:rsidRPr="00BB3D0C">
        <w:rPr>
          <w:rFonts w:cstheme="minorHAnsi"/>
          <w:color w:val="231F20"/>
          <w:sz w:val="20"/>
          <w:szCs w:val="20"/>
        </w:rPr>
        <w:t>Antithrombin</w:t>
      </w:r>
      <w:proofErr w:type="spellEnd"/>
      <w:r w:rsidRPr="00BB3D0C">
        <w:rPr>
          <w:rFonts w:cstheme="minorHAnsi"/>
          <w:color w:val="231F20"/>
          <w:sz w:val="20"/>
          <w:szCs w:val="20"/>
        </w:rPr>
        <w:t xml:space="preserve"> possesses anti-inflammatory properties</w:t>
      </w:r>
    </w:p>
    <w:p w:rsidR="00740CE2" w:rsidRPr="00BB3D0C" w:rsidRDefault="00740CE2" w:rsidP="00740CE2">
      <w:pPr>
        <w:pStyle w:val="ListParagraph"/>
        <w:numPr>
          <w:ilvl w:val="0"/>
          <w:numId w:val="17"/>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thrombin inhibition by AT blunts activation of many inflammatory mediators </w:t>
      </w:r>
    </w:p>
    <w:p w:rsidR="00740CE2" w:rsidRPr="00BB3D0C" w:rsidRDefault="00740CE2" w:rsidP="00BF3309">
      <w:pPr>
        <w:pStyle w:val="ListParagraph"/>
        <w:numPr>
          <w:ilvl w:val="0"/>
          <w:numId w:val="17"/>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Has anti-inflammatory properties independent of anticoagulant activity; AT induces prostacyclin release from endothelial cells. Prostacyclin inhibits platelet activation and aggregation, blocks neutrophil tethering to blood vessels, and decreases endothelial cell production of various cytokines and </w:t>
      </w:r>
      <w:proofErr w:type="spellStart"/>
      <w:r w:rsidRPr="00BB3D0C">
        <w:rPr>
          <w:rFonts w:cstheme="minorHAnsi"/>
          <w:color w:val="231F20"/>
          <w:sz w:val="20"/>
          <w:szCs w:val="20"/>
        </w:rPr>
        <w:t>chemokines</w:t>
      </w:r>
      <w:proofErr w:type="spellEnd"/>
      <w:r w:rsidRPr="00BB3D0C">
        <w:rPr>
          <w:rFonts w:cstheme="minorHAnsi"/>
          <w:color w:val="231F20"/>
          <w:sz w:val="20"/>
          <w:szCs w:val="20"/>
        </w:rPr>
        <w:t>.</w:t>
      </w:r>
      <w:r w:rsidR="00BF3309" w:rsidRPr="00BB3D0C">
        <w:rPr>
          <w:rFonts w:cstheme="minorHAnsi"/>
          <w:color w:val="231F20"/>
          <w:sz w:val="20"/>
          <w:szCs w:val="20"/>
        </w:rPr>
        <w:t xml:space="preserve"> </w:t>
      </w:r>
      <w:proofErr w:type="spellStart"/>
      <w:r w:rsidR="00BF3309" w:rsidRPr="00BB3D0C">
        <w:rPr>
          <w:rFonts w:cstheme="minorHAnsi"/>
          <w:color w:val="231F20"/>
          <w:sz w:val="20"/>
          <w:szCs w:val="20"/>
        </w:rPr>
        <w:t>Antithrombin</w:t>
      </w:r>
      <w:proofErr w:type="spellEnd"/>
      <w:r w:rsidR="00BF3309" w:rsidRPr="00BB3D0C">
        <w:rPr>
          <w:rFonts w:cstheme="minorHAnsi"/>
          <w:color w:val="231F20"/>
          <w:sz w:val="20"/>
          <w:szCs w:val="20"/>
        </w:rPr>
        <w:t xml:space="preserve"> binds to receptors on the cell surfaces of neutrophils, monocytes, and lymphocytes and blocks the interaction of these cells with endothelial cells</w:t>
      </w:r>
      <w:r w:rsidR="003C10AB" w:rsidRPr="00BB3D0C">
        <w:rPr>
          <w:rFonts w:cstheme="minorHAnsi"/>
          <w:color w:val="231F20"/>
          <w:sz w:val="20"/>
          <w:szCs w:val="20"/>
        </w:rPr>
        <w:t xml:space="preserve">. Thus AT directly hinders leukocyte migration and adhesion to endothelial cells </w:t>
      </w:r>
    </w:p>
    <w:p w:rsidR="003C10AB" w:rsidRPr="00BB3D0C" w:rsidRDefault="003C10AB" w:rsidP="003C10AB">
      <w:pPr>
        <w:autoSpaceDE w:val="0"/>
        <w:autoSpaceDN w:val="0"/>
        <w:adjustRightInd w:val="0"/>
        <w:spacing w:after="0" w:line="240" w:lineRule="auto"/>
        <w:rPr>
          <w:rFonts w:cstheme="minorHAnsi"/>
          <w:color w:val="231F20"/>
          <w:sz w:val="20"/>
          <w:szCs w:val="20"/>
        </w:rPr>
      </w:pPr>
    </w:p>
    <w:p w:rsidR="00D46C88" w:rsidRPr="00BB3D0C" w:rsidRDefault="00D46C88" w:rsidP="00D46C88">
      <w:pPr>
        <w:autoSpaceDE w:val="0"/>
        <w:autoSpaceDN w:val="0"/>
        <w:adjustRightInd w:val="0"/>
        <w:spacing w:after="0" w:line="240" w:lineRule="auto"/>
        <w:rPr>
          <w:rFonts w:cstheme="minorHAnsi"/>
          <w:color w:val="231F20"/>
          <w:sz w:val="20"/>
          <w:szCs w:val="20"/>
        </w:rPr>
      </w:pPr>
    </w:p>
    <w:p w:rsidR="00D46C88" w:rsidRPr="00BB3D0C" w:rsidRDefault="00D46C88" w:rsidP="00D46C88">
      <w:p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TFPI (main inhibitor of TF/</w:t>
      </w:r>
      <w:proofErr w:type="spellStart"/>
      <w:r w:rsidRPr="00BB3D0C">
        <w:rPr>
          <w:rFonts w:cstheme="minorHAnsi"/>
          <w:color w:val="231F20"/>
          <w:sz w:val="20"/>
          <w:szCs w:val="20"/>
        </w:rPr>
        <w:t>FVIIa</w:t>
      </w:r>
      <w:proofErr w:type="spellEnd"/>
      <w:r w:rsidRPr="00BB3D0C">
        <w:rPr>
          <w:rFonts w:cstheme="minorHAnsi"/>
          <w:color w:val="231F20"/>
          <w:sz w:val="20"/>
          <w:szCs w:val="20"/>
        </w:rPr>
        <w:t xml:space="preserve"> complex)</w:t>
      </w:r>
    </w:p>
    <w:p w:rsidR="00D46C88" w:rsidRPr="00BB3D0C" w:rsidRDefault="00D46C88" w:rsidP="00D46C88">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Experiments showing that administration of recombinant TFPI blocks inflammation-induced thrombin generation in humans</w:t>
      </w:r>
    </w:p>
    <w:p w:rsidR="00D46C88" w:rsidRPr="00BB3D0C" w:rsidRDefault="00D46C88" w:rsidP="00D46C88">
      <w:pPr>
        <w:autoSpaceDE w:val="0"/>
        <w:autoSpaceDN w:val="0"/>
        <w:adjustRightInd w:val="0"/>
        <w:spacing w:after="0" w:line="240" w:lineRule="auto"/>
        <w:rPr>
          <w:rFonts w:cstheme="minorHAnsi"/>
          <w:color w:val="231F20"/>
          <w:sz w:val="20"/>
          <w:szCs w:val="20"/>
        </w:rPr>
      </w:pPr>
    </w:p>
    <w:p w:rsidR="00D46C88" w:rsidRPr="00BB3D0C" w:rsidRDefault="00D46C88" w:rsidP="00D46C88">
      <w:p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Activated Protein C</w:t>
      </w:r>
    </w:p>
    <w:p w:rsidR="00D46C88" w:rsidRPr="00BB3D0C" w:rsidRDefault="00D46C88" w:rsidP="00D46C88">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APC plays an important role in attenuating the systemic inflammatory response in sepsis</w:t>
      </w:r>
    </w:p>
    <w:p w:rsidR="0084053F" w:rsidRPr="00BB3D0C" w:rsidRDefault="00D46C88" w:rsidP="0084053F">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Support that APC has anti-inflammatory properties comes from in vitro observations, demonstrating an APC binding site on monocytes, that may mediate downstream inflammatory processes and from experiments showing that APC can block NF-</w:t>
      </w:r>
      <w:proofErr w:type="spellStart"/>
      <w:r w:rsidRPr="00BB3D0C">
        <w:rPr>
          <w:rFonts w:cstheme="minorHAnsi"/>
          <w:color w:val="231F20"/>
          <w:sz w:val="20"/>
          <w:szCs w:val="20"/>
        </w:rPr>
        <w:t>kB</w:t>
      </w:r>
      <w:proofErr w:type="spellEnd"/>
      <w:r w:rsidRPr="00BB3D0C">
        <w:rPr>
          <w:rFonts w:cstheme="minorHAnsi"/>
          <w:color w:val="231F20"/>
          <w:sz w:val="20"/>
          <w:szCs w:val="20"/>
        </w:rPr>
        <w:t xml:space="preserve"> nuclear translocation, which is a prerequisite for increases in pro-inflammatory cytokines and adhesion molecules</w:t>
      </w:r>
    </w:p>
    <w:p w:rsidR="0084053F" w:rsidRPr="00BB3D0C" w:rsidRDefault="0084053F" w:rsidP="0084053F">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It is likely that the effects of APC on inflammation are mediated by the EPCR</w:t>
      </w:r>
    </w:p>
    <w:p w:rsidR="0084053F" w:rsidRPr="00BB3D0C" w:rsidRDefault="0084053F" w:rsidP="0084053F">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APC has been shown to inhibit leucocyte </w:t>
      </w:r>
      <w:proofErr w:type="spellStart"/>
      <w:r w:rsidRPr="00BB3D0C">
        <w:rPr>
          <w:rFonts w:cstheme="minorHAnsi"/>
          <w:color w:val="231F20"/>
          <w:sz w:val="20"/>
          <w:szCs w:val="20"/>
        </w:rPr>
        <w:t>chemotaxis</w:t>
      </w:r>
      <w:proofErr w:type="spellEnd"/>
      <w:r w:rsidRPr="00BB3D0C">
        <w:rPr>
          <w:rFonts w:cstheme="minorHAnsi"/>
          <w:color w:val="231F20"/>
          <w:sz w:val="20"/>
          <w:szCs w:val="20"/>
        </w:rPr>
        <w:t xml:space="preserve"> and adhesion of leukocytes to activated endothelium </w:t>
      </w:r>
    </w:p>
    <w:p w:rsidR="0084053F" w:rsidRPr="00BB3D0C" w:rsidRDefault="0084053F" w:rsidP="0084053F">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APC is capable of inhibiting endothelial cell apoptosis, which also seems to be mediated by an EPCR-PAR-1-dependent mechanism</w:t>
      </w:r>
    </w:p>
    <w:p w:rsidR="00F57DD0" w:rsidRPr="00BB3D0C" w:rsidRDefault="00F57DD0" w:rsidP="00F57DD0">
      <w:pPr>
        <w:autoSpaceDE w:val="0"/>
        <w:autoSpaceDN w:val="0"/>
        <w:adjustRightInd w:val="0"/>
        <w:spacing w:after="0" w:line="240" w:lineRule="auto"/>
        <w:rPr>
          <w:rFonts w:cstheme="minorHAnsi"/>
          <w:color w:val="231F20"/>
          <w:sz w:val="20"/>
          <w:szCs w:val="20"/>
          <w:u w:val="single"/>
        </w:rPr>
      </w:pPr>
    </w:p>
    <w:p w:rsidR="00D30919" w:rsidRPr="00BB3D0C" w:rsidRDefault="003C10AB" w:rsidP="00D30919">
      <w:p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u w:val="single"/>
        </w:rPr>
        <w:t>From bench to bedside</w:t>
      </w:r>
      <w:r w:rsidRPr="00BB3D0C">
        <w:rPr>
          <w:rFonts w:cstheme="minorHAnsi"/>
          <w:color w:val="231F20"/>
          <w:sz w:val="20"/>
          <w:szCs w:val="20"/>
        </w:rPr>
        <w:t>:</w:t>
      </w:r>
    </w:p>
    <w:p w:rsidR="003C10AB" w:rsidRPr="00BB3D0C" w:rsidRDefault="003C10AB" w:rsidP="003C10AB">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Based on the notion that depression of the protein C system may significantly contribute to the pathophysiology of DIC, supplementation of (activated) protein C might be beneficial </w:t>
      </w:r>
    </w:p>
    <w:p w:rsidR="0097479A" w:rsidRPr="00BB3D0C" w:rsidRDefault="003C10AB" w:rsidP="0097479A">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A positive effect of </w:t>
      </w:r>
      <w:proofErr w:type="spellStart"/>
      <w:r w:rsidRPr="00BB3D0C">
        <w:rPr>
          <w:rFonts w:cstheme="minorHAnsi"/>
          <w:color w:val="231F20"/>
          <w:sz w:val="20"/>
          <w:szCs w:val="20"/>
        </w:rPr>
        <w:t>rhAPC</w:t>
      </w:r>
      <w:proofErr w:type="spellEnd"/>
      <w:r w:rsidRPr="00BB3D0C">
        <w:rPr>
          <w:rFonts w:cstheme="minorHAnsi"/>
          <w:color w:val="231F20"/>
          <w:sz w:val="20"/>
          <w:szCs w:val="20"/>
        </w:rPr>
        <w:t xml:space="preserve"> was demonstrated in a phase III trial (PROWESS) in patients with sepsis; All-cause mortality at 28 days after inclusion was 24.7% in the </w:t>
      </w:r>
      <w:proofErr w:type="spellStart"/>
      <w:r w:rsidRPr="00BB3D0C">
        <w:rPr>
          <w:rFonts w:cstheme="minorHAnsi"/>
          <w:color w:val="231F20"/>
          <w:sz w:val="20"/>
          <w:szCs w:val="20"/>
        </w:rPr>
        <w:t>rhAPC</w:t>
      </w:r>
      <w:proofErr w:type="spellEnd"/>
      <w:r w:rsidRPr="00BB3D0C">
        <w:rPr>
          <w:rFonts w:cstheme="minorHAnsi"/>
          <w:color w:val="231F20"/>
          <w:sz w:val="20"/>
          <w:szCs w:val="20"/>
        </w:rPr>
        <w:t xml:space="preserve"> group versus 30.8% in the control group (19.4% relative risk reduction). The administration of </w:t>
      </w:r>
      <w:proofErr w:type="spellStart"/>
      <w:r w:rsidRPr="00BB3D0C">
        <w:rPr>
          <w:rFonts w:cstheme="minorHAnsi"/>
          <w:color w:val="231F20"/>
          <w:sz w:val="20"/>
          <w:szCs w:val="20"/>
        </w:rPr>
        <w:t>rhAPC</w:t>
      </w:r>
      <w:proofErr w:type="spellEnd"/>
      <w:r w:rsidRPr="00BB3D0C">
        <w:rPr>
          <w:rFonts w:cstheme="minorHAnsi"/>
          <w:color w:val="231F20"/>
          <w:sz w:val="20"/>
          <w:szCs w:val="20"/>
        </w:rPr>
        <w:t xml:space="preserve"> was demonstrated to cause an amelioration of coagulation abnormalities and </w:t>
      </w:r>
      <w:proofErr w:type="spellStart"/>
      <w:r w:rsidRPr="00BB3D0C">
        <w:rPr>
          <w:rFonts w:cstheme="minorHAnsi"/>
          <w:color w:val="231F20"/>
          <w:sz w:val="20"/>
          <w:szCs w:val="20"/>
        </w:rPr>
        <w:t>rhAPC</w:t>
      </w:r>
      <w:proofErr w:type="spellEnd"/>
      <w:r w:rsidRPr="00BB3D0C">
        <w:rPr>
          <w:rFonts w:cstheme="minorHAnsi"/>
          <w:color w:val="231F20"/>
          <w:sz w:val="20"/>
          <w:szCs w:val="20"/>
        </w:rPr>
        <w:t>-treated patients had less organ failure</w:t>
      </w:r>
    </w:p>
    <w:p w:rsidR="009C2480" w:rsidRPr="00BB3D0C" w:rsidRDefault="0097479A" w:rsidP="009C2480">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A </w:t>
      </w:r>
      <w:proofErr w:type="spellStart"/>
      <w:r w:rsidRPr="00BB3D0C">
        <w:rPr>
          <w:rFonts w:cstheme="minorHAnsi"/>
          <w:color w:val="231F20"/>
          <w:sz w:val="20"/>
          <w:szCs w:val="20"/>
        </w:rPr>
        <w:t>posthoc</w:t>
      </w:r>
      <w:proofErr w:type="spellEnd"/>
      <w:r w:rsidRPr="00BB3D0C">
        <w:rPr>
          <w:rFonts w:cstheme="minorHAnsi"/>
          <w:color w:val="231F20"/>
          <w:sz w:val="20"/>
          <w:szCs w:val="20"/>
        </w:rPr>
        <w:t xml:space="preserve"> analysis of this trial demonstrated that patients with a diagnosis of DIC, according to the DIC scoring system of the ISTH, had a relatively greater benefit of </w:t>
      </w:r>
      <w:proofErr w:type="spellStart"/>
      <w:r w:rsidRPr="00BB3D0C">
        <w:rPr>
          <w:rFonts w:cstheme="minorHAnsi"/>
          <w:color w:val="231F20"/>
          <w:sz w:val="20"/>
          <w:szCs w:val="20"/>
        </w:rPr>
        <w:t>rhAPC</w:t>
      </w:r>
      <w:proofErr w:type="spellEnd"/>
      <w:r w:rsidRPr="00BB3D0C">
        <w:rPr>
          <w:rFonts w:cstheme="minorHAnsi"/>
          <w:color w:val="231F20"/>
          <w:sz w:val="20"/>
          <w:szCs w:val="20"/>
        </w:rPr>
        <w:t xml:space="preserve"> treatment than patients that did not have overt DIC. </w:t>
      </w:r>
      <w:proofErr w:type="spellStart"/>
      <w:r w:rsidRPr="00BB3D0C">
        <w:rPr>
          <w:rFonts w:cstheme="minorHAnsi"/>
          <w:color w:val="231F20"/>
          <w:sz w:val="20"/>
          <w:szCs w:val="20"/>
        </w:rPr>
        <w:t>RhAPC</w:t>
      </w:r>
      <w:proofErr w:type="spellEnd"/>
      <w:r w:rsidRPr="00BB3D0C">
        <w:rPr>
          <w:rFonts w:cstheme="minorHAnsi"/>
          <w:color w:val="231F20"/>
          <w:sz w:val="20"/>
          <w:szCs w:val="20"/>
        </w:rPr>
        <w:t xml:space="preserve"> was shown not to be effective</w:t>
      </w:r>
      <w:r w:rsidR="00D3472A">
        <w:rPr>
          <w:rFonts w:cstheme="minorHAnsi"/>
          <w:color w:val="231F20"/>
          <w:sz w:val="20"/>
          <w:szCs w:val="20"/>
        </w:rPr>
        <w:t xml:space="preserve"> </w:t>
      </w:r>
      <w:r w:rsidRPr="00BB3D0C">
        <w:rPr>
          <w:rFonts w:cstheme="minorHAnsi"/>
          <w:color w:val="231F20"/>
          <w:sz w:val="20"/>
          <w:szCs w:val="20"/>
        </w:rPr>
        <w:t>in patients with sepsis with less severe sepsis.</w:t>
      </w:r>
    </w:p>
    <w:p w:rsidR="009C2480" w:rsidRPr="00BB3D0C" w:rsidRDefault="009C2480" w:rsidP="009C2480">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The use of APC in patients with severe sepsis and multiple organ failure, and in the absence of major risk factors for bleeding, has been advocated in guidelines for the treatment of sepsis</w:t>
      </w:r>
    </w:p>
    <w:p w:rsidR="009C2480" w:rsidRPr="00BB3D0C" w:rsidRDefault="009C2480" w:rsidP="009C2480">
      <w:pPr>
        <w:pStyle w:val="ListParagraph"/>
        <w:numPr>
          <w:ilvl w:val="0"/>
          <w:numId w:val="1"/>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This remains a topic of debate as other studies have not demonstrated a benefit</w:t>
      </w:r>
      <w:r w:rsidR="00D3472A">
        <w:rPr>
          <w:rFonts w:cstheme="minorHAnsi"/>
          <w:color w:val="231F20"/>
          <w:sz w:val="20"/>
          <w:szCs w:val="20"/>
        </w:rPr>
        <w:t>; activated protein C not currently available.</w:t>
      </w:r>
    </w:p>
    <w:p w:rsidR="00D26550" w:rsidRPr="00BB3D0C" w:rsidRDefault="00D26550" w:rsidP="002674A2">
      <w:pPr>
        <w:autoSpaceDE w:val="0"/>
        <w:autoSpaceDN w:val="0"/>
        <w:adjustRightInd w:val="0"/>
        <w:spacing w:after="0" w:line="240" w:lineRule="auto"/>
        <w:rPr>
          <w:rFonts w:cstheme="minorHAnsi"/>
          <w:color w:val="231F20"/>
          <w:sz w:val="20"/>
          <w:szCs w:val="20"/>
        </w:rPr>
      </w:pPr>
    </w:p>
    <w:p w:rsidR="00FC51E5" w:rsidRDefault="00FC51E5" w:rsidP="002674A2">
      <w:pPr>
        <w:autoSpaceDE w:val="0"/>
        <w:autoSpaceDN w:val="0"/>
        <w:adjustRightInd w:val="0"/>
        <w:spacing w:after="0" w:line="240" w:lineRule="auto"/>
        <w:rPr>
          <w:rFonts w:cstheme="minorHAnsi"/>
          <w:b/>
          <w:color w:val="231F20"/>
          <w:sz w:val="20"/>
          <w:szCs w:val="20"/>
        </w:rPr>
      </w:pPr>
    </w:p>
    <w:p w:rsidR="00FC51E5" w:rsidRDefault="00FC51E5" w:rsidP="002674A2">
      <w:pPr>
        <w:autoSpaceDE w:val="0"/>
        <w:autoSpaceDN w:val="0"/>
        <w:adjustRightInd w:val="0"/>
        <w:spacing w:after="0" w:line="240" w:lineRule="auto"/>
        <w:rPr>
          <w:rFonts w:cstheme="minorHAnsi"/>
          <w:b/>
          <w:color w:val="231F20"/>
          <w:sz w:val="20"/>
          <w:szCs w:val="20"/>
        </w:rPr>
      </w:pPr>
    </w:p>
    <w:p w:rsidR="00FC51E5" w:rsidRDefault="00FC51E5" w:rsidP="002674A2">
      <w:pPr>
        <w:autoSpaceDE w:val="0"/>
        <w:autoSpaceDN w:val="0"/>
        <w:adjustRightInd w:val="0"/>
        <w:spacing w:after="0" w:line="240" w:lineRule="auto"/>
        <w:rPr>
          <w:rFonts w:cstheme="minorHAnsi"/>
          <w:b/>
          <w:color w:val="231F20"/>
          <w:sz w:val="20"/>
          <w:szCs w:val="20"/>
        </w:rPr>
      </w:pPr>
    </w:p>
    <w:p w:rsidR="002674A2" w:rsidRPr="00BB3D0C" w:rsidRDefault="00D30919" w:rsidP="002674A2">
      <w:pPr>
        <w:autoSpaceDE w:val="0"/>
        <w:autoSpaceDN w:val="0"/>
        <w:adjustRightInd w:val="0"/>
        <w:spacing w:after="0" w:line="240" w:lineRule="auto"/>
        <w:rPr>
          <w:rFonts w:cstheme="minorHAnsi"/>
          <w:b/>
          <w:color w:val="231F20"/>
          <w:sz w:val="20"/>
          <w:szCs w:val="20"/>
        </w:rPr>
      </w:pPr>
      <w:bookmarkStart w:id="0" w:name="_GoBack"/>
      <w:bookmarkEnd w:id="0"/>
      <w:r w:rsidRPr="00BB3D0C">
        <w:rPr>
          <w:rFonts w:cstheme="minorHAnsi"/>
          <w:b/>
          <w:color w:val="231F20"/>
          <w:sz w:val="20"/>
          <w:szCs w:val="20"/>
        </w:rPr>
        <w:lastRenderedPageBreak/>
        <w:t>Questions:</w:t>
      </w:r>
    </w:p>
    <w:p w:rsidR="00586995" w:rsidRPr="00BB3D0C" w:rsidRDefault="00586995" w:rsidP="00586995">
      <w:pPr>
        <w:pStyle w:val="ListParagraph"/>
        <w:numPr>
          <w:ilvl w:val="0"/>
          <w:numId w:val="4"/>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The main mechanisms of inflammation induced activation of coagulation are tissue factor mediated thrombin generation and an imbalance/dysfunction of normal physiologic anticoagulant mechanisms. T of F?</w:t>
      </w:r>
    </w:p>
    <w:p w:rsidR="006B0DB7" w:rsidRPr="00BB3D0C" w:rsidRDefault="006B0DB7" w:rsidP="006B0DB7">
      <w:pPr>
        <w:pStyle w:val="ListParagraph"/>
        <w:autoSpaceDE w:val="0"/>
        <w:autoSpaceDN w:val="0"/>
        <w:adjustRightInd w:val="0"/>
        <w:spacing w:after="0" w:line="240" w:lineRule="auto"/>
        <w:rPr>
          <w:rFonts w:cstheme="minorHAnsi"/>
          <w:color w:val="231F20"/>
          <w:sz w:val="20"/>
          <w:szCs w:val="20"/>
        </w:rPr>
      </w:pPr>
    </w:p>
    <w:p w:rsidR="00586995" w:rsidRPr="00BB3D0C" w:rsidRDefault="00A64F2F" w:rsidP="00586995">
      <w:pPr>
        <w:pStyle w:val="ListParagraph"/>
        <w:numPr>
          <w:ilvl w:val="0"/>
          <w:numId w:val="4"/>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The</w:t>
      </w:r>
      <w:r w:rsidR="006B0DB7" w:rsidRPr="00BB3D0C">
        <w:rPr>
          <w:rFonts w:cstheme="minorHAnsi"/>
          <w:color w:val="231F20"/>
          <w:sz w:val="20"/>
          <w:szCs w:val="20"/>
        </w:rPr>
        <w:t xml:space="preserve"> main</w:t>
      </w:r>
      <w:r w:rsidRPr="00BB3D0C">
        <w:rPr>
          <w:rFonts w:cstheme="minorHAnsi"/>
          <w:color w:val="231F20"/>
          <w:sz w:val="20"/>
          <w:szCs w:val="20"/>
        </w:rPr>
        <w:t xml:space="preserve"> mechanism by which coagulation proteases modulate inflammation is:</w:t>
      </w:r>
    </w:p>
    <w:p w:rsidR="00A64F2F" w:rsidRPr="00BB3D0C" w:rsidRDefault="00A64F2F" w:rsidP="00A64F2F">
      <w:pPr>
        <w:pStyle w:val="ListParagraph"/>
        <w:numPr>
          <w:ilvl w:val="0"/>
          <w:numId w:val="6"/>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By binding to PARs</w:t>
      </w:r>
    </w:p>
    <w:p w:rsidR="00A64F2F" w:rsidRPr="00BB3D0C" w:rsidRDefault="006B0DB7" w:rsidP="00A64F2F">
      <w:pPr>
        <w:pStyle w:val="ListParagraph"/>
        <w:numPr>
          <w:ilvl w:val="0"/>
          <w:numId w:val="6"/>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Cleavage of cytokines</w:t>
      </w:r>
    </w:p>
    <w:p w:rsidR="006B0DB7" w:rsidRPr="00BB3D0C" w:rsidRDefault="006B0DB7" w:rsidP="00A64F2F">
      <w:pPr>
        <w:pStyle w:val="ListParagraph"/>
        <w:numPr>
          <w:ilvl w:val="0"/>
          <w:numId w:val="6"/>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Platelet </w:t>
      </w:r>
      <w:r w:rsidR="00650552" w:rsidRPr="00BB3D0C">
        <w:rPr>
          <w:rFonts w:cstheme="minorHAnsi"/>
          <w:color w:val="231F20"/>
          <w:sz w:val="20"/>
          <w:szCs w:val="20"/>
        </w:rPr>
        <w:t>activ</w:t>
      </w:r>
      <w:r w:rsidRPr="00BB3D0C">
        <w:rPr>
          <w:rFonts w:cstheme="minorHAnsi"/>
          <w:color w:val="231F20"/>
          <w:sz w:val="20"/>
          <w:szCs w:val="20"/>
        </w:rPr>
        <w:t>ation</w:t>
      </w:r>
    </w:p>
    <w:p w:rsidR="006B0DB7" w:rsidRPr="00BB3D0C" w:rsidRDefault="006B0DB7" w:rsidP="006B0DB7">
      <w:pPr>
        <w:pStyle w:val="ListParagraph"/>
        <w:numPr>
          <w:ilvl w:val="0"/>
          <w:numId w:val="6"/>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None of the above</w:t>
      </w:r>
    </w:p>
    <w:p w:rsidR="006B0DB7" w:rsidRPr="00BB3D0C" w:rsidRDefault="006B0DB7" w:rsidP="006B0DB7">
      <w:pPr>
        <w:pStyle w:val="ListParagraph"/>
        <w:autoSpaceDE w:val="0"/>
        <w:autoSpaceDN w:val="0"/>
        <w:adjustRightInd w:val="0"/>
        <w:spacing w:after="0" w:line="240" w:lineRule="auto"/>
        <w:ind w:left="1080"/>
        <w:rPr>
          <w:rFonts w:cstheme="minorHAnsi"/>
          <w:color w:val="231F20"/>
          <w:sz w:val="20"/>
          <w:szCs w:val="20"/>
        </w:rPr>
      </w:pPr>
    </w:p>
    <w:p w:rsidR="006B0DB7" w:rsidRPr="00BB3D0C" w:rsidRDefault="006B0DB7" w:rsidP="006B0DB7">
      <w:p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       3)    What does PAR stand for?</w:t>
      </w:r>
    </w:p>
    <w:p w:rsidR="007524E2" w:rsidRPr="00BB3D0C" w:rsidRDefault="007524E2" w:rsidP="006B0DB7">
      <w:pPr>
        <w:autoSpaceDE w:val="0"/>
        <w:autoSpaceDN w:val="0"/>
        <w:adjustRightInd w:val="0"/>
        <w:spacing w:after="0" w:line="240" w:lineRule="auto"/>
        <w:rPr>
          <w:rFonts w:cstheme="minorHAnsi"/>
          <w:color w:val="231F20"/>
          <w:sz w:val="20"/>
          <w:szCs w:val="20"/>
        </w:rPr>
      </w:pPr>
    </w:p>
    <w:p w:rsidR="00BB3D0C" w:rsidRDefault="007524E2" w:rsidP="006B0DB7">
      <w:p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       4)    In patients with severe inflammation, which of the following is corre</w:t>
      </w:r>
      <w:r w:rsidR="00BB3D0C">
        <w:rPr>
          <w:rFonts w:cstheme="minorHAnsi"/>
          <w:color w:val="231F20"/>
          <w:sz w:val="20"/>
          <w:szCs w:val="20"/>
        </w:rPr>
        <w:t xml:space="preserve">ct regarding malfunction of the    </w:t>
      </w:r>
    </w:p>
    <w:p w:rsidR="007524E2" w:rsidRPr="00BB3D0C" w:rsidRDefault="00BB3D0C" w:rsidP="006B0DB7">
      <w:pPr>
        <w:autoSpaceDE w:val="0"/>
        <w:autoSpaceDN w:val="0"/>
        <w:adjustRightInd w:val="0"/>
        <w:spacing w:after="0" w:line="240" w:lineRule="auto"/>
        <w:rPr>
          <w:rFonts w:cstheme="minorHAnsi"/>
          <w:color w:val="231F20"/>
          <w:sz w:val="20"/>
          <w:szCs w:val="20"/>
        </w:rPr>
      </w:pPr>
      <w:r>
        <w:rPr>
          <w:rFonts w:cstheme="minorHAnsi"/>
          <w:color w:val="231F20"/>
          <w:sz w:val="20"/>
          <w:szCs w:val="20"/>
        </w:rPr>
        <w:t xml:space="preserve">              </w:t>
      </w:r>
      <w:r w:rsidR="007524E2" w:rsidRPr="00BB3D0C">
        <w:rPr>
          <w:rFonts w:cstheme="minorHAnsi"/>
          <w:color w:val="231F20"/>
          <w:sz w:val="20"/>
          <w:szCs w:val="20"/>
        </w:rPr>
        <w:t>protein C  system?</w:t>
      </w:r>
    </w:p>
    <w:p w:rsidR="007524E2" w:rsidRPr="00BB3D0C" w:rsidRDefault="007524E2" w:rsidP="007524E2">
      <w:pPr>
        <w:pStyle w:val="ListParagraph"/>
        <w:numPr>
          <w:ilvl w:val="0"/>
          <w:numId w:val="15"/>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Low levels of protein C due to impaired synthesis, consumption and degradation by </w:t>
      </w:r>
      <w:proofErr w:type="spellStart"/>
      <w:r w:rsidRPr="00BB3D0C">
        <w:rPr>
          <w:rFonts w:cstheme="minorHAnsi"/>
          <w:color w:val="231F20"/>
          <w:sz w:val="20"/>
          <w:szCs w:val="20"/>
        </w:rPr>
        <w:t>proteolytic</w:t>
      </w:r>
      <w:proofErr w:type="spellEnd"/>
      <w:r w:rsidRPr="00BB3D0C">
        <w:rPr>
          <w:rFonts w:cstheme="minorHAnsi"/>
          <w:color w:val="231F20"/>
          <w:sz w:val="20"/>
          <w:szCs w:val="20"/>
        </w:rPr>
        <w:t xml:space="preserve"> enzymes</w:t>
      </w:r>
    </w:p>
    <w:p w:rsidR="007524E2" w:rsidRPr="00BB3D0C" w:rsidRDefault="007524E2" w:rsidP="007524E2">
      <w:pPr>
        <w:pStyle w:val="ListParagraph"/>
        <w:numPr>
          <w:ilvl w:val="0"/>
          <w:numId w:val="15"/>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 xml:space="preserve">Down regulation of </w:t>
      </w:r>
      <w:proofErr w:type="spellStart"/>
      <w:r w:rsidRPr="00BB3D0C">
        <w:rPr>
          <w:rFonts w:cstheme="minorHAnsi"/>
          <w:color w:val="231F20"/>
          <w:sz w:val="20"/>
          <w:szCs w:val="20"/>
        </w:rPr>
        <w:t>thrombomodulin</w:t>
      </w:r>
      <w:proofErr w:type="spellEnd"/>
      <w:r w:rsidRPr="00BB3D0C">
        <w:rPr>
          <w:rFonts w:cstheme="minorHAnsi"/>
          <w:color w:val="231F20"/>
          <w:sz w:val="20"/>
          <w:szCs w:val="20"/>
        </w:rPr>
        <w:t xml:space="preserve"> caused by pro-inflammatory cytokines</w:t>
      </w:r>
    </w:p>
    <w:p w:rsidR="007524E2" w:rsidRPr="00BB3D0C" w:rsidRDefault="007524E2" w:rsidP="007524E2">
      <w:pPr>
        <w:pStyle w:val="ListParagraph"/>
        <w:numPr>
          <w:ilvl w:val="0"/>
          <w:numId w:val="15"/>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Low levels of protein S</w:t>
      </w:r>
    </w:p>
    <w:p w:rsidR="007524E2" w:rsidRPr="00BB3D0C" w:rsidRDefault="007524E2" w:rsidP="007524E2">
      <w:pPr>
        <w:pStyle w:val="ListParagraph"/>
        <w:numPr>
          <w:ilvl w:val="0"/>
          <w:numId w:val="15"/>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Down regulation of EPCR</w:t>
      </w:r>
    </w:p>
    <w:p w:rsidR="007524E2" w:rsidRPr="00BB3D0C" w:rsidRDefault="007524E2" w:rsidP="007524E2">
      <w:pPr>
        <w:pStyle w:val="ListParagraph"/>
        <w:numPr>
          <w:ilvl w:val="0"/>
          <w:numId w:val="15"/>
        </w:numPr>
        <w:autoSpaceDE w:val="0"/>
        <w:autoSpaceDN w:val="0"/>
        <w:adjustRightInd w:val="0"/>
        <w:spacing w:after="0" w:line="240" w:lineRule="auto"/>
        <w:rPr>
          <w:rFonts w:cstheme="minorHAnsi"/>
          <w:color w:val="231F20"/>
          <w:sz w:val="20"/>
          <w:szCs w:val="20"/>
        </w:rPr>
      </w:pPr>
      <w:r w:rsidRPr="00BB3D0C">
        <w:rPr>
          <w:rFonts w:cstheme="minorHAnsi"/>
          <w:color w:val="231F20"/>
          <w:sz w:val="20"/>
          <w:szCs w:val="20"/>
        </w:rPr>
        <w:t>All of the above</w:t>
      </w:r>
    </w:p>
    <w:p w:rsidR="00D30919" w:rsidRPr="002674A2" w:rsidRDefault="00D30919" w:rsidP="002674A2">
      <w:pPr>
        <w:autoSpaceDE w:val="0"/>
        <w:autoSpaceDN w:val="0"/>
        <w:adjustRightInd w:val="0"/>
        <w:spacing w:after="0" w:line="240" w:lineRule="auto"/>
        <w:rPr>
          <w:rFonts w:ascii="FrutigerLT-Cn" w:hAnsi="FrutigerLT-Cn" w:cs="FrutigerLT-Cn"/>
          <w:color w:val="231F20"/>
          <w:sz w:val="18"/>
          <w:szCs w:val="18"/>
        </w:rPr>
      </w:pPr>
    </w:p>
    <w:sectPr w:rsidR="00D30919" w:rsidRPr="002674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inion-Regular">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LT-C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1986"/>
    <w:multiLevelType w:val="hybridMultilevel"/>
    <w:tmpl w:val="0D4679BA"/>
    <w:lvl w:ilvl="0" w:tplc="4BFED29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6581F0E"/>
    <w:multiLevelType w:val="hybridMultilevel"/>
    <w:tmpl w:val="4C5019C2"/>
    <w:lvl w:ilvl="0" w:tplc="615A57A8">
      <w:start w:val="1"/>
      <w:numFmt w:val="decimal"/>
      <w:lvlText w:val="%1."/>
      <w:lvlJc w:val="left"/>
      <w:pPr>
        <w:ind w:left="1320" w:hanging="360"/>
      </w:pPr>
      <w:rPr>
        <w:rFonts w:hint="default"/>
      </w:rPr>
    </w:lvl>
    <w:lvl w:ilvl="1" w:tplc="10090019" w:tentative="1">
      <w:start w:val="1"/>
      <w:numFmt w:val="lowerLetter"/>
      <w:lvlText w:val="%2."/>
      <w:lvlJc w:val="left"/>
      <w:pPr>
        <w:ind w:left="2040" w:hanging="360"/>
      </w:pPr>
    </w:lvl>
    <w:lvl w:ilvl="2" w:tplc="1009001B" w:tentative="1">
      <w:start w:val="1"/>
      <w:numFmt w:val="lowerRoman"/>
      <w:lvlText w:val="%3."/>
      <w:lvlJc w:val="right"/>
      <w:pPr>
        <w:ind w:left="2760" w:hanging="180"/>
      </w:pPr>
    </w:lvl>
    <w:lvl w:ilvl="3" w:tplc="1009000F" w:tentative="1">
      <w:start w:val="1"/>
      <w:numFmt w:val="decimal"/>
      <w:lvlText w:val="%4."/>
      <w:lvlJc w:val="left"/>
      <w:pPr>
        <w:ind w:left="3480" w:hanging="360"/>
      </w:pPr>
    </w:lvl>
    <w:lvl w:ilvl="4" w:tplc="10090019" w:tentative="1">
      <w:start w:val="1"/>
      <w:numFmt w:val="lowerLetter"/>
      <w:lvlText w:val="%5."/>
      <w:lvlJc w:val="left"/>
      <w:pPr>
        <w:ind w:left="4200" w:hanging="360"/>
      </w:pPr>
    </w:lvl>
    <w:lvl w:ilvl="5" w:tplc="1009001B" w:tentative="1">
      <w:start w:val="1"/>
      <w:numFmt w:val="lowerRoman"/>
      <w:lvlText w:val="%6."/>
      <w:lvlJc w:val="right"/>
      <w:pPr>
        <w:ind w:left="4920" w:hanging="180"/>
      </w:pPr>
    </w:lvl>
    <w:lvl w:ilvl="6" w:tplc="1009000F" w:tentative="1">
      <w:start w:val="1"/>
      <w:numFmt w:val="decimal"/>
      <w:lvlText w:val="%7."/>
      <w:lvlJc w:val="left"/>
      <w:pPr>
        <w:ind w:left="5640" w:hanging="360"/>
      </w:pPr>
    </w:lvl>
    <w:lvl w:ilvl="7" w:tplc="10090019" w:tentative="1">
      <w:start w:val="1"/>
      <w:numFmt w:val="lowerLetter"/>
      <w:lvlText w:val="%8."/>
      <w:lvlJc w:val="left"/>
      <w:pPr>
        <w:ind w:left="6360" w:hanging="360"/>
      </w:pPr>
    </w:lvl>
    <w:lvl w:ilvl="8" w:tplc="1009001B" w:tentative="1">
      <w:start w:val="1"/>
      <w:numFmt w:val="lowerRoman"/>
      <w:lvlText w:val="%9."/>
      <w:lvlJc w:val="right"/>
      <w:pPr>
        <w:ind w:left="7080" w:hanging="180"/>
      </w:pPr>
    </w:lvl>
  </w:abstractNum>
  <w:abstractNum w:abstractNumId="2">
    <w:nsid w:val="1164590B"/>
    <w:multiLevelType w:val="hybridMultilevel"/>
    <w:tmpl w:val="EFD07E44"/>
    <w:lvl w:ilvl="0" w:tplc="66F68266">
      <w:start w:val="4"/>
      <w:numFmt w:val="bullet"/>
      <w:lvlText w:val=""/>
      <w:lvlJc w:val="left"/>
      <w:pPr>
        <w:ind w:left="1425" w:hanging="360"/>
      </w:pPr>
      <w:rPr>
        <w:rFonts w:ascii="Wingdings" w:eastAsiaTheme="minorHAnsi" w:hAnsi="Wingdings" w:cs="Minion-Regular" w:hint="default"/>
      </w:rPr>
    </w:lvl>
    <w:lvl w:ilvl="1" w:tplc="10090003" w:tentative="1">
      <w:start w:val="1"/>
      <w:numFmt w:val="bullet"/>
      <w:lvlText w:val="o"/>
      <w:lvlJc w:val="left"/>
      <w:pPr>
        <w:ind w:left="2145" w:hanging="360"/>
      </w:pPr>
      <w:rPr>
        <w:rFonts w:ascii="Courier New" w:hAnsi="Courier New" w:cs="Courier New" w:hint="default"/>
      </w:rPr>
    </w:lvl>
    <w:lvl w:ilvl="2" w:tplc="10090005" w:tentative="1">
      <w:start w:val="1"/>
      <w:numFmt w:val="bullet"/>
      <w:lvlText w:val=""/>
      <w:lvlJc w:val="left"/>
      <w:pPr>
        <w:ind w:left="2865" w:hanging="360"/>
      </w:pPr>
      <w:rPr>
        <w:rFonts w:ascii="Wingdings" w:hAnsi="Wingdings" w:hint="default"/>
      </w:rPr>
    </w:lvl>
    <w:lvl w:ilvl="3" w:tplc="10090001" w:tentative="1">
      <w:start w:val="1"/>
      <w:numFmt w:val="bullet"/>
      <w:lvlText w:val=""/>
      <w:lvlJc w:val="left"/>
      <w:pPr>
        <w:ind w:left="3585" w:hanging="360"/>
      </w:pPr>
      <w:rPr>
        <w:rFonts w:ascii="Symbol" w:hAnsi="Symbol" w:hint="default"/>
      </w:rPr>
    </w:lvl>
    <w:lvl w:ilvl="4" w:tplc="10090003" w:tentative="1">
      <w:start w:val="1"/>
      <w:numFmt w:val="bullet"/>
      <w:lvlText w:val="o"/>
      <w:lvlJc w:val="left"/>
      <w:pPr>
        <w:ind w:left="4305" w:hanging="360"/>
      </w:pPr>
      <w:rPr>
        <w:rFonts w:ascii="Courier New" w:hAnsi="Courier New" w:cs="Courier New" w:hint="default"/>
      </w:rPr>
    </w:lvl>
    <w:lvl w:ilvl="5" w:tplc="10090005" w:tentative="1">
      <w:start w:val="1"/>
      <w:numFmt w:val="bullet"/>
      <w:lvlText w:val=""/>
      <w:lvlJc w:val="left"/>
      <w:pPr>
        <w:ind w:left="5025" w:hanging="360"/>
      </w:pPr>
      <w:rPr>
        <w:rFonts w:ascii="Wingdings" w:hAnsi="Wingdings" w:hint="default"/>
      </w:rPr>
    </w:lvl>
    <w:lvl w:ilvl="6" w:tplc="10090001" w:tentative="1">
      <w:start w:val="1"/>
      <w:numFmt w:val="bullet"/>
      <w:lvlText w:val=""/>
      <w:lvlJc w:val="left"/>
      <w:pPr>
        <w:ind w:left="5745" w:hanging="360"/>
      </w:pPr>
      <w:rPr>
        <w:rFonts w:ascii="Symbol" w:hAnsi="Symbol" w:hint="default"/>
      </w:rPr>
    </w:lvl>
    <w:lvl w:ilvl="7" w:tplc="10090003" w:tentative="1">
      <w:start w:val="1"/>
      <w:numFmt w:val="bullet"/>
      <w:lvlText w:val="o"/>
      <w:lvlJc w:val="left"/>
      <w:pPr>
        <w:ind w:left="6465" w:hanging="360"/>
      </w:pPr>
      <w:rPr>
        <w:rFonts w:ascii="Courier New" w:hAnsi="Courier New" w:cs="Courier New" w:hint="default"/>
      </w:rPr>
    </w:lvl>
    <w:lvl w:ilvl="8" w:tplc="10090005" w:tentative="1">
      <w:start w:val="1"/>
      <w:numFmt w:val="bullet"/>
      <w:lvlText w:val=""/>
      <w:lvlJc w:val="left"/>
      <w:pPr>
        <w:ind w:left="7185" w:hanging="360"/>
      </w:pPr>
      <w:rPr>
        <w:rFonts w:ascii="Wingdings" w:hAnsi="Wingdings" w:hint="default"/>
      </w:rPr>
    </w:lvl>
  </w:abstractNum>
  <w:abstractNum w:abstractNumId="3">
    <w:nsid w:val="15686D52"/>
    <w:multiLevelType w:val="hybridMultilevel"/>
    <w:tmpl w:val="CD40C326"/>
    <w:lvl w:ilvl="0" w:tplc="DC6E000A">
      <w:start w:val="1"/>
      <w:numFmt w:val="decimal"/>
      <w:lvlText w:val="%1."/>
      <w:lvlJc w:val="left"/>
      <w:pPr>
        <w:ind w:left="1320" w:hanging="360"/>
      </w:pPr>
      <w:rPr>
        <w:rFonts w:hint="default"/>
      </w:rPr>
    </w:lvl>
    <w:lvl w:ilvl="1" w:tplc="10090019" w:tentative="1">
      <w:start w:val="1"/>
      <w:numFmt w:val="lowerLetter"/>
      <w:lvlText w:val="%2."/>
      <w:lvlJc w:val="left"/>
      <w:pPr>
        <w:ind w:left="2040" w:hanging="360"/>
      </w:pPr>
    </w:lvl>
    <w:lvl w:ilvl="2" w:tplc="1009001B" w:tentative="1">
      <w:start w:val="1"/>
      <w:numFmt w:val="lowerRoman"/>
      <w:lvlText w:val="%3."/>
      <w:lvlJc w:val="right"/>
      <w:pPr>
        <w:ind w:left="2760" w:hanging="180"/>
      </w:pPr>
    </w:lvl>
    <w:lvl w:ilvl="3" w:tplc="1009000F" w:tentative="1">
      <w:start w:val="1"/>
      <w:numFmt w:val="decimal"/>
      <w:lvlText w:val="%4."/>
      <w:lvlJc w:val="left"/>
      <w:pPr>
        <w:ind w:left="3480" w:hanging="360"/>
      </w:pPr>
    </w:lvl>
    <w:lvl w:ilvl="4" w:tplc="10090019" w:tentative="1">
      <w:start w:val="1"/>
      <w:numFmt w:val="lowerLetter"/>
      <w:lvlText w:val="%5."/>
      <w:lvlJc w:val="left"/>
      <w:pPr>
        <w:ind w:left="4200" w:hanging="360"/>
      </w:pPr>
    </w:lvl>
    <w:lvl w:ilvl="5" w:tplc="1009001B" w:tentative="1">
      <w:start w:val="1"/>
      <w:numFmt w:val="lowerRoman"/>
      <w:lvlText w:val="%6."/>
      <w:lvlJc w:val="right"/>
      <w:pPr>
        <w:ind w:left="4920" w:hanging="180"/>
      </w:pPr>
    </w:lvl>
    <w:lvl w:ilvl="6" w:tplc="1009000F" w:tentative="1">
      <w:start w:val="1"/>
      <w:numFmt w:val="decimal"/>
      <w:lvlText w:val="%7."/>
      <w:lvlJc w:val="left"/>
      <w:pPr>
        <w:ind w:left="5640" w:hanging="360"/>
      </w:pPr>
    </w:lvl>
    <w:lvl w:ilvl="7" w:tplc="10090019" w:tentative="1">
      <w:start w:val="1"/>
      <w:numFmt w:val="lowerLetter"/>
      <w:lvlText w:val="%8."/>
      <w:lvlJc w:val="left"/>
      <w:pPr>
        <w:ind w:left="6360" w:hanging="360"/>
      </w:pPr>
    </w:lvl>
    <w:lvl w:ilvl="8" w:tplc="1009001B" w:tentative="1">
      <w:start w:val="1"/>
      <w:numFmt w:val="lowerRoman"/>
      <w:lvlText w:val="%9."/>
      <w:lvlJc w:val="right"/>
      <w:pPr>
        <w:ind w:left="7080" w:hanging="180"/>
      </w:pPr>
    </w:lvl>
  </w:abstractNum>
  <w:abstractNum w:abstractNumId="4">
    <w:nsid w:val="1E4F69FE"/>
    <w:multiLevelType w:val="hybridMultilevel"/>
    <w:tmpl w:val="32BCCE84"/>
    <w:lvl w:ilvl="0" w:tplc="2FC2A3C4">
      <w:numFmt w:val="bullet"/>
      <w:lvlText w:val="-"/>
      <w:lvlJc w:val="left"/>
      <w:pPr>
        <w:ind w:left="720" w:hanging="360"/>
      </w:pPr>
      <w:rPr>
        <w:rFonts w:ascii="FrutigerLT-Cn" w:eastAsiaTheme="minorHAnsi" w:hAnsi="FrutigerLT-Cn" w:cs="FrutigerLT-C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330B63FA"/>
    <w:multiLevelType w:val="hybridMultilevel"/>
    <w:tmpl w:val="E63879B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3DA46EBC"/>
    <w:multiLevelType w:val="hybridMultilevel"/>
    <w:tmpl w:val="4C5019C2"/>
    <w:lvl w:ilvl="0" w:tplc="615A57A8">
      <w:start w:val="1"/>
      <w:numFmt w:val="decimal"/>
      <w:lvlText w:val="%1."/>
      <w:lvlJc w:val="left"/>
      <w:pPr>
        <w:ind w:left="1320" w:hanging="360"/>
      </w:pPr>
      <w:rPr>
        <w:rFonts w:hint="default"/>
      </w:rPr>
    </w:lvl>
    <w:lvl w:ilvl="1" w:tplc="10090019" w:tentative="1">
      <w:start w:val="1"/>
      <w:numFmt w:val="lowerLetter"/>
      <w:lvlText w:val="%2."/>
      <w:lvlJc w:val="left"/>
      <w:pPr>
        <w:ind w:left="2040" w:hanging="360"/>
      </w:pPr>
    </w:lvl>
    <w:lvl w:ilvl="2" w:tplc="1009001B" w:tentative="1">
      <w:start w:val="1"/>
      <w:numFmt w:val="lowerRoman"/>
      <w:lvlText w:val="%3."/>
      <w:lvlJc w:val="right"/>
      <w:pPr>
        <w:ind w:left="2760" w:hanging="180"/>
      </w:pPr>
    </w:lvl>
    <w:lvl w:ilvl="3" w:tplc="1009000F" w:tentative="1">
      <w:start w:val="1"/>
      <w:numFmt w:val="decimal"/>
      <w:lvlText w:val="%4."/>
      <w:lvlJc w:val="left"/>
      <w:pPr>
        <w:ind w:left="3480" w:hanging="360"/>
      </w:pPr>
    </w:lvl>
    <w:lvl w:ilvl="4" w:tplc="10090019" w:tentative="1">
      <w:start w:val="1"/>
      <w:numFmt w:val="lowerLetter"/>
      <w:lvlText w:val="%5."/>
      <w:lvlJc w:val="left"/>
      <w:pPr>
        <w:ind w:left="4200" w:hanging="360"/>
      </w:pPr>
    </w:lvl>
    <w:lvl w:ilvl="5" w:tplc="1009001B" w:tentative="1">
      <w:start w:val="1"/>
      <w:numFmt w:val="lowerRoman"/>
      <w:lvlText w:val="%6."/>
      <w:lvlJc w:val="right"/>
      <w:pPr>
        <w:ind w:left="4920" w:hanging="180"/>
      </w:pPr>
    </w:lvl>
    <w:lvl w:ilvl="6" w:tplc="1009000F" w:tentative="1">
      <w:start w:val="1"/>
      <w:numFmt w:val="decimal"/>
      <w:lvlText w:val="%7."/>
      <w:lvlJc w:val="left"/>
      <w:pPr>
        <w:ind w:left="5640" w:hanging="360"/>
      </w:pPr>
    </w:lvl>
    <w:lvl w:ilvl="7" w:tplc="10090019" w:tentative="1">
      <w:start w:val="1"/>
      <w:numFmt w:val="lowerLetter"/>
      <w:lvlText w:val="%8."/>
      <w:lvlJc w:val="left"/>
      <w:pPr>
        <w:ind w:left="6360" w:hanging="360"/>
      </w:pPr>
    </w:lvl>
    <w:lvl w:ilvl="8" w:tplc="1009001B" w:tentative="1">
      <w:start w:val="1"/>
      <w:numFmt w:val="lowerRoman"/>
      <w:lvlText w:val="%9."/>
      <w:lvlJc w:val="right"/>
      <w:pPr>
        <w:ind w:left="7080" w:hanging="180"/>
      </w:pPr>
    </w:lvl>
  </w:abstractNum>
  <w:abstractNum w:abstractNumId="7">
    <w:nsid w:val="41B905D9"/>
    <w:multiLevelType w:val="hybridMultilevel"/>
    <w:tmpl w:val="4C5019C2"/>
    <w:lvl w:ilvl="0" w:tplc="615A57A8">
      <w:start w:val="1"/>
      <w:numFmt w:val="decimal"/>
      <w:lvlText w:val="%1."/>
      <w:lvlJc w:val="left"/>
      <w:pPr>
        <w:ind w:left="1320" w:hanging="360"/>
      </w:pPr>
      <w:rPr>
        <w:rFonts w:hint="default"/>
      </w:rPr>
    </w:lvl>
    <w:lvl w:ilvl="1" w:tplc="10090019" w:tentative="1">
      <w:start w:val="1"/>
      <w:numFmt w:val="lowerLetter"/>
      <w:lvlText w:val="%2."/>
      <w:lvlJc w:val="left"/>
      <w:pPr>
        <w:ind w:left="2040" w:hanging="360"/>
      </w:pPr>
    </w:lvl>
    <w:lvl w:ilvl="2" w:tplc="1009001B" w:tentative="1">
      <w:start w:val="1"/>
      <w:numFmt w:val="lowerRoman"/>
      <w:lvlText w:val="%3."/>
      <w:lvlJc w:val="right"/>
      <w:pPr>
        <w:ind w:left="2760" w:hanging="180"/>
      </w:pPr>
    </w:lvl>
    <w:lvl w:ilvl="3" w:tplc="1009000F" w:tentative="1">
      <w:start w:val="1"/>
      <w:numFmt w:val="decimal"/>
      <w:lvlText w:val="%4."/>
      <w:lvlJc w:val="left"/>
      <w:pPr>
        <w:ind w:left="3480" w:hanging="360"/>
      </w:pPr>
    </w:lvl>
    <w:lvl w:ilvl="4" w:tplc="10090019" w:tentative="1">
      <w:start w:val="1"/>
      <w:numFmt w:val="lowerLetter"/>
      <w:lvlText w:val="%5."/>
      <w:lvlJc w:val="left"/>
      <w:pPr>
        <w:ind w:left="4200" w:hanging="360"/>
      </w:pPr>
    </w:lvl>
    <w:lvl w:ilvl="5" w:tplc="1009001B" w:tentative="1">
      <w:start w:val="1"/>
      <w:numFmt w:val="lowerRoman"/>
      <w:lvlText w:val="%6."/>
      <w:lvlJc w:val="right"/>
      <w:pPr>
        <w:ind w:left="4920" w:hanging="180"/>
      </w:pPr>
    </w:lvl>
    <w:lvl w:ilvl="6" w:tplc="1009000F" w:tentative="1">
      <w:start w:val="1"/>
      <w:numFmt w:val="decimal"/>
      <w:lvlText w:val="%7."/>
      <w:lvlJc w:val="left"/>
      <w:pPr>
        <w:ind w:left="5640" w:hanging="360"/>
      </w:pPr>
    </w:lvl>
    <w:lvl w:ilvl="7" w:tplc="10090019" w:tentative="1">
      <w:start w:val="1"/>
      <w:numFmt w:val="lowerLetter"/>
      <w:lvlText w:val="%8."/>
      <w:lvlJc w:val="left"/>
      <w:pPr>
        <w:ind w:left="6360" w:hanging="360"/>
      </w:pPr>
    </w:lvl>
    <w:lvl w:ilvl="8" w:tplc="1009001B" w:tentative="1">
      <w:start w:val="1"/>
      <w:numFmt w:val="lowerRoman"/>
      <w:lvlText w:val="%9."/>
      <w:lvlJc w:val="right"/>
      <w:pPr>
        <w:ind w:left="7080" w:hanging="180"/>
      </w:pPr>
    </w:lvl>
  </w:abstractNum>
  <w:abstractNum w:abstractNumId="8">
    <w:nsid w:val="433C173F"/>
    <w:multiLevelType w:val="hybridMultilevel"/>
    <w:tmpl w:val="2DEE8C8E"/>
    <w:lvl w:ilvl="0" w:tplc="E272CEE8">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nsid w:val="5C7663DC"/>
    <w:multiLevelType w:val="hybridMultilevel"/>
    <w:tmpl w:val="6688CB66"/>
    <w:lvl w:ilvl="0" w:tplc="043E16D6">
      <w:start w:val="1"/>
      <w:numFmt w:val="decimal"/>
      <w:lvlText w:val="%1."/>
      <w:lvlJc w:val="left"/>
      <w:pPr>
        <w:ind w:left="1320" w:hanging="360"/>
      </w:pPr>
      <w:rPr>
        <w:rFonts w:hint="default"/>
      </w:rPr>
    </w:lvl>
    <w:lvl w:ilvl="1" w:tplc="10090019" w:tentative="1">
      <w:start w:val="1"/>
      <w:numFmt w:val="lowerLetter"/>
      <w:lvlText w:val="%2."/>
      <w:lvlJc w:val="left"/>
      <w:pPr>
        <w:ind w:left="2040" w:hanging="360"/>
      </w:pPr>
    </w:lvl>
    <w:lvl w:ilvl="2" w:tplc="1009001B" w:tentative="1">
      <w:start w:val="1"/>
      <w:numFmt w:val="lowerRoman"/>
      <w:lvlText w:val="%3."/>
      <w:lvlJc w:val="right"/>
      <w:pPr>
        <w:ind w:left="2760" w:hanging="180"/>
      </w:pPr>
    </w:lvl>
    <w:lvl w:ilvl="3" w:tplc="1009000F" w:tentative="1">
      <w:start w:val="1"/>
      <w:numFmt w:val="decimal"/>
      <w:lvlText w:val="%4."/>
      <w:lvlJc w:val="left"/>
      <w:pPr>
        <w:ind w:left="3480" w:hanging="360"/>
      </w:pPr>
    </w:lvl>
    <w:lvl w:ilvl="4" w:tplc="10090019" w:tentative="1">
      <w:start w:val="1"/>
      <w:numFmt w:val="lowerLetter"/>
      <w:lvlText w:val="%5."/>
      <w:lvlJc w:val="left"/>
      <w:pPr>
        <w:ind w:left="4200" w:hanging="360"/>
      </w:pPr>
    </w:lvl>
    <w:lvl w:ilvl="5" w:tplc="1009001B" w:tentative="1">
      <w:start w:val="1"/>
      <w:numFmt w:val="lowerRoman"/>
      <w:lvlText w:val="%6."/>
      <w:lvlJc w:val="right"/>
      <w:pPr>
        <w:ind w:left="4920" w:hanging="180"/>
      </w:pPr>
    </w:lvl>
    <w:lvl w:ilvl="6" w:tplc="1009000F" w:tentative="1">
      <w:start w:val="1"/>
      <w:numFmt w:val="decimal"/>
      <w:lvlText w:val="%7."/>
      <w:lvlJc w:val="left"/>
      <w:pPr>
        <w:ind w:left="5640" w:hanging="360"/>
      </w:pPr>
    </w:lvl>
    <w:lvl w:ilvl="7" w:tplc="10090019" w:tentative="1">
      <w:start w:val="1"/>
      <w:numFmt w:val="lowerLetter"/>
      <w:lvlText w:val="%8."/>
      <w:lvlJc w:val="left"/>
      <w:pPr>
        <w:ind w:left="6360" w:hanging="360"/>
      </w:pPr>
    </w:lvl>
    <w:lvl w:ilvl="8" w:tplc="1009001B" w:tentative="1">
      <w:start w:val="1"/>
      <w:numFmt w:val="lowerRoman"/>
      <w:lvlText w:val="%9."/>
      <w:lvlJc w:val="right"/>
      <w:pPr>
        <w:ind w:left="7080" w:hanging="180"/>
      </w:pPr>
    </w:lvl>
  </w:abstractNum>
  <w:abstractNum w:abstractNumId="10">
    <w:nsid w:val="5FF92ABF"/>
    <w:multiLevelType w:val="hybridMultilevel"/>
    <w:tmpl w:val="F92A5272"/>
    <w:lvl w:ilvl="0" w:tplc="6D56D64E">
      <w:start w:val="1"/>
      <w:numFmt w:val="decimal"/>
      <w:lvlText w:val="%1&gt;"/>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nsid w:val="66F91AB5"/>
    <w:multiLevelType w:val="hybridMultilevel"/>
    <w:tmpl w:val="90A8E7BC"/>
    <w:lvl w:ilvl="0" w:tplc="65D88BF4">
      <w:start w:val="1"/>
      <w:numFmt w:val="decimal"/>
      <w:lvlText w:val="%1&gt;"/>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nsid w:val="6DE703C6"/>
    <w:multiLevelType w:val="hybridMultilevel"/>
    <w:tmpl w:val="AD58BEDA"/>
    <w:lvl w:ilvl="0" w:tplc="F208DF4A">
      <w:start w:val="1"/>
      <w:numFmt w:val="upperLetter"/>
      <w:lvlText w:val="%1)"/>
      <w:lvlJc w:val="left"/>
      <w:pPr>
        <w:ind w:left="1065" w:hanging="360"/>
      </w:pPr>
      <w:rPr>
        <w:rFonts w:hint="default"/>
      </w:rPr>
    </w:lvl>
    <w:lvl w:ilvl="1" w:tplc="10090019" w:tentative="1">
      <w:start w:val="1"/>
      <w:numFmt w:val="lowerLetter"/>
      <w:lvlText w:val="%2."/>
      <w:lvlJc w:val="left"/>
      <w:pPr>
        <w:ind w:left="1785" w:hanging="360"/>
      </w:pPr>
    </w:lvl>
    <w:lvl w:ilvl="2" w:tplc="1009001B" w:tentative="1">
      <w:start w:val="1"/>
      <w:numFmt w:val="lowerRoman"/>
      <w:lvlText w:val="%3."/>
      <w:lvlJc w:val="right"/>
      <w:pPr>
        <w:ind w:left="2505" w:hanging="180"/>
      </w:pPr>
    </w:lvl>
    <w:lvl w:ilvl="3" w:tplc="1009000F" w:tentative="1">
      <w:start w:val="1"/>
      <w:numFmt w:val="decimal"/>
      <w:lvlText w:val="%4."/>
      <w:lvlJc w:val="left"/>
      <w:pPr>
        <w:ind w:left="3225" w:hanging="360"/>
      </w:pPr>
    </w:lvl>
    <w:lvl w:ilvl="4" w:tplc="10090019" w:tentative="1">
      <w:start w:val="1"/>
      <w:numFmt w:val="lowerLetter"/>
      <w:lvlText w:val="%5."/>
      <w:lvlJc w:val="left"/>
      <w:pPr>
        <w:ind w:left="3945" w:hanging="360"/>
      </w:pPr>
    </w:lvl>
    <w:lvl w:ilvl="5" w:tplc="1009001B" w:tentative="1">
      <w:start w:val="1"/>
      <w:numFmt w:val="lowerRoman"/>
      <w:lvlText w:val="%6."/>
      <w:lvlJc w:val="right"/>
      <w:pPr>
        <w:ind w:left="4665" w:hanging="180"/>
      </w:pPr>
    </w:lvl>
    <w:lvl w:ilvl="6" w:tplc="1009000F" w:tentative="1">
      <w:start w:val="1"/>
      <w:numFmt w:val="decimal"/>
      <w:lvlText w:val="%7."/>
      <w:lvlJc w:val="left"/>
      <w:pPr>
        <w:ind w:left="5385" w:hanging="360"/>
      </w:pPr>
    </w:lvl>
    <w:lvl w:ilvl="7" w:tplc="10090019" w:tentative="1">
      <w:start w:val="1"/>
      <w:numFmt w:val="lowerLetter"/>
      <w:lvlText w:val="%8."/>
      <w:lvlJc w:val="left"/>
      <w:pPr>
        <w:ind w:left="6105" w:hanging="360"/>
      </w:pPr>
    </w:lvl>
    <w:lvl w:ilvl="8" w:tplc="1009001B" w:tentative="1">
      <w:start w:val="1"/>
      <w:numFmt w:val="lowerRoman"/>
      <w:lvlText w:val="%9."/>
      <w:lvlJc w:val="right"/>
      <w:pPr>
        <w:ind w:left="6825" w:hanging="180"/>
      </w:pPr>
    </w:lvl>
  </w:abstractNum>
  <w:abstractNum w:abstractNumId="13">
    <w:nsid w:val="70C801B2"/>
    <w:multiLevelType w:val="hybridMultilevel"/>
    <w:tmpl w:val="07E8C9D2"/>
    <w:lvl w:ilvl="0" w:tplc="094CF50A">
      <w:start w:val="4"/>
      <w:numFmt w:val="bullet"/>
      <w:lvlText w:val=""/>
      <w:lvlJc w:val="left"/>
      <w:pPr>
        <w:ind w:left="1485" w:hanging="360"/>
      </w:pPr>
      <w:rPr>
        <w:rFonts w:ascii="Wingdings" w:eastAsiaTheme="minorHAnsi" w:hAnsi="Wingdings" w:cs="Minion-Regular" w:hint="default"/>
      </w:rPr>
    </w:lvl>
    <w:lvl w:ilvl="1" w:tplc="10090003" w:tentative="1">
      <w:start w:val="1"/>
      <w:numFmt w:val="bullet"/>
      <w:lvlText w:val="o"/>
      <w:lvlJc w:val="left"/>
      <w:pPr>
        <w:ind w:left="2205" w:hanging="360"/>
      </w:pPr>
      <w:rPr>
        <w:rFonts w:ascii="Courier New" w:hAnsi="Courier New" w:cs="Courier New" w:hint="default"/>
      </w:rPr>
    </w:lvl>
    <w:lvl w:ilvl="2" w:tplc="10090005" w:tentative="1">
      <w:start w:val="1"/>
      <w:numFmt w:val="bullet"/>
      <w:lvlText w:val=""/>
      <w:lvlJc w:val="left"/>
      <w:pPr>
        <w:ind w:left="2925" w:hanging="360"/>
      </w:pPr>
      <w:rPr>
        <w:rFonts w:ascii="Wingdings" w:hAnsi="Wingdings" w:hint="default"/>
      </w:rPr>
    </w:lvl>
    <w:lvl w:ilvl="3" w:tplc="10090001" w:tentative="1">
      <w:start w:val="1"/>
      <w:numFmt w:val="bullet"/>
      <w:lvlText w:val=""/>
      <w:lvlJc w:val="left"/>
      <w:pPr>
        <w:ind w:left="3645" w:hanging="360"/>
      </w:pPr>
      <w:rPr>
        <w:rFonts w:ascii="Symbol" w:hAnsi="Symbol" w:hint="default"/>
      </w:rPr>
    </w:lvl>
    <w:lvl w:ilvl="4" w:tplc="10090003" w:tentative="1">
      <w:start w:val="1"/>
      <w:numFmt w:val="bullet"/>
      <w:lvlText w:val="o"/>
      <w:lvlJc w:val="left"/>
      <w:pPr>
        <w:ind w:left="4365" w:hanging="360"/>
      </w:pPr>
      <w:rPr>
        <w:rFonts w:ascii="Courier New" w:hAnsi="Courier New" w:cs="Courier New" w:hint="default"/>
      </w:rPr>
    </w:lvl>
    <w:lvl w:ilvl="5" w:tplc="10090005" w:tentative="1">
      <w:start w:val="1"/>
      <w:numFmt w:val="bullet"/>
      <w:lvlText w:val=""/>
      <w:lvlJc w:val="left"/>
      <w:pPr>
        <w:ind w:left="5085" w:hanging="360"/>
      </w:pPr>
      <w:rPr>
        <w:rFonts w:ascii="Wingdings" w:hAnsi="Wingdings" w:hint="default"/>
      </w:rPr>
    </w:lvl>
    <w:lvl w:ilvl="6" w:tplc="10090001" w:tentative="1">
      <w:start w:val="1"/>
      <w:numFmt w:val="bullet"/>
      <w:lvlText w:val=""/>
      <w:lvlJc w:val="left"/>
      <w:pPr>
        <w:ind w:left="5805" w:hanging="360"/>
      </w:pPr>
      <w:rPr>
        <w:rFonts w:ascii="Symbol" w:hAnsi="Symbol" w:hint="default"/>
      </w:rPr>
    </w:lvl>
    <w:lvl w:ilvl="7" w:tplc="10090003" w:tentative="1">
      <w:start w:val="1"/>
      <w:numFmt w:val="bullet"/>
      <w:lvlText w:val="o"/>
      <w:lvlJc w:val="left"/>
      <w:pPr>
        <w:ind w:left="6525" w:hanging="360"/>
      </w:pPr>
      <w:rPr>
        <w:rFonts w:ascii="Courier New" w:hAnsi="Courier New" w:cs="Courier New" w:hint="default"/>
      </w:rPr>
    </w:lvl>
    <w:lvl w:ilvl="8" w:tplc="10090005" w:tentative="1">
      <w:start w:val="1"/>
      <w:numFmt w:val="bullet"/>
      <w:lvlText w:val=""/>
      <w:lvlJc w:val="left"/>
      <w:pPr>
        <w:ind w:left="7245" w:hanging="360"/>
      </w:pPr>
      <w:rPr>
        <w:rFonts w:ascii="Wingdings" w:hAnsi="Wingdings" w:hint="default"/>
      </w:rPr>
    </w:lvl>
  </w:abstractNum>
  <w:abstractNum w:abstractNumId="14">
    <w:nsid w:val="7136043E"/>
    <w:multiLevelType w:val="hybridMultilevel"/>
    <w:tmpl w:val="4C5019C2"/>
    <w:lvl w:ilvl="0" w:tplc="615A57A8">
      <w:start w:val="1"/>
      <w:numFmt w:val="decimal"/>
      <w:lvlText w:val="%1."/>
      <w:lvlJc w:val="left"/>
      <w:pPr>
        <w:ind w:left="1320" w:hanging="360"/>
      </w:pPr>
      <w:rPr>
        <w:rFonts w:hint="default"/>
      </w:rPr>
    </w:lvl>
    <w:lvl w:ilvl="1" w:tplc="10090019" w:tentative="1">
      <w:start w:val="1"/>
      <w:numFmt w:val="lowerLetter"/>
      <w:lvlText w:val="%2."/>
      <w:lvlJc w:val="left"/>
      <w:pPr>
        <w:ind w:left="2040" w:hanging="360"/>
      </w:pPr>
    </w:lvl>
    <w:lvl w:ilvl="2" w:tplc="1009001B" w:tentative="1">
      <w:start w:val="1"/>
      <w:numFmt w:val="lowerRoman"/>
      <w:lvlText w:val="%3."/>
      <w:lvlJc w:val="right"/>
      <w:pPr>
        <w:ind w:left="2760" w:hanging="180"/>
      </w:pPr>
    </w:lvl>
    <w:lvl w:ilvl="3" w:tplc="1009000F" w:tentative="1">
      <w:start w:val="1"/>
      <w:numFmt w:val="decimal"/>
      <w:lvlText w:val="%4."/>
      <w:lvlJc w:val="left"/>
      <w:pPr>
        <w:ind w:left="3480" w:hanging="360"/>
      </w:pPr>
    </w:lvl>
    <w:lvl w:ilvl="4" w:tplc="10090019" w:tentative="1">
      <w:start w:val="1"/>
      <w:numFmt w:val="lowerLetter"/>
      <w:lvlText w:val="%5."/>
      <w:lvlJc w:val="left"/>
      <w:pPr>
        <w:ind w:left="4200" w:hanging="360"/>
      </w:pPr>
    </w:lvl>
    <w:lvl w:ilvl="5" w:tplc="1009001B" w:tentative="1">
      <w:start w:val="1"/>
      <w:numFmt w:val="lowerRoman"/>
      <w:lvlText w:val="%6."/>
      <w:lvlJc w:val="right"/>
      <w:pPr>
        <w:ind w:left="4920" w:hanging="180"/>
      </w:pPr>
    </w:lvl>
    <w:lvl w:ilvl="6" w:tplc="1009000F" w:tentative="1">
      <w:start w:val="1"/>
      <w:numFmt w:val="decimal"/>
      <w:lvlText w:val="%7."/>
      <w:lvlJc w:val="left"/>
      <w:pPr>
        <w:ind w:left="5640" w:hanging="360"/>
      </w:pPr>
    </w:lvl>
    <w:lvl w:ilvl="7" w:tplc="10090019" w:tentative="1">
      <w:start w:val="1"/>
      <w:numFmt w:val="lowerLetter"/>
      <w:lvlText w:val="%8."/>
      <w:lvlJc w:val="left"/>
      <w:pPr>
        <w:ind w:left="6360" w:hanging="360"/>
      </w:pPr>
    </w:lvl>
    <w:lvl w:ilvl="8" w:tplc="1009001B" w:tentative="1">
      <w:start w:val="1"/>
      <w:numFmt w:val="lowerRoman"/>
      <w:lvlText w:val="%9."/>
      <w:lvlJc w:val="right"/>
      <w:pPr>
        <w:ind w:left="7080" w:hanging="180"/>
      </w:pPr>
    </w:lvl>
  </w:abstractNum>
  <w:abstractNum w:abstractNumId="15">
    <w:nsid w:val="734571CC"/>
    <w:multiLevelType w:val="hybridMultilevel"/>
    <w:tmpl w:val="6FFEF7FC"/>
    <w:lvl w:ilvl="0" w:tplc="96907DC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6">
    <w:nsid w:val="74802AD8"/>
    <w:multiLevelType w:val="hybridMultilevel"/>
    <w:tmpl w:val="F15C0EA8"/>
    <w:lvl w:ilvl="0" w:tplc="27624EAE">
      <w:start w:val="2"/>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0"/>
  </w:num>
  <w:num w:numId="5">
    <w:abstractNumId w:val="16"/>
  </w:num>
  <w:num w:numId="6">
    <w:abstractNumId w:val="8"/>
  </w:num>
  <w:num w:numId="7">
    <w:abstractNumId w:val="11"/>
  </w:num>
  <w:num w:numId="8">
    <w:abstractNumId w:val="10"/>
  </w:num>
  <w:num w:numId="9">
    <w:abstractNumId w:val="15"/>
  </w:num>
  <w:num w:numId="10">
    <w:abstractNumId w:val="9"/>
  </w:num>
  <w:num w:numId="11">
    <w:abstractNumId w:val="7"/>
  </w:num>
  <w:num w:numId="12">
    <w:abstractNumId w:val="6"/>
  </w:num>
  <w:num w:numId="13">
    <w:abstractNumId w:val="1"/>
  </w:num>
  <w:num w:numId="14">
    <w:abstractNumId w:val="14"/>
  </w:num>
  <w:num w:numId="15">
    <w:abstractNumId w:val="12"/>
  </w:num>
  <w:num w:numId="16">
    <w:abstractNumId w:val="1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679"/>
    <w:rsid w:val="0017395E"/>
    <w:rsid w:val="001C5B3C"/>
    <w:rsid w:val="002674A2"/>
    <w:rsid w:val="002C1A83"/>
    <w:rsid w:val="003A50B6"/>
    <w:rsid w:val="003C10AB"/>
    <w:rsid w:val="004C5638"/>
    <w:rsid w:val="00503D25"/>
    <w:rsid w:val="00514577"/>
    <w:rsid w:val="00586995"/>
    <w:rsid w:val="005872D6"/>
    <w:rsid w:val="005D4DB7"/>
    <w:rsid w:val="00650552"/>
    <w:rsid w:val="006512BA"/>
    <w:rsid w:val="006B0DB7"/>
    <w:rsid w:val="00740CE2"/>
    <w:rsid w:val="007524E2"/>
    <w:rsid w:val="007A0679"/>
    <w:rsid w:val="0084053F"/>
    <w:rsid w:val="0097479A"/>
    <w:rsid w:val="009C2480"/>
    <w:rsid w:val="009F3284"/>
    <w:rsid w:val="00A1068F"/>
    <w:rsid w:val="00A64F2F"/>
    <w:rsid w:val="00AF29F2"/>
    <w:rsid w:val="00BA67B7"/>
    <w:rsid w:val="00BB3D0C"/>
    <w:rsid w:val="00BF3309"/>
    <w:rsid w:val="00C76ABE"/>
    <w:rsid w:val="00CF4D42"/>
    <w:rsid w:val="00D26550"/>
    <w:rsid w:val="00D30919"/>
    <w:rsid w:val="00D3472A"/>
    <w:rsid w:val="00D46C88"/>
    <w:rsid w:val="00F57DD0"/>
    <w:rsid w:val="00FC51E5"/>
    <w:rsid w:val="00FD061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6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6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1565</Words>
  <Characters>8925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c:creator>
  <cp:lastModifiedBy>val</cp:lastModifiedBy>
  <cp:revision>4</cp:revision>
  <dcterms:created xsi:type="dcterms:W3CDTF">2012-11-06T02:52:00Z</dcterms:created>
  <dcterms:modified xsi:type="dcterms:W3CDTF">2012-11-06T16:31:00Z</dcterms:modified>
</cp:coreProperties>
</file>