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42" w:rsidRDefault="00CF5615" w:rsidP="004A55B8">
      <w:pPr>
        <w:spacing w:after="0" w:line="240" w:lineRule="auto"/>
      </w:pPr>
      <w:r>
        <w:t xml:space="preserve">Rounds </w:t>
      </w:r>
      <w:r w:rsidR="004A55B8">
        <w:t>8.26.13</w:t>
      </w:r>
    </w:p>
    <w:p w:rsidR="004A55B8" w:rsidRDefault="004A55B8" w:rsidP="004A55B8">
      <w:pPr>
        <w:spacing w:after="0" w:line="240" w:lineRule="auto"/>
      </w:pPr>
    </w:p>
    <w:p w:rsidR="004A55B8" w:rsidRDefault="004A55B8" w:rsidP="004A55B8">
      <w:pPr>
        <w:spacing w:after="0" w:line="240" w:lineRule="auto"/>
      </w:pPr>
      <w:r>
        <w:t>Optimal timing for the initiation of enteral and parenteral nutrition in critical medical and surgical conditions.</w:t>
      </w:r>
    </w:p>
    <w:p w:rsidR="004A55B8" w:rsidRDefault="004A55B8" w:rsidP="004A55B8">
      <w:pPr>
        <w:spacing w:after="0" w:line="240" w:lineRule="auto"/>
      </w:pPr>
      <w:r>
        <w:t>Aguilar-</w:t>
      </w:r>
      <w:proofErr w:type="spellStart"/>
      <w:r>
        <w:t>Nascimento</w:t>
      </w:r>
      <w:proofErr w:type="spellEnd"/>
      <w:r>
        <w:t>, Nutrition 28 (2012)</w:t>
      </w:r>
    </w:p>
    <w:p w:rsidR="004A55B8" w:rsidRDefault="004A55B8" w:rsidP="004A55B8">
      <w:pPr>
        <w:pStyle w:val="ListParagraph"/>
        <w:numPr>
          <w:ilvl w:val="0"/>
          <w:numId w:val="1"/>
        </w:numPr>
        <w:spacing w:after="0" w:line="240" w:lineRule="auto"/>
      </w:pPr>
      <w:r>
        <w:t>EN preferred over PN b/c of lower morbidity, lower cost, a shorter hospital stay, preservation of mucosal barrier and immune competence in the gut</w:t>
      </w:r>
    </w:p>
    <w:p w:rsidR="004A55B8" w:rsidRDefault="004A55B8" w:rsidP="004A55B8">
      <w:pPr>
        <w:pStyle w:val="ListParagraph"/>
        <w:numPr>
          <w:ilvl w:val="0"/>
          <w:numId w:val="1"/>
        </w:numPr>
        <w:spacing w:after="0" w:line="240" w:lineRule="auto"/>
      </w:pPr>
      <w:r>
        <w:t>New guidelines recommend starting EN before bowel sounds or flatus are present as previously recommended</w:t>
      </w:r>
    </w:p>
    <w:p w:rsidR="004A55B8" w:rsidRDefault="004A55B8" w:rsidP="004A55B8">
      <w:pPr>
        <w:pStyle w:val="ListParagraph"/>
        <w:numPr>
          <w:ilvl w:val="0"/>
          <w:numId w:val="1"/>
        </w:numPr>
        <w:spacing w:after="0" w:line="240" w:lineRule="auto"/>
      </w:pPr>
      <w:r>
        <w:t>Early post op EN is associated with significant reduction in all post-op complications</w:t>
      </w:r>
    </w:p>
    <w:p w:rsidR="004A55B8" w:rsidRDefault="004A55B8" w:rsidP="004A55B8">
      <w:pPr>
        <w:pStyle w:val="ListParagraph"/>
        <w:numPr>
          <w:ilvl w:val="0"/>
          <w:numId w:val="1"/>
        </w:numPr>
        <w:spacing w:after="0" w:line="240" w:lineRule="auto"/>
      </w:pPr>
      <w:r>
        <w:t>Early EN may reduce trauma patient mortality</w:t>
      </w:r>
    </w:p>
    <w:p w:rsidR="004A55B8" w:rsidRDefault="004A55B8" w:rsidP="004A55B8">
      <w:pPr>
        <w:pStyle w:val="ListParagraph"/>
        <w:numPr>
          <w:ilvl w:val="0"/>
          <w:numId w:val="1"/>
        </w:numPr>
        <w:spacing w:after="0" w:line="240" w:lineRule="auto"/>
      </w:pPr>
      <w:r>
        <w:t>Arginine supplementation may decrease risk of infectious complications or anastomotic dehiscence</w:t>
      </w:r>
    </w:p>
    <w:p w:rsidR="004A55B8" w:rsidRDefault="004A55B8" w:rsidP="004A55B8">
      <w:pPr>
        <w:pStyle w:val="ListParagraph"/>
        <w:numPr>
          <w:ilvl w:val="0"/>
          <w:numId w:val="1"/>
        </w:numPr>
        <w:spacing w:after="0" w:line="240" w:lineRule="auto"/>
      </w:pPr>
      <w:r>
        <w:t>Europe – give PN within 24-48 hours if patient cannot receive normal nutrition within 2-3d</w:t>
      </w:r>
    </w:p>
    <w:p w:rsidR="004A55B8" w:rsidRDefault="004A55B8" w:rsidP="004A55B8">
      <w:pPr>
        <w:pStyle w:val="ListParagraph"/>
        <w:numPr>
          <w:ilvl w:val="0"/>
          <w:numId w:val="1"/>
        </w:numPr>
        <w:spacing w:after="0" w:line="240" w:lineRule="auto"/>
      </w:pPr>
      <w:r>
        <w:t>ASPEN – If patient not malnourished, do not start PN for 7 days following ICU admit, EN okay if able</w:t>
      </w:r>
    </w:p>
    <w:p w:rsidR="004A55B8" w:rsidRDefault="004A55B8" w:rsidP="004A55B8">
      <w:pPr>
        <w:pStyle w:val="ListParagraph"/>
        <w:numPr>
          <w:ilvl w:val="1"/>
          <w:numId w:val="1"/>
        </w:numPr>
        <w:spacing w:after="0" w:line="240" w:lineRule="auto"/>
      </w:pPr>
      <w:r>
        <w:t>Reduces infectious complications</w:t>
      </w:r>
    </w:p>
    <w:p w:rsidR="004A55B8" w:rsidRDefault="004A55B8" w:rsidP="00722195">
      <w:pPr>
        <w:pStyle w:val="ListParagraph"/>
        <w:numPr>
          <w:ilvl w:val="1"/>
          <w:numId w:val="1"/>
        </w:numPr>
        <w:spacing w:after="0" w:line="240" w:lineRule="auto"/>
      </w:pPr>
      <w:r>
        <w:t>If malnourished then provide PN</w:t>
      </w:r>
    </w:p>
    <w:p w:rsidR="004A55B8" w:rsidRDefault="004A55B8" w:rsidP="004A55B8">
      <w:pPr>
        <w:spacing w:after="0" w:line="240" w:lineRule="auto"/>
      </w:pPr>
    </w:p>
    <w:p w:rsidR="004A55B8" w:rsidRDefault="004A55B8" w:rsidP="004A55B8">
      <w:pPr>
        <w:spacing w:after="0" w:line="240" w:lineRule="auto"/>
      </w:pPr>
      <w:r>
        <w:t>Vasoactive substances and their effects on nutrition in the critically ill patient.</w:t>
      </w:r>
    </w:p>
    <w:p w:rsidR="004A55B8" w:rsidRDefault="004A55B8" w:rsidP="004A55B8">
      <w:pPr>
        <w:spacing w:after="0" w:line="240" w:lineRule="auto"/>
      </w:pPr>
      <w:r>
        <w:t>Allen, Nutrition in Clinical Practice 27 (2012)</w:t>
      </w:r>
    </w:p>
    <w:p w:rsidR="004A55B8" w:rsidRDefault="00EC08DF" w:rsidP="00EC08DF">
      <w:pPr>
        <w:pStyle w:val="ListParagraph"/>
        <w:numPr>
          <w:ilvl w:val="0"/>
          <w:numId w:val="4"/>
        </w:numPr>
        <w:spacing w:after="0" w:line="240" w:lineRule="auto"/>
      </w:pPr>
      <w:r>
        <w:t>EN maintains structural integrity of the GIT, reduces gut permeability, and increase GI blood flow</w:t>
      </w:r>
    </w:p>
    <w:p w:rsidR="00EC08DF" w:rsidRDefault="00EC08DF" w:rsidP="00EC08DF">
      <w:pPr>
        <w:pStyle w:val="ListParagraph"/>
        <w:numPr>
          <w:ilvl w:val="0"/>
          <w:numId w:val="4"/>
        </w:numPr>
        <w:spacing w:after="0" w:line="240" w:lineRule="auto"/>
      </w:pPr>
      <w:r>
        <w:t>Controversy in feeding patients on vasopressors</w:t>
      </w:r>
    </w:p>
    <w:p w:rsidR="00EC08DF" w:rsidRDefault="00EC08DF" w:rsidP="00EC08DF">
      <w:pPr>
        <w:pStyle w:val="ListParagraph"/>
        <w:numPr>
          <w:ilvl w:val="1"/>
          <w:numId w:val="4"/>
        </w:numPr>
        <w:spacing w:after="0" w:line="240" w:lineRule="auto"/>
      </w:pPr>
      <w:r>
        <w:t>EN will increase splanchnic oxygen demand, if body not able to meet this then splanchnic ischemia occurs, small bowel necrosis may result</w:t>
      </w:r>
    </w:p>
    <w:p w:rsidR="00EC08DF" w:rsidRDefault="00EC08DF" w:rsidP="00EC08DF">
      <w:pPr>
        <w:pStyle w:val="ListParagraph"/>
        <w:numPr>
          <w:ilvl w:val="0"/>
          <w:numId w:val="4"/>
        </w:numPr>
        <w:spacing w:after="0" w:line="240" w:lineRule="auto"/>
      </w:pPr>
      <w:r>
        <w:t>Effects of vasopressors on GIT</w:t>
      </w:r>
    </w:p>
    <w:p w:rsidR="00EC08DF" w:rsidRDefault="00EC08DF" w:rsidP="00EC08DF">
      <w:pPr>
        <w:pStyle w:val="ListParagraph"/>
        <w:numPr>
          <w:ilvl w:val="1"/>
          <w:numId w:val="4"/>
        </w:numPr>
        <w:spacing w:after="0" w:line="240" w:lineRule="auto"/>
      </w:pPr>
      <w:proofErr w:type="spellStart"/>
      <w:r>
        <w:t>Intramucosal</w:t>
      </w:r>
      <w:proofErr w:type="spellEnd"/>
      <w:r>
        <w:t xml:space="preserve"> pH used to assess tissue perfusion</w:t>
      </w:r>
    </w:p>
    <w:p w:rsidR="00EC08DF" w:rsidRDefault="00EC08DF" w:rsidP="00EC08DF">
      <w:pPr>
        <w:pStyle w:val="ListParagraph"/>
        <w:numPr>
          <w:ilvl w:val="1"/>
          <w:numId w:val="4"/>
        </w:numPr>
        <w:spacing w:after="0" w:line="240" w:lineRule="auto"/>
      </w:pPr>
      <w:proofErr w:type="spellStart"/>
      <w:r>
        <w:t>Dobutamine</w:t>
      </w:r>
      <w:proofErr w:type="spellEnd"/>
      <w:r>
        <w:t xml:space="preserve"> – increased GI mucosal blood flow and </w:t>
      </w:r>
      <w:proofErr w:type="spellStart"/>
      <w:r>
        <w:t>intramucosal</w:t>
      </w:r>
      <w:proofErr w:type="spellEnd"/>
      <w:r>
        <w:t xml:space="preserve"> pH</w:t>
      </w:r>
    </w:p>
    <w:p w:rsidR="00EC08DF" w:rsidRDefault="00EC08DF" w:rsidP="00EC08DF">
      <w:pPr>
        <w:pStyle w:val="ListParagraph"/>
        <w:numPr>
          <w:ilvl w:val="1"/>
          <w:numId w:val="4"/>
        </w:numPr>
        <w:spacing w:after="0" w:line="240" w:lineRule="auto"/>
      </w:pPr>
      <w:r>
        <w:t>Dopamine</w:t>
      </w:r>
      <w:r w:rsidR="00D20AAD">
        <w:t xml:space="preserve"> – decreased </w:t>
      </w:r>
      <w:proofErr w:type="spellStart"/>
      <w:r w:rsidR="00D20AAD">
        <w:t>intramucosal</w:t>
      </w:r>
      <w:proofErr w:type="spellEnd"/>
      <w:r w:rsidR="00D20AAD">
        <w:t xml:space="preserve"> pH, increases oxygen delivery in septic shock, </w:t>
      </w:r>
      <w:proofErr w:type="spellStart"/>
      <w:r w:rsidR="00D20AAD">
        <w:t>precapillary</w:t>
      </w:r>
      <w:proofErr w:type="spellEnd"/>
      <w:r w:rsidR="00D20AAD">
        <w:t xml:space="preserve"> vasoconstriction diverts blood away from GI mucosa</w:t>
      </w:r>
    </w:p>
    <w:p w:rsidR="00D20AAD" w:rsidRDefault="00D20AAD" w:rsidP="00EC08DF">
      <w:pPr>
        <w:pStyle w:val="ListParagraph"/>
        <w:numPr>
          <w:ilvl w:val="1"/>
          <w:numId w:val="4"/>
        </w:numPr>
        <w:spacing w:after="0" w:line="240" w:lineRule="auto"/>
      </w:pPr>
      <w:r>
        <w:t>Epinephrine – decreases splanchnic blood flow</w:t>
      </w:r>
    </w:p>
    <w:p w:rsidR="00D20AAD" w:rsidRDefault="00D20AAD" w:rsidP="00EC08DF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Norepinephrine – increases </w:t>
      </w:r>
      <w:proofErr w:type="spellStart"/>
      <w:r>
        <w:t>intramucosal</w:t>
      </w:r>
      <w:proofErr w:type="spellEnd"/>
      <w:r>
        <w:t xml:space="preserve"> pH, increases </w:t>
      </w:r>
      <w:proofErr w:type="spellStart"/>
      <w:r>
        <w:t>splachnic</w:t>
      </w:r>
      <w:proofErr w:type="spellEnd"/>
      <w:r>
        <w:t xml:space="preserve"> blood flow in septic shock, decreases mucosal blood flow during hypovolemia</w:t>
      </w:r>
    </w:p>
    <w:p w:rsidR="00D20AAD" w:rsidRDefault="00D20AAD" w:rsidP="00D20AAD">
      <w:pPr>
        <w:pStyle w:val="ListParagraph"/>
        <w:numPr>
          <w:ilvl w:val="1"/>
          <w:numId w:val="4"/>
        </w:numPr>
        <w:spacing w:after="0" w:line="240" w:lineRule="auto"/>
      </w:pPr>
      <w:proofErr w:type="spellStart"/>
      <w:r>
        <w:t>Vaopressin</w:t>
      </w:r>
      <w:proofErr w:type="spellEnd"/>
      <w:r>
        <w:t xml:space="preserve"> – Enhances </w:t>
      </w:r>
      <w:proofErr w:type="spellStart"/>
      <w:r>
        <w:t>pressor</w:t>
      </w:r>
      <w:proofErr w:type="spellEnd"/>
      <w:r>
        <w:t xml:space="preserve"> response, increases intestinal vasoconstriction</w:t>
      </w:r>
    </w:p>
    <w:p w:rsidR="00D20AAD" w:rsidRDefault="00D20AAD" w:rsidP="00D20AAD">
      <w:pPr>
        <w:pStyle w:val="ListParagraph"/>
        <w:numPr>
          <w:ilvl w:val="0"/>
          <w:numId w:val="4"/>
        </w:numPr>
        <w:spacing w:after="0" w:line="240" w:lineRule="auto"/>
      </w:pPr>
      <w:r>
        <w:t>A few small studies on EN in patients on vasopressors have not demonstrated increased bowel necrosis, few studies available overall</w:t>
      </w:r>
    </w:p>
    <w:p w:rsidR="004A55B8" w:rsidRDefault="004A55B8" w:rsidP="004A55B8">
      <w:pPr>
        <w:spacing w:after="0" w:line="240" w:lineRule="auto"/>
      </w:pPr>
    </w:p>
    <w:p w:rsidR="004A55B8" w:rsidRDefault="004A55B8" w:rsidP="004A55B8">
      <w:pPr>
        <w:spacing w:after="0" w:line="240" w:lineRule="auto"/>
      </w:pPr>
      <w:r>
        <w:t xml:space="preserve">Effect of early enteral nutrition on intestinal permeability, intestinal protein loss, and outcome in dogs with severe </w:t>
      </w:r>
      <w:proofErr w:type="spellStart"/>
      <w:r>
        <w:t>parvoviral</w:t>
      </w:r>
      <w:proofErr w:type="spellEnd"/>
      <w:r>
        <w:t xml:space="preserve"> enteritis. </w:t>
      </w:r>
    </w:p>
    <w:p w:rsidR="004A55B8" w:rsidRDefault="004A55B8" w:rsidP="004A55B8">
      <w:pPr>
        <w:spacing w:after="0" w:line="240" w:lineRule="auto"/>
      </w:pPr>
      <w:r>
        <w:t>Mohr, JVIM 17 (2003)</w:t>
      </w:r>
    </w:p>
    <w:p w:rsidR="004A55B8" w:rsidRDefault="00EC08DF" w:rsidP="00EC08D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Client owned dogs with </w:t>
      </w:r>
      <w:proofErr w:type="spellStart"/>
      <w:r>
        <w:t>parvo</w:t>
      </w:r>
      <w:proofErr w:type="spellEnd"/>
      <w:r>
        <w:t>, randomized</w:t>
      </w:r>
    </w:p>
    <w:p w:rsidR="00EC08DF" w:rsidRDefault="00EC08DF" w:rsidP="00EC08DF">
      <w:pPr>
        <w:pStyle w:val="ListParagraph"/>
        <w:numPr>
          <w:ilvl w:val="0"/>
          <w:numId w:val="3"/>
        </w:numPr>
        <w:spacing w:after="0" w:line="240" w:lineRule="auto"/>
      </w:pPr>
      <w:r>
        <w:t>NPO: no food until 12 hours without vomiting, then fed 6x/d, either voluntary or force fed</w:t>
      </w:r>
    </w:p>
    <w:p w:rsidR="00EC08DF" w:rsidRDefault="00EC08DF" w:rsidP="00EC08DF">
      <w:pPr>
        <w:pStyle w:val="ListParagraph"/>
        <w:numPr>
          <w:ilvl w:val="0"/>
          <w:numId w:val="3"/>
        </w:numPr>
        <w:spacing w:after="0" w:line="240" w:lineRule="auto"/>
      </w:pPr>
      <w:r>
        <w:t>EN: Placed EN tube and fed at 1.5X manufacturer recommendations – increased to full amount over 3d, NE tube removed after 24 hours without vomiting, then on feedings as above</w:t>
      </w:r>
    </w:p>
    <w:p w:rsidR="00EC08DF" w:rsidRDefault="00EC08DF" w:rsidP="00EC08D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All dogs were treated with IVF, </w:t>
      </w:r>
      <w:proofErr w:type="spellStart"/>
      <w:r>
        <w:t>abx</w:t>
      </w:r>
      <w:proofErr w:type="spellEnd"/>
      <w:r>
        <w:t>, metoclopramide</w:t>
      </w:r>
    </w:p>
    <w:p w:rsidR="00EC08DF" w:rsidRDefault="00EC08DF" w:rsidP="00EC08DF">
      <w:pPr>
        <w:pStyle w:val="ListParagraph"/>
        <w:numPr>
          <w:ilvl w:val="0"/>
          <w:numId w:val="3"/>
        </w:numPr>
        <w:spacing w:after="0" w:line="240" w:lineRule="auto"/>
      </w:pPr>
      <w:r>
        <w:t>EN dogs regained normal attitude, appetite, and had resolution of vomiting/diarrhea one day sooner than NPO</w:t>
      </w:r>
    </w:p>
    <w:p w:rsidR="00EC08DF" w:rsidRDefault="00EC08DF" w:rsidP="00EC08DF">
      <w:pPr>
        <w:pStyle w:val="ListParagraph"/>
        <w:numPr>
          <w:ilvl w:val="0"/>
          <w:numId w:val="3"/>
        </w:numPr>
        <w:spacing w:after="0" w:line="240" w:lineRule="auto"/>
      </w:pPr>
      <w:r>
        <w:t>Body weight increased in EN group during stay, no change in NPO group</w:t>
      </w:r>
    </w:p>
    <w:p w:rsidR="00EC08DF" w:rsidRDefault="00EC08DF" w:rsidP="00EC08DF">
      <w:pPr>
        <w:pStyle w:val="ListParagraph"/>
        <w:numPr>
          <w:ilvl w:val="0"/>
          <w:numId w:val="3"/>
        </w:numPr>
        <w:spacing w:after="0" w:line="240" w:lineRule="auto"/>
      </w:pPr>
      <w:r>
        <w:t>87% of NPO dogs survived, 100% of EN dogs survived – NOT significant</w:t>
      </w:r>
    </w:p>
    <w:p w:rsidR="00EC08DF" w:rsidRDefault="00EC08DF" w:rsidP="00EC08D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Could not detect changes in </w:t>
      </w:r>
      <w:proofErr w:type="spellStart"/>
      <w:r>
        <w:t>alb</w:t>
      </w:r>
      <w:proofErr w:type="spellEnd"/>
      <w:r>
        <w:t xml:space="preserve"> or intestinal permeability that were significant </w:t>
      </w:r>
      <w:proofErr w:type="spellStart"/>
      <w:r>
        <w:t>btwn</w:t>
      </w:r>
      <w:proofErr w:type="spellEnd"/>
      <w:r>
        <w:t xml:space="preserve"> groups using alpha-1 fecal protease inhibitor or differential recovery of lactulose/</w:t>
      </w:r>
      <w:proofErr w:type="spellStart"/>
      <w:r>
        <w:t>rhamnose</w:t>
      </w:r>
      <w:proofErr w:type="spellEnd"/>
    </w:p>
    <w:p w:rsidR="004A55B8" w:rsidRDefault="004A55B8" w:rsidP="004A55B8">
      <w:pPr>
        <w:spacing w:after="0" w:line="240" w:lineRule="auto"/>
      </w:pPr>
    </w:p>
    <w:p w:rsidR="004A55B8" w:rsidRDefault="004A55B8" w:rsidP="004A55B8">
      <w:pPr>
        <w:spacing w:after="0" w:line="240" w:lineRule="auto"/>
      </w:pPr>
      <w:r>
        <w:t>Enteral nutrition within 48 hours of admission improves clinical outcomes of acute pancreatitis by reducing complications: a meta-</w:t>
      </w:r>
      <w:proofErr w:type="spellStart"/>
      <w:r>
        <w:t>anayais</w:t>
      </w:r>
      <w:proofErr w:type="spellEnd"/>
      <w:r>
        <w:t xml:space="preserve">. </w:t>
      </w:r>
    </w:p>
    <w:p w:rsidR="004A55B8" w:rsidRDefault="004A55B8" w:rsidP="004A55B8">
      <w:pPr>
        <w:spacing w:after="0" w:line="240" w:lineRule="auto"/>
      </w:pPr>
      <w:r>
        <w:t xml:space="preserve">Li, </w:t>
      </w:r>
      <w:proofErr w:type="spellStart"/>
      <w:r>
        <w:t>PLoS</w:t>
      </w:r>
      <w:proofErr w:type="spellEnd"/>
      <w:r>
        <w:t xml:space="preserve"> One 8 (2013)</w:t>
      </w:r>
    </w:p>
    <w:p w:rsidR="004A55B8" w:rsidRDefault="004A55B8" w:rsidP="004A55B8">
      <w:pPr>
        <w:pStyle w:val="ListParagraph"/>
        <w:numPr>
          <w:ilvl w:val="0"/>
          <w:numId w:val="2"/>
        </w:numPr>
        <w:spacing w:after="0" w:line="240" w:lineRule="auto"/>
      </w:pPr>
      <w:r>
        <w:t>80% of people with acute pancreatitis do not have serious morbidity and mortality is around 3%</w:t>
      </w:r>
    </w:p>
    <w:p w:rsidR="004A55B8" w:rsidRDefault="004A55B8" w:rsidP="004A55B8">
      <w:pPr>
        <w:pStyle w:val="ListParagraph"/>
        <w:numPr>
          <w:ilvl w:val="0"/>
          <w:numId w:val="2"/>
        </w:numPr>
        <w:spacing w:after="0" w:line="240" w:lineRule="auto"/>
      </w:pPr>
      <w:r>
        <w:t>If organ failure (secondary to SIRS) or infected pancreatic necrosis occurs, mortality increase to 30%</w:t>
      </w:r>
    </w:p>
    <w:p w:rsidR="00EC08DF" w:rsidRDefault="00EC08DF" w:rsidP="004A55B8">
      <w:pPr>
        <w:pStyle w:val="ListParagraph"/>
        <w:numPr>
          <w:ilvl w:val="0"/>
          <w:numId w:val="2"/>
        </w:numPr>
        <w:spacing w:after="0" w:line="240" w:lineRule="auto"/>
      </w:pPr>
      <w:r>
        <w:lastRenderedPageBreak/>
        <w:t>Increased intestinal permeability is documented within 72 hours of acute pancreatitis</w:t>
      </w:r>
    </w:p>
    <w:p w:rsidR="00EC08DF" w:rsidRDefault="00EC08DF" w:rsidP="004A55B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Groups were Early EN </w:t>
      </w:r>
      <w:proofErr w:type="spellStart"/>
      <w:r>
        <w:t>vs</w:t>
      </w:r>
      <w:proofErr w:type="spellEnd"/>
      <w:r>
        <w:t xml:space="preserve"> late EN or PN</w:t>
      </w:r>
    </w:p>
    <w:p w:rsidR="00EC08DF" w:rsidRDefault="00EC08DF" w:rsidP="00EC08DF">
      <w:pPr>
        <w:pStyle w:val="ListParagraph"/>
        <w:numPr>
          <w:ilvl w:val="1"/>
          <w:numId w:val="2"/>
        </w:numPr>
        <w:spacing w:after="0" w:line="240" w:lineRule="auto"/>
      </w:pPr>
      <w:r>
        <w:t>Early EN decreased overall infectious complications, OR 0.38 (CI 0.21-0.68)</w:t>
      </w:r>
    </w:p>
    <w:p w:rsidR="00EC08DF" w:rsidRDefault="00EC08DF" w:rsidP="00EC08DF">
      <w:pPr>
        <w:pStyle w:val="ListParagraph"/>
        <w:numPr>
          <w:ilvl w:val="1"/>
          <w:numId w:val="2"/>
        </w:numPr>
        <w:spacing w:after="0" w:line="240" w:lineRule="auto"/>
      </w:pPr>
      <w:r>
        <w:t>Early EN decreased catheter-related septic complications, OR 0.26 (0.11-0.58)</w:t>
      </w:r>
    </w:p>
    <w:p w:rsidR="00EC08DF" w:rsidRDefault="00EC08DF" w:rsidP="00EC08DF">
      <w:pPr>
        <w:pStyle w:val="ListParagraph"/>
        <w:numPr>
          <w:ilvl w:val="1"/>
          <w:numId w:val="2"/>
        </w:numPr>
        <w:spacing w:after="0" w:line="240" w:lineRule="auto"/>
      </w:pPr>
      <w:r>
        <w:t>Early EN decreased incidence of pancreatic infection, OR 0.49 (0.31-0.78)</w:t>
      </w:r>
    </w:p>
    <w:p w:rsidR="00EC08DF" w:rsidRDefault="00EC08DF" w:rsidP="00EC08DF">
      <w:pPr>
        <w:pStyle w:val="ListParagraph"/>
        <w:numPr>
          <w:ilvl w:val="1"/>
          <w:numId w:val="2"/>
        </w:numPr>
        <w:spacing w:after="0" w:line="240" w:lineRule="auto"/>
      </w:pPr>
      <w:r>
        <w:t>Early EN decreased incidence of hyperglycemia, OR 0.24 (0.11-0.52)</w:t>
      </w:r>
    </w:p>
    <w:p w:rsidR="00EC08DF" w:rsidRDefault="00EC08DF" w:rsidP="00EC08DF">
      <w:pPr>
        <w:pStyle w:val="ListParagraph"/>
        <w:numPr>
          <w:ilvl w:val="1"/>
          <w:numId w:val="2"/>
        </w:numPr>
        <w:spacing w:after="0" w:line="240" w:lineRule="auto"/>
      </w:pPr>
      <w:r>
        <w:t>No difference in incidence of pulmonary complications</w:t>
      </w:r>
    </w:p>
    <w:p w:rsidR="00EC08DF" w:rsidRDefault="00EC08DF" w:rsidP="00EC08DF">
      <w:pPr>
        <w:pStyle w:val="ListParagraph"/>
        <w:numPr>
          <w:ilvl w:val="1"/>
          <w:numId w:val="2"/>
        </w:numPr>
        <w:spacing w:after="0" w:line="240" w:lineRule="auto"/>
      </w:pPr>
      <w:r>
        <w:t>Early EN decreased incidence of organ failure, OR 0.27 (0.14-0.5)</w:t>
      </w:r>
    </w:p>
    <w:p w:rsidR="00EC08DF" w:rsidRDefault="00EC08DF" w:rsidP="00EC08DF">
      <w:pPr>
        <w:pStyle w:val="ListParagraph"/>
        <w:numPr>
          <w:ilvl w:val="1"/>
          <w:numId w:val="2"/>
        </w:numPr>
        <w:spacing w:after="0" w:line="240" w:lineRule="auto"/>
      </w:pPr>
      <w:r>
        <w:t>Early EN decreased length of hospitalization, OR -2.18 (-3.48 to -0.87)</w:t>
      </w:r>
    </w:p>
    <w:p w:rsidR="00EC08DF" w:rsidRDefault="00EC08DF" w:rsidP="00EC08DF">
      <w:pPr>
        <w:pStyle w:val="ListParagraph"/>
        <w:numPr>
          <w:ilvl w:val="1"/>
          <w:numId w:val="2"/>
        </w:numPr>
        <w:spacing w:after="0" w:line="240" w:lineRule="auto"/>
      </w:pPr>
      <w:r>
        <w:t>Early EN decreased mortality, OR 0.31 (0.14-0.71)</w:t>
      </w: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pStyle w:val="ListParagraph"/>
        <w:numPr>
          <w:ilvl w:val="0"/>
          <w:numId w:val="5"/>
        </w:numPr>
        <w:spacing w:after="0" w:line="240" w:lineRule="auto"/>
      </w:pPr>
      <w:r>
        <w:t>Why is it thought that feeding patients on “high doses” of vasoactive drugs may be deleterious? Is there evidence for this phenomenon?</w:t>
      </w: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pStyle w:val="ListParagraph"/>
        <w:numPr>
          <w:ilvl w:val="0"/>
          <w:numId w:val="5"/>
        </w:numPr>
        <w:spacing w:after="0" w:line="240" w:lineRule="auto"/>
      </w:pPr>
      <w:r>
        <w:t>List three potential benefits of EN:</w:t>
      </w: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spacing w:after="0" w:line="240" w:lineRule="auto"/>
      </w:pPr>
    </w:p>
    <w:p w:rsidR="00D20AAD" w:rsidRDefault="00D20AAD" w:rsidP="00D20AA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T or F: It is recommended to wait until a patient exhibits a bowel movement or flatus before instituting enteral nutrition. </w:t>
      </w:r>
      <w:bookmarkStart w:id="0" w:name="_GoBack"/>
      <w:bookmarkEnd w:id="0"/>
    </w:p>
    <w:p w:rsidR="00D20AAD" w:rsidRDefault="00D20AAD" w:rsidP="00D20AAD">
      <w:pPr>
        <w:pStyle w:val="ListParagraph"/>
        <w:spacing w:after="0" w:line="240" w:lineRule="auto"/>
      </w:pPr>
    </w:p>
    <w:p w:rsidR="00D20AAD" w:rsidRDefault="00D20AAD" w:rsidP="00D20AAD">
      <w:pPr>
        <w:pStyle w:val="ListParagraph"/>
        <w:spacing w:after="0" w:line="240" w:lineRule="auto"/>
      </w:pPr>
    </w:p>
    <w:p w:rsidR="00D20AAD" w:rsidRDefault="00D20AAD" w:rsidP="00D20AAD">
      <w:pPr>
        <w:pStyle w:val="ListParagraph"/>
        <w:spacing w:after="0" w:line="240" w:lineRule="auto"/>
      </w:pPr>
    </w:p>
    <w:p w:rsidR="00D20AAD" w:rsidRDefault="00D20AAD" w:rsidP="00D20AAD">
      <w:pPr>
        <w:pStyle w:val="ListParagraph"/>
        <w:spacing w:after="0" w:line="240" w:lineRule="auto"/>
      </w:pPr>
    </w:p>
    <w:sectPr w:rsidR="00D20AAD" w:rsidSect="002306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34B96"/>
    <w:multiLevelType w:val="hybridMultilevel"/>
    <w:tmpl w:val="FF40F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596AF9"/>
    <w:multiLevelType w:val="hybridMultilevel"/>
    <w:tmpl w:val="5F34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B057E"/>
    <w:multiLevelType w:val="hybridMultilevel"/>
    <w:tmpl w:val="CB529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D5578"/>
    <w:multiLevelType w:val="hybridMultilevel"/>
    <w:tmpl w:val="63042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D18C1"/>
    <w:multiLevelType w:val="hybridMultilevel"/>
    <w:tmpl w:val="68BA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636"/>
    <w:rsid w:val="00230636"/>
    <w:rsid w:val="002D77E4"/>
    <w:rsid w:val="00325BDC"/>
    <w:rsid w:val="004660E0"/>
    <w:rsid w:val="004A55B8"/>
    <w:rsid w:val="00543087"/>
    <w:rsid w:val="00557026"/>
    <w:rsid w:val="005D3968"/>
    <w:rsid w:val="0062145F"/>
    <w:rsid w:val="006761EC"/>
    <w:rsid w:val="006E33C9"/>
    <w:rsid w:val="00762768"/>
    <w:rsid w:val="008550D0"/>
    <w:rsid w:val="009B28A3"/>
    <w:rsid w:val="00A603F3"/>
    <w:rsid w:val="00CF5615"/>
    <w:rsid w:val="00D05342"/>
    <w:rsid w:val="00D20AAD"/>
    <w:rsid w:val="00EC08DF"/>
    <w:rsid w:val="00F03EE8"/>
    <w:rsid w:val="00F42399"/>
    <w:rsid w:val="00FC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493C79-AA57-4C8A-AF5B-412780B0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1</cp:revision>
  <dcterms:created xsi:type="dcterms:W3CDTF">2013-08-26T18:45:00Z</dcterms:created>
  <dcterms:modified xsi:type="dcterms:W3CDTF">2013-08-26T20:10:00Z</dcterms:modified>
</cp:coreProperties>
</file>