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0B6" w:rsidRPr="003F5457" w:rsidRDefault="00907A11">
      <w:pPr>
        <w:rPr>
          <w:lang w:val="en-US"/>
        </w:rPr>
      </w:pPr>
      <w:r w:rsidRPr="003F5457">
        <w:rPr>
          <w:lang w:val="en-US"/>
        </w:rPr>
        <w:t>Opie CH 9 Antiplatelet therapy:</w:t>
      </w:r>
    </w:p>
    <w:p w:rsidR="00907A11" w:rsidRPr="003F5457" w:rsidRDefault="003B2B27">
      <w:pPr>
        <w:rPr>
          <w:u w:val="single"/>
          <w:lang w:val="en-US"/>
        </w:rPr>
      </w:pPr>
      <w:bookmarkStart w:id="0" w:name="4-u1.0-B978-1-4557-3322-4..00018-1--s029"/>
      <w:bookmarkStart w:id="1" w:name="4-u1.0-B978-1-4557-3322-4..00018-1--st02"/>
      <w:bookmarkEnd w:id="0"/>
      <w:bookmarkEnd w:id="1"/>
      <w:r w:rsidRPr="003F5457">
        <w:rPr>
          <w:rStyle w:val="section-title-11"/>
          <w:rFonts w:cs="Arial"/>
          <w:color w:val="auto"/>
          <w:sz w:val="22"/>
          <w:szCs w:val="22"/>
          <w:u w:val="single"/>
        </w:rPr>
        <w:t xml:space="preserve">Newer </w:t>
      </w:r>
      <w:proofErr w:type="spellStart"/>
      <w:r w:rsidRPr="003F5457">
        <w:rPr>
          <w:rStyle w:val="section-title-11"/>
          <w:rFonts w:cs="Arial"/>
          <w:color w:val="auto"/>
          <w:sz w:val="22"/>
          <w:szCs w:val="22"/>
          <w:u w:val="single"/>
        </w:rPr>
        <w:t>antiplatelets</w:t>
      </w:r>
      <w:proofErr w:type="spellEnd"/>
      <w:r w:rsidRPr="003F5457">
        <w:rPr>
          <w:rStyle w:val="section-title-11"/>
          <w:rFonts w:cs="Arial"/>
          <w:color w:val="auto"/>
          <w:sz w:val="22"/>
          <w:szCs w:val="22"/>
          <w:u w:val="single"/>
        </w:rPr>
        <w:t xml:space="preserve"> added to aspirin: </w:t>
      </w:r>
      <w:proofErr w:type="spellStart"/>
      <w:r w:rsidRPr="003F5457">
        <w:rPr>
          <w:rStyle w:val="section-title-11"/>
          <w:rFonts w:cs="Arial"/>
          <w:color w:val="auto"/>
          <w:sz w:val="22"/>
          <w:szCs w:val="22"/>
          <w:u w:val="single"/>
        </w:rPr>
        <w:t>Prasugrel</w:t>
      </w:r>
      <w:proofErr w:type="spellEnd"/>
      <w:r w:rsidRPr="003F5457">
        <w:rPr>
          <w:rStyle w:val="section-title-11"/>
          <w:rFonts w:cs="Arial"/>
          <w:color w:val="auto"/>
          <w:sz w:val="22"/>
          <w:szCs w:val="22"/>
          <w:u w:val="single"/>
        </w:rPr>
        <w:t xml:space="preserve">, </w:t>
      </w:r>
      <w:proofErr w:type="spellStart"/>
      <w:r w:rsidRPr="003F5457">
        <w:rPr>
          <w:rStyle w:val="section-title-11"/>
          <w:rFonts w:cs="Arial"/>
          <w:color w:val="auto"/>
          <w:sz w:val="22"/>
          <w:szCs w:val="22"/>
          <w:u w:val="single"/>
        </w:rPr>
        <w:t>ticagrelor</w:t>
      </w:r>
      <w:proofErr w:type="spellEnd"/>
      <w:r w:rsidRPr="003F5457">
        <w:rPr>
          <w:rStyle w:val="section-title-11"/>
          <w:rFonts w:cs="Arial"/>
          <w:color w:val="auto"/>
          <w:sz w:val="22"/>
          <w:szCs w:val="22"/>
          <w:u w:val="single"/>
        </w:rPr>
        <w:t xml:space="preserve">, and </w:t>
      </w:r>
      <w:proofErr w:type="spellStart"/>
      <w:r w:rsidRPr="003F5457">
        <w:rPr>
          <w:rStyle w:val="section-title-11"/>
          <w:rFonts w:cs="Arial"/>
          <w:color w:val="auto"/>
          <w:sz w:val="22"/>
          <w:szCs w:val="22"/>
          <w:u w:val="single"/>
        </w:rPr>
        <w:t>vorapaxar</w:t>
      </w:r>
      <w:proofErr w:type="spellEnd"/>
    </w:p>
    <w:p w:rsidR="003B2B27" w:rsidRPr="003F5457" w:rsidRDefault="003B2B27">
      <w:pPr>
        <w:rPr>
          <w:b/>
          <w:lang w:val="en-US"/>
        </w:rPr>
      </w:pPr>
      <w:proofErr w:type="spellStart"/>
      <w:r w:rsidRPr="003F5457">
        <w:rPr>
          <w:b/>
          <w:lang w:val="en-US"/>
        </w:rPr>
        <w:t>Prasugrel</w:t>
      </w:r>
      <w:proofErr w:type="spellEnd"/>
      <w:r w:rsidRPr="003F5457">
        <w:rPr>
          <w:b/>
          <w:lang w:val="en-US"/>
        </w:rPr>
        <w:t>:</w:t>
      </w:r>
      <w:bookmarkStart w:id="2" w:name="_GoBack"/>
      <w:bookmarkEnd w:id="2"/>
    </w:p>
    <w:p w:rsidR="003B2B27" w:rsidRPr="003F5457" w:rsidRDefault="003B2B27" w:rsidP="001D1074">
      <w:pPr>
        <w:pStyle w:val="ListParagraph"/>
        <w:numPr>
          <w:ilvl w:val="0"/>
          <w:numId w:val="4"/>
        </w:numPr>
        <w:rPr>
          <w:rFonts w:cs="Arial"/>
          <w:color w:val="000000"/>
        </w:rPr>
      </w:pPr>
      <w:r w:rsidRPr="003F5457">
        <w:rPr>
          <w:rFonts w:cs="Arial"/>
          <w:color w:val="000000"/>
        </w:rPr>
        <w:t xml:space="preserve">is a newer-generation </w:t>
      </w:r>
      <w:proofErr w:type="spellStart"/>
      <w:r w:rsidRPr="003F5457">
        <w:rPr>
          <w:rFonts w:cs="Arial"/>
          <w:color w:val="000000"/>
        </w:rPr>
        <w:t>thienopyridine</w:t>
      </w:r>
      <w:proofErr w:type="spellEnd"/>
      <w:r w:rsidRPr="003F5457">
        <w:rPr>
          <w:rFonts w:cs="Arial"/>
          <w:color w:val="000000"/>
        </w:rPr>
        <w:t xml:space="preserve"> (the first generation is </w:t>
      </w:r>
      <w:proofErr w:type="spellStart"/>
      <w:r w:rsidRPr="003F5457">
        <w:rPr>
          <w:rFonts w:cs="Arial"/>
          <w:color w:val="000000"/>
        </w:rPr>
        <w:t>ticlopidine</w:t>
      </w:r>
      <w:proofErr w:type="spellEnd"/>
      <w:r w:rsidRPr="003F5457">
        <w:rPr>
          <w:rFonts w:cs="Arial"/>
          <w:color w:val="000000"/>
        </w:rPr>
        <w:t xml:space="preserve"> and the second is </w:t>
      </w:r>
      <w:proofErr w:type="spellStart"/>
      <w:r w:rsidRPr="003F5457">
        <w:rPr>
          <w:rFonts w:cs="Arial"/>
          <w:color w:val="000000"/>
        </w:rPr>
        <w:t>clopidogrel</w:t>
      </w:r>
      <w:proofErr w:type="spellEnd"/>
      <w:r w:rsidRPr="003F5457">
        <w:rPr>
          <w:rFonts w:cs="Arial"/>
          <w:color w:val="000000"/>
        </w:rPr>
        <w:t>) that irreversibly and noncompetitively inhibits the P2Y</w:t>
      </w:r>
      <w:r w:rsidRPr="003F5457">
        <w:rPr>
          <w:rFonts w:cs="Arial"/>
          <w:color w:val="000000"/>
          <w:vertAlign w:val="subscript"/>
        </w:rPr>
        <w:t>12</w:t>
      </w:r>
      <w:r w:rsidRPr="003F5457">
        <w:rPr>
          <w:rFonts w:cs="Arial"/>
          <w:color w:val="000000"/>
        </w:rPr>
        <w:t xml:space="preserve"> receptor at t</w:t>
      </w:r>
      <w:r w:rsidRPr="003F5457">
        <w:rPr>
          <w:rFonts w:cs="Arial"/>
          <w:color w:val="000000"/>
        </w:rPr>
        <w:t xml:space="preserve">he same site as </w:t>
      </w:r>
      <w:proofErr w:type="spellStart"/>
      <w:r w:rsidRPr="003F5457">
        <w:rPr>
          <w:rFonts w:cs="Arial"/>
          <w:color w:val="000000"/>
        </w:rPr>
        <w:t>clopidogrel</w:t>
      </w:r>
      <w:proofErr w:type="spellEnd"/>
      <w:r w:rsidRPr="003F5457">
        <w:rPr>
          <w:rFonts w:cs="Arial"/>
          <w:color w:val="000000"/>
        </w:rPr>
        <w:t xml:space="preserve"> </w:t>
      </w:r>
    </w:p>
    <w:p w:rsidR="003B2B27" w:rsidRPr="003F5457" w:rsidRDefault="003B2B27" w:rsidP="001D1074">
      <w:pPr>
        <w:pStyle w:val="ListParagraph"/>
        <w:numPr>
          <w:ilvl w:val="0"/>
          <w:numId w:val="4"/>
        </w:numPr>
        <w:rPr>
          <w:rFonts w:cs="Arial"/>
          <w:color w:val="000000"/>
        </w:rPr>
      </w:pPr>
      <w:r w:rsidRPr="003F5457">
        <w:rPr>
          <w:rFonts w:cs="Arial"/>
          <w:color w:val="000000"/>
        </w:rPr>
        <w:t xml:space="preserve">This is a </w:t>
      </w:r>
      <w:proofErr w:type="spellStart"/>
      <w:r w:rsidRPr="003F5457">
        <w:rPr>
          <w:rFonts w:cs="Arial"/>
          <w:color w:val="000000"/>
        </w:rPr>
        <w:t>prodrug</w:t>
      </w:r>
      <w:proofErr w:type="spellEnd"/>
      <w:r w:rsidRPr="003F5457">
        <w:rPr>
          <w:rFonts w:cs="Arial"/>
          <w:color w:val="000000"/>
        </w:rPr>
        <w:t xml:space="preserve"> that requires activation in the small intestine and liver</w:t>
      </w:r>
    </w:p>
    <w:p w:rsidR="00907A11" w:rsidRPr="003F5457" w:rsidRDefault="003B2B27" w:rsidP="001D1074">
      <w:pPr>
        <w:pStyle w:val="ListParagraph"/>
        <w:numPr>
          <w:ilvl w:val="0"/>
          <w:numId w:val="4"/>
        </w:numPr>
        <w:rPr>
          <w:lang w:val="en-US"/>
        </w:rPr>
      </w:pPr>
      <w:proofErr w:type="spellStart"/>
      <w:r w:rsidRPr="003F5457">
        <w:rPr>
          <w:rFonts w:cs="Arial"/>
          <w:color w:val="000000"/>
        </w:rPr>
        <w:t>Prasugrel</w:t>
      </w:r>
      <w:proofErr w:type="spellEnd"/>
      <w:r w:rsidRPr="003F5457">
        <w:rPr>
          <w:rFonts w:cs="Arial"/>
          <w:color w:val="000000"/>
        </w:rPr>
        <w:t xml:space="preserve">-mediated inhibition of platelet aggregation is approximately five to nine times more potent than that of </w:t>
      </w:r>
      <w:proofErr w:type="spellStart"/>
      <w:r w:rsidRPr="003F5457">
        <w:rPr>
          <w:rFonts w:cs="Arial"/>
          <w:color w:val="000000"/>
        </w:rPr>
        <w:t>clopidogrel</w:t>
      </w:r>
      <w:proofErr w:type="spellEnd"/>
    </w:p>
    <w:p w:rsidR="003B2B27" w:rsidRPr="003F5457" w:rsidRDefault="003B2B27">
      <w:pPr>
        <w:rPr>
          <w:rFonts w:cs="Arial"/>
          <w:b/>
          <w:color w:val="000000"/>
        </w:rPr>
      </w:pPr>
      <w:proofErr w:type="spellStart"/>
      <w:r w:rsidRPr="003F5457">
        <w:rPr>
          <w:rFonts w:cs="Arial"/>
          <w:b/>
          <w:color w:val="000000"/>
        </w:rPr>
        <w:t>Ticagrelor</w:t>
      </w:r>
      <w:proofErr w:type="spellEnd"/>
      <w:r w:rsidRPr="003F5457">
        <w:rPr>
          <w:rFonts w:cs="Arial"/>
          <w:b/>
          <w:color w:val="000000"/>
        </w:rPr>
        <w:t>:</w:t>
      </w:r>
    </w:p>
    <w:p w:rsidR="00907A11" w:rsidRPr="003F5457" w:rsidRDefault="003B2B27" w:rsidP="001D1074">
      <w:pPr>
        <w:pStyle w:val="ListParagraph"/>
        <w:numPr>
          <w:ilvl w:val="0"/>
          <w:numId w:val="3"/>
        </w:numPr>
        <w:rPr>
          <w:rFonts w:cs="Arial"/>
          <w:color w:val="000000"/>
        </w:rPr>
      </w:pPr>
      <w:r w:rsidRPr="003F5457">
        <w:rPr>
          <w:rFonts w:cs="Arial"/>
          <w:color w:val="000000"/>
        </w:rPr>
        <w:t xml:space="preserve">belongs to a novel chemical class, </w:t>
      </w:r>
      <w:proofErr w:type="spellStart"/>
      <w:r w:rsidRPr="003F5457">
        <w:rPr>
          <w:rFonts w:cs="Arial"/>
          <w:color w:val="000000"/>
        </w:rPr>
        <w:t>cyclopentyl-triazolopyrimidine</w:t>
      </w:r>
      <w:proofErr w:type="spellEnd"/>
      <w:r w:rsidRPr="003F5457">
        <w:rPr>
          <w:rFonts w:cs="Arial"/>
          <w:color w:val="000000"/>
        </w:rPr>
        <w:t xml:space="preserve">, and is an oral reversibly binding </w:t>
      </w:r>
      <w:proofErr w:type="spellStart"/>
      <w:r w:rsidRPr="003F5457">
        <w:rPr>
          <w:rFonts w:cs="Arial"/>
          <w:color w:val="000000"/>
        </w:rPr>
        <w:t>noncompetitive</w:t>
      </w:r>
      <w:proofErr w:type="spellEnd"/>
      <w:r w:rsidRPr="003F5457">
        <w:rPr>
          <w:rFonts w:cs="Arial"/>
          <w:color w:val="000000"/>
        </w:rPr>
        <w:t xml:space="preserve"> inhibitor of the P2Y</w:t>
      </w:r>
      <w:r w:rsidRPr="003F5457">
        <w:rPr>
          <w:rFonts w:cs="Arial"/>
          <w:color w:val="000000"/>
          <w:vertAlign w:val="subscript"/>
        </w:rPr>
        <w:t>12</w:t>
      </w:r>
      <w:r w:rsidRPr="003F5457">
        <w:rPr>
          <w:rFonts w:cs="Arial"/>
          <w:color w:val="000000"/>
        </w:rPr>
        <w:t xml:space="preserve"> receptor with a plasma half-life of approximately 12 hours</w:t>
      </w:r>
    </w:p>
    <w:p w:rsidR="003B2B27" w:rsidRPr="003F5457" w:rsidRDefault="003B2B27" w:rsidP="001D1074">
      <w:pPr>
        <w:pStyle w:val="ListParagraph"/>
        <w:numPr>
          <w:ilvl w:val="0"/>
          <w:numId w:val="3"/>
        </w:numPr>
        <w:rPr>
          <w:rFonts w:cs="Arial"/>
          <w:color w:val="000000"/>
        </w:rPr>
      </w:pPr>
      <w:r w:rsidRPr="003F5457">
        <w:rPr>
          <w:rFonts w:cs="Arial"/>
          <w:color w:val="000000"/>
        </w:rPr>
        <w:t xml:space="preserve">Like </w:t>
      </w:r>
      <w:proofErr w:type="spellStart"/>
      <w:r w:rsidRPr="003F5457">
        <w:rPr>
          <w:rFonts w:cs="Arial"/>
          <w:color w:val="000000"/>
        </w:rPr>
        <w:t>prasugrel</w:t>
      </w:r>
      <w:proofErr w:type="spellEnd"/>
      <w:r w:rsidRPr="003F5457">
        <w:rPr>
          <w:rFonts w:cs="Arial"/>
          <w:color w:val="000000"/>
        </w:rPr>
        <w:t xml:space="preserve">, it has a more rapid and consistent onset of action than </w:t>
      </w:r>
      <w:proofErr w:type="spellStart"/>
      <w:r w:rsidRPr="003F5457">
        <w:rPr>
          <w:rFonts w:cs="Arial"/>
          <w:color w:val="000000"/>
        </w:rPr>
        <w:t>clopidogrel</w:t>
      </w:r>
      <w:proofErr w:type="spellEnd"/>
      <w:r w:rsidRPr="003F5457">
        <w:rPr>
          <w:rFonts w:cs="Arial"/>
          <w:color w:val="000000"/>
        </w:rPr>
        <w:t xml:space="preserve">, but additionally it has a quicker offset of action so that recovery of platelet function is faster. Unlike </w:t>
      </w:r>
      <w:proofErr w:type="spellStart"/>
      <w:r w:rsidRPr="003F5457">
        <w:rPr>
          <w:rFonts w:cs="Arial"/>
          <w:color w:val="000000"/>
        </w:rPr>
        <w:t>prasugrel</w:t>
      </w:r>
      <w:proofErr w:type="spellEnd"/>
      <w:r w:rsidRPr="003F5457">
        <w:rPr>
          <w:rFonts w:cs="Arial"/>
          <w:color w:val="000000"/>
        </w:rPr>
        <w:t>, it requires no hepatic activation</w:t>
      </w:r>
    </w:p>
    <w:p w:rsidR="003B2B27" w:rsidRPr="003F5457" w:rsidRDefault="003B2B27" w:rsidP="001D1074">
      <w:pPr>
        <w:pStyle w:val="ListParagraph"/>
        <w:numPr>
          <w:ilvl w:val="0"/>
          <w:numId w:val="3"/>
        </w:numPr>
        <w:rPr>
          <w:rFonts w:cs="Arial"/>
          <w:color w:val="000000"/>
        </w:rPr>
      </w:pPr>
      <w:proofErr w:type="spellStart"/>
      <w:r w:rsidRPr="003F5457">
        <w:rPr>
          <w:rFonts w:cs="Arial"/>
          <w:color w:val="000000"/>
        </w:rPr>
        <w:t>Ticagrelor</w:t>
      </w:r>
      <w:proofErr w:type="spellEnd"/>
      <w:r w:rsidRPr="003F5457">
        <w:rPr>
          <w:rFonts w:cs="Arial"/>
          <w:color w:val="000000"/>
        </w:rPr>
        <w:t xml:space="preserve"> inhibits hepatic CYP3A to increase blood levels of drugs metabolized through CYP3A, such as amlodipine</w:t>
      </w:r>
    </w:p>
    <w:p w:rsidR="006F0313" w:rsidRPr="003F5457" w:rsidRDefault="006F0313">
      <w:pPr>
        <w:rPr>
          <w:lang w:val="en-US"/>
        </w:rPr>
      </w:pPr>
      <w:proofErr w:type="spellStart"/>
      <w:r w:rsidRPr="003F5457">
        <w:rPr>
          <w:rFonts w:cs="Arial"/>
          <w:b/>
          <w:color w:val="000000"/>
          <w:u w:val="single"/>
        </w:rPr>
        <w:t>GpIIb</w:t>
      </w:r>
      <w:proofErr w:type="spellEnd"/>
      <w:r w:rsidRPr="003F5457">
        <w:rPr>
          <w:rFonts w:cs="Arial"/>
          <w:b/>
          <w:color w:val="000000"/>
          <w:u w:val="single"/>
        </w:rPr>
        <w:t>/</w:t>
      </w:r>
      <w:proofErr w:type="spellStart"/>
      <w:r w:rsidRPr="003F5457">
        <w:rPr>
          <w:rFonts w:cs="Arial"/>
          <w:b/>
          <w:color w:val="000000"/>
          <w:u w:val="single"/>
        </w:rPr>
        <w:t>IIIa</w:t>
      </w:r>
      <w:proofErr w:type="spellEnd"/>
      <w:r w:rsidRPr="003F5457">
        <w:rPr>
          <w:rFonts w:cs="Arial"/>
          <w:b/>
          <w:color w:val="000000"/>
          <w:u w:val="single"/>
        </w:rPr>
        <w:t xml:space="preserve"> Receptor antagonists</w:t>
      </w:r>
      <w:r w:rsidRPr="003F5457">
        <w:rPr>
          <w:rFonts w:cs="Arial"/>
          <w:color w:val="000000"/>
        </w:rPr>
        <w:t>:</w:t>
      </w:r>
    </w:p>
    <w:p w:rsidR="001D1074" w:rsidRPr="003F5457" w:rsidRDefault="001D1074" w:rsidP="00CA3B81">
      <w:pPr>
        <w:pStyle w:val="ListParagraph"/>
        <w:numPr>
          <w:ilvl w:val="0"/>
          <w:numId w:val="5"/>
        </w:numPr>
        <w:rPr>
          <w:rFonts w:cs="Arial"/>
          <w:color w:val="000000"/>
        </w:rPr>
      </w:pPr>
      <w:proofErr w:type="spellStart"/>
      <w:r w:rsidRPr="003F5457">
        <w:rPr>
          <w:rFonts w:cs="Arial"/>
          <w:color w:val="000000"/>
        </w:rPr>
        <w:t>GpIIb</w:t>
      </w:r>
      <w:proofErr w:type="spellEnd"/>
      <w:r w:rsidRPr="003F5457">
        <w:rPr>
          <w:rFonts w:cs="Arial"/>
          <w:color w:val="000000"/>
        </w:rPr>
        <w:t>/</w:t>
      </w:r>
      <w:proofErr w:type="spellStart"/>
      <w:r w:rsidRPr="003F5457">
        <w:rPr>
          <w:rFonts w:cs="Arial"/>
          <w:color w:val="000000"/>
        </w:rPr>
        <w:t>IIIa</w:t>
      </w:r>
      <w:proofErr w:type="spellEnd"/>
      <w:r w:rsidRPr="003F5457">
        <w:rPr>
          <w:rFonts w:cs="Arial"/>
          <w:color w:val="000000"/>
        </w:rPr>
        <w:t xml:space="preserve"> blockers inhibit one of the platelet integrin adhesion receptors k</w:t>
      </w:r>
      <w:r w:rsidRPr="003F5457">
        <w:rPr>
          <w:rFonts w:cs="Arial"/>
          <w:color w:val="000000"/>
        </w:rPr>
        <w:t>nown as the α</w:t>
      </w:r>
      <w:proofErr w:type="spellStart"/>
      <w:r w:rsidRPr="003F5457">
        <w:rPr>
          <w:rFonts w:cs="Arial"/>
          <w:color w:val="000000"/>
        </w:rPr>
        <w:t>IIb</w:t>
      </w:r>
      <w:proofErr w:type="spellEnd"/>
      <w:r w:rsidRPr="003F5457">
        <w:rPr>
          <w:rFonts w:cs="Arial"/>
          <w:color w:val="000000"/>
        </w:rPr>
        <w:t xml:space="preserve">β3 receptor </w:t>
      </w:r>
    </w:p>
    <w:p w:rsidR="00907A11" w:rsidRPr="003F5457" w:rsidRDefault="001D1074" w:rsidP="00CA3B81">
      <w:pPr>
        <w:pStyle w:val="ListParagraph"/>
        <w:numPr>
          <w:ilvl w:val="0"/>
          <w:numId w:val="5"/>
        </w:numPr>
        <w:rPr>
          <w:rFonts w:cs="Arial"/>
          <w:color w:val="000000"/>
        </w:rPr>
      </w:pPr>
      <w:r w:rsidRPr="003F5457">
        <w:rPr>
          <w:rFonts w:cs="Arial"/>
          <w:color w:val="000000"/>
        </w:rPr>
        <w:t xml:space="preserve">Thereby they block final platelet activation and cross-linking by fibrinogen and </w:t>
      </w:r>
      <w:proofErr w:type="spellStart"/>
      <w:r w:rsidRPr="003F5457">
        <w:rPr>
          <w:rFonts w:cs="Arial"/>
          <w:color w:val="000000"/>
        </w:rPr>
        <w:t>vWF</w:t>
      </w:r>
      <w:proofErr w:type="spellEnd"/>
      <w:r w:rsidRPr="003F5457">
        <w:rPr>
          <w:rFonts w:cs="Arial"/>
          <w:color w:val="000000"/>
        </w:rPr>
        <w:t>.</w:t>
      </w:r>
    </w:p>
    <w:p w:rsidR="001D1074" w:rsidRPr="003F5457" w:rsidRDefault="001D1074" w:rsidP="00CA3B81">
      <w:pPr>
        <w:pStyle w:val="ListParagraph"/>
        <w:numPr>
          <w:ilvl w:val="0"/>
          <w:numId w:val="5"/>
        </w:numPr>
        <w:rPr>
          <w:rFonts w:cs="Arial"/>
          <w:color w:val="000000"/>
        </w:rPr>
      </w:pPr>
      <w:r w:rsidRPr="003F5457">
        <w:rPr>
          <w:rFonts w:cs="Arial"/>
          <w:color w:val="000000"/>
        </w:rPr>
        <w:t xml:space="preserve">The three commonly used </w:t>
      </w:r>
      <w:proofErr w:type="spellStart"/>
      <w:r w:rsidRPr="003F5457">
        <w:rPr>
          <w:rFonts w:cs="Arial"/>
          <w:color w:val="000000"/>
        </w:rPr>
        <w:t>GpIIb</w:t>
      </w:r>
      <w:proofErr w:type="spellEnd"/>
      <w:r w:rsidRPr="003F5457">
        <w:rPr>
          <w:rFonts w:cs="Arial"/>
          <w:color w:val="000000"/>
        </w:rPr>
        <w:t>/</w:t>
      </w:r>
      <w:proofErr w:type="spellStart"/>
      <w:r w:rsidRPr="003F5457">
        <w:rPr>
          <w:rFonts w:cs="Arial"/>
          <w:color w:val="000000"/>
        </w:rPr>
        <w:t>IIIa</w:t>
      </w:r>
      <w:proofErr w:type="spellEnd"/>
      <w:r w:rsidRPr="003F5457">
        <w:rPr>
          <w:rFonts w:cs="Arial"/>
          <w:color w:val="000000"/>
        </w:rPr>
        <w:t xml:space="preserve"> antagonists are </w:t>
      </w:r>
      <w:proofErr w:type="spellStart"/>
      <w:r w:rsidRPr="003F5457">
        <w:rPr>
          <w:rFonts w:cs="Arial"/>
          <w:color w:val="000000"/>
        </w:rPr>
        <w:t>abciximab</w:t>
      </w:r>
      <w:proofErr w:type="spellEnd"/>
      <w:r w:rsidRPr="003F5457">
        <w:rPr>
          <w:rFonts w:cs="Arial"/>
          <w:color w:val="000000"/>
        </w:rPr>
        <w:t xml:space="preserve">, </w:t>
      </w:r>
      <w:proofErr w:type="spellStart"/>
      <w:r w:rsidRPr="003F5457">
        <w:rPr>
          <w:rFonts w:cs="Arial"/>
          <w:color w:val="000000"/>
        </w:rPr>
        <w:t>tirofiban</w:t>
      </w:r>
      <w:proofErr w:type="spellEnd"/>
      <w:r w:rsidRPr="003F5457">
        <w:rPr>
          <w:rFonts w:cs="Arial"/>
          <w:color w:val="000000"/>
        </w:rPr>
        <w:t xml:space="preserve">, and </w:t>
      </w:r>
      <w:proofErr w:type="spellStart"/>
      <w:r w:rsidRPr="003F5457">
        <w:rPr>
          <w:rFonts w:cs="Arial"/>
          <w:color w:val="000000"/>
        </w:rPr>
        <w:t>eptifibatide</w:t>
      </w:r>
      <w:proofErr w:type="spellEnd"/>
    </w:p>
    <w:p w:rsidR="00CA3B81" w:rsidRPr="003F5457" w:rsidRDefault="00CA3B81" w:rsidP="00CA3B81">
      <w:pPr>
        <w:pStyle w:val="ListParagraph"/>
        <w:numPr>
          <w:ilvl w:val="0"/>
          <w:numId w:val="5"/>
        </w:numPr>
        <w:rPr>
          <w:lang w:val="en-US"/>
        </w:rPr>
      </w:pPr>
      <w:r w:rsidRPr="003F5457">
        <w:rPr>
          <w:rFonts w:cs="Arial"/>
          <w:color w:val="000000"/>
        </w:rPr>
        <w:t>The major problem with these agents is acute thrombocytopenia at rates ranging from 0.3% to 6%</w:t>
      </w:r>
      <w:r w:rsidRPr="003F5457">
        <w:rPr>
          <w:rFonts w:cs="Arial"/>
          <w:color w:val="000000"/>
        </w:rPr>
        <w:t xml:space="preserve"> (humans) </w:t>
      </w:r>
      <w:r w:rsidRPr="003F5457">
        <w:rPr>
          <w:rFonts w:cs="Arial"/>
          <w:color w:val="000000"/>
        </w:rPr>
        <w:t>with added risk of delayed thrombocytopenia after 5-11 days; both acute types are thought to be caused by drug-dependent antibodies.</w:t>
      </w:r>
    </w:p>
    <w:p w:rsidR="00907A11" w:rsidRPr="003F5457" w:rsidRDefault="00907A11">
      <w:pPr>
        <w:rPr>
          <w:lang w:val="en-US"/>
        </w:rPr>
      </w:pPr>
    </w:p>
    <w:p w:rsidR="00CA3B81" w:rsidRPr="00CA3B81" w:rsidRDefault="00CA3B81" w:rsidP="00CA3B81">
      <w:pPr>
        <w:shd w:val="clear" w:color="auto" w:fill="FFFFFF"/>
        <w:spacing w:after="0" w:line="240" w:lineRule="auto"/>
        <w:rPr>
          <w:rFonts w:eastAsia="Times New Roman" w:cs="Arial"/>
          <w:color w:val="000000"/>
          <w:lang w:eastAsia="en-CA"/>
        </w:rPr>
      </w:pPr>
      <w:r w:rsidRPr="00CA3B81">
        <w:rPr>
          <w:rFonts w:eastAsia="Times New Roman" w:cs="Arial"/>
          <w:b/>
          <w:bCs/>
          <w:color w:val="000000"/>
          <w:lang w:eastAsia="en-CA"/>
        </w:rPr>
        <w:t>Table 9-2</w:t>
      </w:r>
      <w:r w:rsidRPr="00CA3B81">
        <w:rPr>
          <w:rFonts w:eastAsia="Times New Roman" w:cs="Arial"/>
          <w:color w:val="000000"/>
          <w:lang w:eastAsia="en-CA"/>
        </w:rPr>
        <w:t xml:space="preserve">  </w:t>
      </w:r>
      <w:r w:rsidRPr="00CA3B81">
        <w:rPr>
          <w:rFonts w:eastAsia="Times New Roman" w:cs="Arial"/>
          <w:b/>
          <w:bCs/>
          <w:color w:val="000000"/>
          <w:lang w:eastAsia="en-CA"/>
        </w:rPr>
        <w:t> -- </w:t>
      </w:r>
      <w:bookmarkStart w:id="3" w:name="4-u1.0-B978-1-4557-3322-4..00018-1--p353"/>
      <w:bookmarkEnd w:id="3"/>
      <w:proofErr w:type="spellStart"/>
      <w:r w:rsidRPr="003F5457">
        <w:rPr>
          <w:rFonts w:eastAsia="Times New Roman" w:cs="Arial"/>
          <w:b/>
          <w:bCs/>
          <w:color w:val="000000"/>
          <w:lang w:eastAsia="en-CA"/>
        </w:rPr>
        <w:t>GpIIb</w:t>
      </w:r>
      <w:proofErr w:type="spellEnd"/>
      <w:r w:rsidRPr="003F5457">
        <w:rPr>
          <w:rFonts w:eastAsia="Times New Roman" w:cs="Arial"/>
          <w:b/>
          <w:bCs/>
          <w:color w:val="000000"/>
          <w:lang w:eastAsia="en-CA"/>
        </w:rPr>
        <w:t>/</w:t>
      </w:r>
      <w:proofErr w:type="spellStart"/>
      <w:r w:rsidRPr="003F5457">
        <w:rPr>
          <w:rFonts w:eastAsia="Times New Roman" w:cs="Arial"/>
          <w:b/>
          <w:bCs/>
          <w:color w:val="000000"/>
          <w:lang w:eastAsia="en-CA"/>
        </w:rPr>
        <w:t>IIIa</w:t>
      </w:r>
      <w:proofErr w:type="spellEnd"/>
      <w:r w:rsidRPr="003F5457">
        <w:rPr>
          <w:rFonts w:eastAsia="Times New Roman" w:cs="Arial"/>
          <w:b/>
          <w:bCs/>
          <w:color w:val="000000"/>
          <w:lang w:eastAsia="en-CA"/>
        </w:rPr>
        <w:t xml:space="preserve"> Receptor Antagonists: Key Properties</w:t>
      </w:r>
    </w:p>
    <w:tbl>
      <w:tblPr>
        <w:tblW w:w="0" w:type="auto"/>
        <w:tblCellSpacing w:w="0" w:type="dxa"/>
        <w:tblBorders>
          <w:top w:val="outset" w:sz="6" w:space="0" w:color="EFEFEF"/>
          <w:left w:val="outset" w:sz="6" w:space="0" w:color="EFEFEF"/>
          <w:bottom w:val="outset" w:sz="6" w:space="0" w:color="EFEFEF"/>
          <w:right w:val="outset" w:sz="6" w:space="0" w:color="EFEFEF"/>
        </w:tblBorders>
        <w:tblCellMar>
          <w:left w:w="0" w:type="dxa"/>
          <w:right w:w="0" w:type="dxa"/>
        </w:tblCellMar>
        <w:tblLook w:val="04A0" w:firstRow="1" w:lastRow="0" w:firstColumn="1" w:lastColumn="0" w:noHBand="0" w:noVBand="1"/>
      </w:tblPr>
      <w:tblGrid>
        <w:gridCol w:w="1319"/>
        <w:gridCol w:w="950"/>
        <w:gridCol w:w="2095"/>
        <w:gridCol w:w="1637"/>
        <w:gridCol w:w="1149"/>
        <w:gridCol w:w="2240"/>
      </w:tblGrid>
      <w:tr w:rsidR="00CA3B81" w:rsidRPr="00CA3B81" w:rsidTr="00CA3B81">
        <w:trPr>
          <w:tblHeade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after="0" w:line="240" w:lineRule="auto"/>
              <w:rPr>
                <w:rFonts w:eastAsia="Times New Roman" w:cs="Arial"/>
                <w:color w:val="000000"/>
                <w:lang w:eastAsia="en-CA"/>
              </w:rPr>
            </w:pPr>
            <w:r w:rsidRPr="00CA3B81">
              <w:rPr>
                <w:rFonts w:eastAsia="Times New Roman" w:cs="Arial"/>
                <w:color w:val="000000"/>
                <w:lang w:eastAsia="en-CA"/>
              </w:rPr>
              <w:t>Compound and US Licensed Indications</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after="0" w:line="240" w:lineRule="auto"/>
              <w:rPr>
                <w:rFonts w:eastAsia="Times New Roman" w:cs="Arial"/>
                <w:color w:val="000000"/>
                <w:lang w:eastAsia="en-CA"/>
              </w:rPr>
            </w:pPr>
            <w:r w:rsidRPr="00CA3B81">
              <w:rPr>
                <w:rFonts w:eastAsia="Times New Roman" w:cs="Arial"/>
                <w:color w:val="000000"/>
                <w:lang w:eastAsia="en-CA"/>
              </w:rPr>
              <w:t>Supporting Trials</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after="0" w:line="240" w:lineRule="auto"/>
              <w:rPr>
                <w:rFonts w:eastAsia="Times New Roman" w:cs="Arial"/>
                <w:color w:val="000000"/>
                <w:lang w:eastAsia="en-CA"/>
              </w:rPr>
            </w:pPr>
            <w:r w:rsidRPr="00CA3B81">
              <w:rPr>
                <w:rFonts w:eastAsia="Times New Roman" w:cs="Arial"/>
                <w:color w:val="000000"/>
                <w:lang w:eastAsia="en-CA"/>
              </w:rPr>
              <w:t>Pharmacokinetics</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after="0" w:line="240" w:lineRule="auto"/>
              <w:rPr>
                <w:rFonts w:eastAsia="Times New Roman" w:cs="Arial"/>
                <w:color w:val="000000"/>
                <w:lang w:eastAsia="en-CA"/>
              </w:rPr>
            </w:pPr>
            <w:r w:rsidRPr="00CA3B81">
              <w:rPr>
                <w:rFonts w:eastAsia="Times New Roman" w:cs="Arial"/>
                <w:color w:val="000000"/>
                <w:lang w:eastAsia="en-CA"/>
              </w:rPr>
              <w:t>Doses (all with aspirin and heparin)</w:t>
            </w:r>
            <w:hyperlink r:id="rId6" w:history="1">
              <w:r w:rsidRPr="003F5457">
                <w:rPr>
                  <w:rFonts w:eastAsia="Times New Roman" w:cs="Arial"/>
                  <w:color w:val="0066CC"/>
                  <w:lang w:eastAsia="en-CA"/>
                </w:rPr>
                <w:t>*</w:t>
              </w:r>
            </w:hyperlink>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after="0" w:line="240" w:lineRule="auto"/>
              <w:rPr>
                <w:rFonts w:eastAsia="Times New Roman" w:cs="Arial"/>
                <w:color w:val="000000"/>
                <w:lang w:eastAsia="en-CA"/>
              </w:rPr>
            </w:pPr>
            <w:r w:rsidRPr="00CA3B81">
              <w:rPr>
                <w:rFonts w:eastAsia="Times New Roman" w:cs="Arial"/>
                <w:color w:val="000000"/>
                <w:lang w:eastAsia="en-CA"/>
              </w:rPr>
              <w:t>Special Points</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after="0" w:line="240" w:lineRule="auto"/>
              <w:rPr>
                <w:rFonts w:eastAsia="Times New Roman" w:cs="Arial"/>
                <w:color w:val="000000"/>
                <w:lang w:eastAsia="en-CA"/>
              </w:rPr>
            </w:pPr>
            <w:r w:rsidRPr="00CA3B81">
              <w:rPr>
                <w:rFonts w:eastAsia="Times New Roman" w:cs="Arial"/>
                <w:color w:val="000000"/>
                <w:lang w:eastAsia="en-CA"/>
              </w:rPr>
              <w:t>Side Effects and Contraindications</w:t>
            </w:r>
          </w:p>
        </w:tc>
      </w:tr>
      <w:tr w:rsidR="00CA3B81" w:rsidRPr="00CA3B81" w:rsidTr="00CA3B81">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proofErr w:type="spellStart"/>
            <w:r w:rsidRPr="00CA3B81">
              <w:rPr>
                <w:rFonts w:eastAsia="Times New Roman" w:cs="Arial"/>
                <w:color w:val="000000"/>
                <w:lang w:eastAsia="en-CA"/>
              </w:rPr>
              <w:t>Abciximab</w:t>
            </w:r>
            <w:bookmarkStart w:id="4" w:name="4-u1.0-B978-1-4557-3322-4..00018-1--l001" w:colFirst="0" w:colLast="0"/>
            <w:proofErr w:type="spellEnd"/>
          </w:p>
          <w:tbl>
            <w:tblPr>
              <w:tblW w:w="0" w:type="auto"/>
              <w:tblCellSpacing w:w="15" w:type="dxa"/>
              <w:tblCellMar>
                <w:left w:w="0" w:type="dxa"/>
                <w:right w:w="0" w:type="dxa"/>
              </w:tblCellMar>
              <w:tblLook w:val="04A0" w:firstRow="1" w:lastRow="0" w:firstColumn="1" w:lastColumn="0" w:noHBand="0" w:noVBand="1"/>
            </w:tblPr>
            <w:tblGrid>
              <w:gridCol w:w="140"/>
              <w:gridCol w:w="333"/>
              <w:gridCol w:w="816"/>
            </w:tblGrid>
            <w:tr w:rsidR="00CA3B81" w:rsidRPr="00CA3B81">
              <w:trPr>
                <w:tblCellSpacing w:w="15" w:type="dxa"/>
              </w:trPr>
              <w:tc>
                <w:tcPr>
                  <w:tcW w:w="30" w:type="dxa"/>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lastRenderedPageBreak/>
                    <w:t>  </w:t>
                  </w:r>
                </w:p>
              </w:tc>
              <w:tc>
                <w:tcPr>
                  <w:tcW w:w="200" w:type="pct"/>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b/>
                      <w:bCs/>
                      <w:color w:val="000000"/>
                      <w:lang w:eastAsia="en-CA"/>
                    </w:rPr>
                    <w:t>1.</w:t>
                  </w:r>
                  <w:r w:rsidRPr="00CA3B81">
                    <w:rPr>
                      <w:rFonts w:eastAsia="Times New Roman" w:cs="Arial"/>
                      <w:color w:val="000000"/>
                      <w:lang w:eastAsia="en-CA"/>
                    </w:rPr>
                    <w:t xml:space="preserve">    </w:t>
                  </w:r>
                </w:p>
              </w:tc>
              <w:tc>
                <w:tcPr>
                  <w:tcW w:w="0" w:type="auto"/>
                  <w:vAlign w:val="center"/>
                  <w:hideMark/>
                </w:tcPr>
                <w:p w:rsidR="00CA3B81" w:rsidRPr="00CA3B81" w:rsidRDefault="00CA3B81" w:rsidP="00CA3B81">
                  <w:pPr>
                    <w:spacing w:before="240" w:after="240" w:line="240" w:lineRule="auto"/>
                    <w:rPr>
                      <w:rFonts w:eastAsia="Times New Roman" w:cs="Arial"/>
                      <w:color w:val="000000"/>
                      <w:lang w:eastAsia="en-CA"/>
                    </w:rPr>
                  </w:pPr>
                  <w:bookmarkStart w:id="5" w:name="4-u1.0-B978-1-4557-3322-4..00018-1--o001" w:colFirst="2" w:colLast="2"/>
                  <w:r w:rsidRPr="003F5457">
                    <w:rPr>
                      <w:rFonts w:eastAsia="Times New Roman" w:cs="Arial"/>
                      <w:color w:val="000000"/>
                      <w:lang w:eastAsia="en-CA"/>
                    </w:rPr>
                    <w:t>PCI</w:t>
                  </w:r>
                </w:p>
              </w:tc>
            </w:tr>
            <w:tr w:rsidR="00CA3B81" w:rsidRPr="00CA3B81">
              <w:trPr>
                <w:tblCellSpacing w:w="15" w:type="dxa"/>
              </w:trPr>
              <w:tc>
                <w:tcPr>
                  <w:tcW w:w="30" w:type="dxa"/>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w:t>
                  </w:r>
                </w:p>
              </w:tc>
              <w:tc>
                <w:tcPr>
                  <w:tcW w:w="200" w:type="pct"/>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b/>
                      <w:bCs/>
                      <w:color w:val="000000"/>
                      <w:lang w:eastAsia="en-CA"/>
                    </w:rPr>
                    <w:t>2.</w:t>
                  </w:r>
                  <w:r w:rsidRPr="00CA3B81">
                    <w:rPr>
                      <w:rFonts w:eastAsia="Times New Roman" w:cs="Arial"/>
                      <w:color w:val="000000"/>
                      <w:lang w:eastAsia="en-CA"/>
                    </w:rPr>
                    <w:t xml:space="preserve">    </w:t>
                  </w:r>
                </w:p>
              </w:tc>
              <w:tc>
                <w:tcPr>
                  <w:tcW w:w="0" w:type="auto"/>
                  <w:vAlign w:val="center"/>
                  <w:hideMark/>
                </w:tcPr>
                <w:p w:rsidR="00CA3B81" w:rsidRPr="00CA3B81" w:rsidRDefault="00CA3B81" w:rsidP="00CA3B81">
                  <w:pPr>
                    <w:spacing w:before="240" w:after="240" w:line="240" w:lineRule="auto"/>
                    <w:rPr>
                      <w:rFonts w:eastAsia="Times New Roman" w:cs="Arial"/>
                      <w:color w:val="000000"/>
                      <w:lang w:eastAsia="en-CA"/>
                    </w:rPr>
                  </w:pPr>
                  <w:r w:rsidRPr="003F5457">
                    <w:rPr>
                      <w:rFonts w:eastAsia="Times New Roman" w:cs="Arial"/>
                      <w:color w:val="000000"/>
                      <w:lang w:eastAsia="en-CA"/>
                    </w:rPr>
                    <w:t>Unstable angina requiring PCI within 24 h</w:t>
                  </w:r>
                </w:p>
              </w:tc>
            </w:tr>
            <w:bookmarkEnd w:id="5"/>
          </w:tbl>
          <w:p w:rsidR="00CA3B81" w:rsidRPr="00CA3B81" w:rsidRDefault="00CA3B81" w:rsidP="00CA3B81">
            <w:pPr>
              <w:spacing w:before="240" w:after="240" w:line="240" w:lineRule="auto"/>
              <w:rPr>
                <w:rFonts w:eastAsia="Times New Roman" w:cs="Arial"/>
                <w:color w:val="000000"/>
                <w:lang w:eastAsia="en-CA"/>
              </w:rPr>
            </w:pP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lastRenderedPageBreak/>
              <w:t xml:space="preserve">CAPTURE, EPIC, EPILOG, EPISTENT, </w:t>
            </w:r>
            <w:r w:rsidRPr="00CA3B81">
              <w:rPr>
                <w:rFonts w:eastAsia="Times New Roman" w:cs="Arial"/>
                <w:color w:val="000000"/>
                <w:lang w:eastAsia="en-CA"/>
              </w:rPr>
              <w:lastRenderedPageBreak/>
              <w:t>TARGET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lastRenderedPageBreak/>
              <w:t xml:space="preserve">Monoclonal </w:t>
            </w:r>
            <w:proofErr w:type="spellStart"/>
            <w:r w:rsidRPr="00CA3B81">
              <w:rPr>
                <w:rFonts w:eastAsia="Times New Roman" w:cs="Arial"/>
                <w:color w:val="000000"/>
                <w:lang w:eastAsia="en-CA"/>
              </w:rPr>
              <w:t>antibodyHigh</w:t>
            </w:r>
            <w:proofErr w:type="spellEnd"/>
            <w:r w:rsidRPr="00CA3B81">
              <w:rPr>
                <w:rFonts w:eastAsia="Times New Roman" w:cs="Arial"/>
                <w:color w:val="000000"/>
                <w:lang w:eastAsia="en-CA"/>
              </w:rPr>
              <w:t xml:space="preserve"> affinity to platelet receptor (low KD); 67% bound </w:t>
            </w:r>
            <w:r w:rsidRPr="00CA3B81">
              <w:rPr>
                <w:rFonts w:eastAsia="Times New Roman" w:cs="Arial"/>
                <w:color w:val="000000"/>
                <w:lang w:eastAsia="en-CA"/>
              </w:rPr>
              <w:lastRenderedPageBreak/>
              <w:t>to receptor; plasma t</w:t>
            </w:r>
            <w:r w:rsidRPr="00CA3B81">
              <w:rPr>
                <w:rFonts w:eastAsia="Times New Roman" w:cs="Arial"/>
                <w:color w:val="000000"/>
                <w:vertAlign w:val="subscript"/>
                <w:lang w:eastAsia="en-CA"/>
              </w:rPr>
              <w:t>½</w:t>
            </w:r>
            <w:r w:rsidRPr="00CA3B81">
              <w:rPr>
                <w:rFonts w:eastAsia="Times New Roman" w:cs="Arial"/>
                <w:color w:val="000000"/>
                <w:lang w:eastAsia="en-CA"/>
              </w:rPr>
              <w:t xml:space="preserve"> 10-30 min; remains platelet-bound in circulation up to 15 days with some residual activity</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lastRenderedPageBreak/>
              <w:t xml:space="preserve">0.25 mg/kg bolus 10-60 before PCI, then 0.125 mcg/min up to </w:t>
            </w:r>
            <w:r w:rsidRPr="00CA3B81">
              <w:rPr>
                <w:rFonts w:eastAsia="Times New Roman" w:cs="Arial"/>
                <w:color w:val="000000"/>
                <w:lang w:eastAsia="en-CA"/>
              </w:rPr>
              <w:lastRenderedPageBreak/>
              <w:t>max of 10 mcg over 12 h, up to 24 h if ACS with planned PCI</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lastRenderedPageBreak/>
              <w:t xml:space="preserve">Keep vials cold (not frozen); filter bolus </w:t>
            </w:r>
            <w:r w:rsidRPr="00CA3B81">
              <w:rPr>
                <w:rFonts w:eastAsia="Times New Roman" w:cs="Arial"/>
                <w:color w:val="000000"/>
                <w:lang w:eastAsia="en-CA"/>
              </w:rPr>
              <w:lastRenderedPageBreak/>
              <w:t>injection before use, use in-line filter for infusion; discard vial after use.</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lastRenderedPageBreak/>
              <w:t xml:space="preserve">Bleeding—most contraindications relate to risk of bleeding. Use extra care at puncture </w:t>
            </w:r>
            <w:proofErr w:type="spellStart"/>
            <w:r w:rsidRPr="00CA3B81">
              <w:rPr>
                <w:rFonts w:eastAsia="Times New Roman" w:cs="Arial"/>
                <w:color w:val="000000"/>
                <w:lang w:eastAsia="en-CA"/>
              </w:rPr>
              <w:lastRenderedPageBreak/>
              <w:t>sites.Thrombocytopenia</w:t>
            </w:r>
            <w:proofErr w:type="spellEnd"/>
            <w:r w:rsidRPr="00CA3B81">
              <w:rPr>
                <w:rFonts w:eastAsia="Times New Roman" w:cs="Arial"/>
                <w:color w:val="000000"/>
                <w:lang w:eastAsia="en-CA"/>
              </w:rPr>
              <w:t xml:space="preserve">—Caution: obtain platelet count before starting, 2-4 h after bolus and 24 h before discharge of </w:t>
            </w:r>
            <w:proofErr w:type="spellStart"/>
            <w:r w:rsidRPr="00CA3B81">
              <w:rPr>
                <w:rFonts w:eastAsia="Times New Roman" w:cs="Arial"/>
                <w:color w:val="000000"/>
                <w:lang w:eastAsia="en-CA"/>
              </w:rPr>
              <w:t>patientHypersensitivity</w:t>
            </w:r>
            <w:proofErr w:type="spellEnd"/>
            <w:r w:rsidRPr="00CA3B81">
              <w:rPr>
                <w:rFonts w:eastAsia="Times New Roman" w:cs="Arial"/>
                <w:color w:val="000000"/>
                <w:lang w:eastAsia="en-CA"/>
              </w:rPr>
              <w:t>—rare.</w:t>
            </w:r>
          </w:p>
        </w:tc>
      </w:tr>
      <w:tr w:rsidR="00CA3B81" w:rsidRPr="00CA3B81" w:rsidTr="00CA3B81">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proofErr w:type="spellStart"/>
            <w:r w:rsidRPr="00CA3B81">
              <w:rPr>
                <w:rFonts w:eastAsia="Times New Roman" w:cs="Arial"/>
                <w:color w:val="000000"/>
                <w:lang w:eastAsia="en-CA"/>
              </w:rPr>
              <w:lastRenderedPageBreak/>
              <w:t>Eptifibatide</w:t>
            </w:r>
            <w:proofErr w:type="spellEnd"/>
          </w:p>
          <w:tbl>
            <w:tblPr>
              <w:tblW w:w="0" w:type="auto"/>
              <w:tblCellSpacing w:w="15" w:type="dxa"/>
              <w:tblCellMar>
                <w:left w:w="0" w:type="dxa"/>
                <w:right w:w="0" w:type="dxa"/>
              </w:tblCellMar>
              <w:tblLook w:val="04A0" w:firstRow="1" w:lastRow="0" w:firstColumn="1" w:lastColumn="0" w:noHBand="0" w:noVBand="1"/>
            </w:tblPr>
            <w:tblGrid>
              <w:gridCol w:w="139"/>
              <w:gridCol w:w="329"/>
              <w:gridCol w:w="821"/>
            </w:tblGrid>
            <w:tr w:rsidR="00CA3B81" w:rsidRPr="00CA3B81">
              <w:trPr>
                <w:tblCellSpacing w:w="15" w:type="dxa"/>
              </w:trPr>
              <w:tc>
                <w:tcPr>
                  <w:tcW w:w="30" w:type="dxa"/>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w:t>
                  </w:r>
                </w:p>
              </w:tc>
              <w:tc>
                <w:tcPr>
                  <w:tcW w:w="200" w:type="pct"/>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b/>
                      <w:bCs/>
                      <w:color w:val="000000"/>
                      <w:lang w:eastAsia="en-CA"/>
                    </w:rPr>
                    <w:t>1.</w:t>
                  </w:r>
                  <w:r w:rsidRPr="00CA3B81">
                    <w:rPr>
                      <w:rFonts w:eastAsia="Times New Roman" w:cs="Arial"/>
                      <w:color w:val="000000"/>
                      <w:lang w:eastAsia="en-CA"/>
                    </w:rPr>
                    <w:t xml:space="preserve">    </w:t>
                  </w:r>
                </w:p>
              </w:tc>
              <w:tc>
                <w:tcPr>
                  <w:tcW w:w="0" w:type="auto"/>
                  <w:vAlign w:val="center"/>
                  <w:hideMark/>
                </w:tcPr>
                <w:p w:rsidR="00CA3B81" w:rsidRPr="00CA3B81" w:rsidRDefault="00CA3B81" w:rsidP="00CA3B81">
                  <w:pPr>
                    <w:spacing w:before="240" w:after="240" w:line="240" w:lineRule="auto"/>
                    <w:rPr>
                      <w:rFonts w:eastAsia="Times New Roman" w:cs="Arial"/>
                      <w:color w:val="000000"/>
                      <w:lang w:eastAsia="en-CA"/>
                    </w:rPr>
                  </w:pPr>
                  <w:bookmarkStart w:id="6" w:name="4-u1.0-B978-1-4557-3322-4..00018-1--o002" w:colFirst="2" w:colLast="2"/>
                  <w:r w:rsidRPr="003F5457">
                    <w:rPr>
                      <w:rFonts w:eastAsia="Times New Roman" w:cs="Arial"/>
                      <w:color w:val="000000"/>
                      <w:lang w:eastAsia="en-CA"/>
                    </w:rPr>
                    <w:t>PCI</w:t>
                  </w:r>
                </w:p>
              </w:tc>
            </w:tr>
            <w:bookmarkEnd w:id="4"/>
            <w:tr w:rsidR="00CA3B81" w:rsidRPr="00CA3B81">
              <w:trPr>
                <w:tblCellSpacing w:w="15" w:type="dxa"/>
              </w:trPr>
              <w:tc>
                <w:tcPr>
                  <w:tcW w:w="30" w:type="dxa"/>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w:t>
                  </w:r>
                </w:p>
              </w:tc>
              <w:tc>
                <w:tcPr>
                  <w:tcW w:w="200" w:type="pct"/>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b/>
                      <w:bCs/>
                      <w:color w:val="000000"/>
                      <w:lang w:eastAsia="en-CA"/>
                    </w:rPr>
                    <w:t>2.</w:t>
                  </w:r>
                  <w:r w:rsidRPr="00CA3B81">
                    <w:rPr>
                      <w:rFonts w:eastAsia="Times New Roman" w:cs="Arial"/>
                      <w:color w:val="000000"/>
                      <w:lang w:eastAsia="en-CA"/>
                    </w:rPr>
                    <w:t xml:space="preserve">    </w:t>
                  </w:r>
                </w:p>
              </w:tc>
              <w:tc>
                <w:tcPr>
                  <w:tcW w:w="0" w:type="auto"/>
                  <w:vAlign w:val="center"/>
                  <w:hideMark/>
                </w:tcPr>
                <w:p w:rsidR="00CA3B81" w:rsidRPr="00CA3B81" w:rsidRDefault="00CA3B81" w:rsidP="00CA3B81">
                  <w:pPr>
                    <w:spacing w:before="240" w:after="240" w:line="240" w:lineRule="auto"/>
                    <w:rPr>
                      <w:rFonts w:eastAsia="Times New Roman" w:cs="Arial"/>
                      <w:color w:val="000000"/>
                      <w:lang w:eastAsia="en-CA"/>
                    </w:rPr>
                  </w:pPr>
                  <w:r w:rsidRPr="003F5457">
                    <w:rPr>
                      <w:rFonts w:eastAsia="Times New Roman" w:cs="Arial"/>
                      <w:color w:val="000000"/>
                      <w:lang w:eastAsia="en-CA"/>
                    </w:rPr>
                    <w:t>Non-ST elevation ACS</w:t>
                  </w:r>
                </w:p>
              </w:tc>
            </w:tr>
            <w:bookmarkEnd w:id="6"/>
          </w:tbl>
          <w:p w:rsidR="00CA3B81" w:rsidRPr="00CA3B81" w:rsidRDefault="00CA3B81" w:rsidP="00CA3B81">
            <w:pPr>
              <w:spacing w:before="240" w:after="240" w:line="240" w:lineRule="auto"/>
              <w:rPr>
                <w:rFonts w:eastAsia="Times New Roman" w:cs="Arial"/>
                <w:color w:val="000000"/>
                <w:lang w:eastAsia="en-CA"/>
              </w:rPr>
            </w:pP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IMPACT-II, PURSUIT, ESPIRIT</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xml:space="preserve">Cyclic </w:t>
            </w:r>
            <w:proofErr w:type="spellStart"/>
            <w:r w:rsidRPr="00CA3B81">
              <w:rPr>
                <w:rFonts w:eastAsia="Times New Roman" w:cs="Arial"/>
                <w:color w:val="000000"/>
                <w:lang w:eastAsia="en-CA"/>
              </w:rPr>
              <w:t>heptapeptideLower</w:t>
            </w:r>
            <w:proofErr w:type="spellEnd"/>
            <w:r w:rsidRPr="00CA3B81">
              <w:rPr>
                <w:rFonts w:eastAsia="Times New Roman" w:cs="Arial"/>
                <w:color w:val="000000"/>
                <w:lang w:eastAsia="en-CA"/>
              </w:rPr>
              <w:t xml:space="preserve"> receptor affinity than others; plasma t</w:t>
            </w:r>
            <w:r w:rsidRPr="00CA3B81">
              <w:rPr>
                <w:rFonts w:eastAsia="Times New Roman" w:cs="Arial"/>
                <w:color w:val="000000"/>
                <w:vertAlign w:val="subscript"/>
                <w:lang w:eastAsia="en-CA"/>
              </w:rPr>
              <w:t>½</w:t>
            </w:r>
            <w:r w:rsidRPr="00CA3B81">
              <w:rPr>
                <w:rFonts w:eastAsia="Times New Roman" w:cs="Arial"/>
                <w:color w:val="000000"/>
                <w:lang w:eastAsia="en-CA"/>
              </w:rPr>
              <w:t xml:space="preserve"> 2-3 h; renal clearance 50%</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xml:space="preserve">180 mcg/kg bolus, then 2 mcg/kg/min up to 72 </w:t>
            </w:r>
            <w:proofErr w:type="spellStart"/>
            <w:r w:rsidRPr="00CA3B81">
              <w:rPr>
                <w:rFonts w:eastAsia="Times New Roman" w:cs="Arial"/>
                <w:color w:val="000000"/>
                <w:lang w:eastAsia="en-CA"/>
              </w:rPr>
              <w:t>hReduce</w:t>
            </w:r>
            <w:proofErr w:type="spellEnd"/>
            <w:r w:rsidRPr="00CA3B81">
              <w:rPr>
                <w:rFonts w:eastAsia="Times New Roman" w:cs="Arial"/>
                <w:color w:val="000000"/>
                <w:lang w:eastAsia="en-CA"/>
              </w:rPr>
              <w:t xml:space="preserve"> dose </w:t>
            </w:r>
            <w:proofErr w:type="gramStart"/>
            <w:r w:rsidRPr="00CA3B81">
              <w:rPr>
                <w:rFonts w:eastAsia="Times New Roman" w:cs="Arial"/>
                <w:color w:val="000000"/>
                <w:lang w:eastAsia="en-CA"/>
              </w:rPr>
              <w:t>to 0.5 mcg/kg/min at time of PCI, then for 20-24 h post-PCI</w:t>
            </w:r>
            <w:proofErr w:type="gramEnd"/>
            <w:r w:rsidRPr="00CA3B81">
              <w:rPr>
                <w:rFonts w:eastAsia="Times New Roman" w:cs="Arial"/>
                <w:color w:val="000000"/>
                <w:lang w:eastAsia="en-CA"/>
              </w:rPr>
              <w:t>. If no prior ACS but PCI, 135 mcg/kg bolus then 0.5 mcg/kg/min</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Store vials at 2°-8° but can keep at room temperature up to 2 months.</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xml:space="preserve">Bleeding, as for </w:t>
            </w:r>
            <w:proofErr w:type="spellStart"/>
            <w:r w:rsidRPr="00CA3B81">
              <w:rPr>
                <w:rFonts w:eastAsia="Times New Roman" w:cs="Arial"/>
                <w:color w:val="000000"/>
                <w:lang w:eastAsia="en-CA"/>
              </w:rPr>
              <w:t>abciximab.Renal</w:t>
            </w:r>
            <w:proofErr w:type="spellEnd"/>
            <w:r w:rsidRPr="00CA3B81">
              <w:rPr>
                <w:rFonts w:eastAsia="Times New Roman" w:cs="Arial"/>
                <w:color w:val="000000"/>
                <w:lang w:eastAsia="en-CA"/>
              </w:rPr>
              <w:t xml:space="preserve"> disease: C/I if serum </w:t>
            </w:r>
            <w:proofErr w:type="spellStart"/>
            <w:r w:rsidRPr="00CA3B81">
              <w:rPr>
                <w:rFonts w:eastAsia="Times New Roman" w:cs="Arial"/>
                <w:color w:val="000000"/>
                <w:lang w:eastAsia="en-CA"/>
              </w:rPr>
              <w:t>creatinine</w:t>
            </w:r>
            <w:proofErr w:type="spellEnd"/>
            <w:r w:rsidRPr="00CA3B81">
              <w:rPr>
                <w:rFonts w:eastAsia="Times New Roman" w:cs="Arial"/>
                <w:color w:val="000000"/>
                <w:lang w:eastAsia="en-CA"/>
              </w:rPr>
              <w:t xml:space="preserve"> &gt; 4 mg/</w:t>
            </w:r>
            <w:proofErr w:type="spellStart"/>
            <w:r w:rsidRPr="00CA3B81">
              <w:rPr>
                <w:rFonts w:eastAsia="Times New Roman" w:cs="Arial"/>
                <w:color w:val="000000"/>
                <w:lang w:eastAsia="en-CA"/>
              </w:rPr>
              <w:t>dL</w:t>
            </w:r>
            <w:proofErr w:type="spellEnd"/>
            <w:r w:rsidRPr="00CA3B81">
              <w:rPr>
                <w:rFonts w:eastAsia="Times New Roman" w:cs="Arial"/>
                <w:color w:val="000000"/>
                <w:lang w:eastAsia="en-CA"/>
              </w:rPr>
              <w:t xml:space="preserve"> (350 </w:t>
            </w:r>
            <w:proofErr w:type="spellStart"/>
            <w:r w:rsidRPr="00CA3B81">
              <w:rPr>
                <w:rFonts w:eastAsia="Times New Roman" w:cs="Arial"/>
                <w:color w:val="000000"/>
                <w:lang w:eastAsia="en-CA"/>
              </w:rPr>
              <w:t>μmol</w:t>
            </w:r>
            <w:proofErr w:type="spellEnd"/>
            <w:r w:rsidRPr="00CA3B81">
              <w:rPr>
                <w:rFonts w:eastAsia="Times New Roman" w:cs="Arial"/>
                <w:color w:val="000000"/>
                <w:lang w:eastAsia="en-CA"/>
              </w:rPr>
              <w:t xml:space="preserve">/L). If serum </w:t>
            </w:r>
            <w:proofErr w:type="spellStart"/>
            <w:r w:rsidRPr="00CA3B81">
              <w:rPr>
                <w:rFonts w:eastAsia="Times New Roman" w:cs="Arial"/>
                <w:color w:val="000000"/>
                <w:lang w:eastAsia="en-CA"/>
              </w:rPr>
              <w:t>creatinine</w:t>
            </w:r>
            <w:proofErr w:type="spellEnd"/>
            <w:r w:rsidRPr="00CA3B81">
              <w:rPr>
                <w:rFonts w:eastAsia="Times New Roman" w:cs="Arial"/>
                <w:color w:val="000000"/>
                <w:lang w:eastAsia="en-CA"/>
              </w:rPr>
              <w:t xml:space="preserve"> 2-4 mg/</w:t>
            </w:r>
            <w:proofErr w:type="spellStart"/>
            <w:r w:rsidRPr="00CA3B81">
              <w:rPr>
                <w:rFonts w:eastAsia="Times New Roman" w:cs="Arial"/>
                <w:color w:val="000000"/>
                <w:lang w:eastAsia="en-CA"/>
              </w:rPr>
              <w:t>dL</w:t>
            </w:r>
            <w:proofErr w:type="spellEnd"/>
            <w:r w:rsidRPr="00CA3B81">
              <w:rPr>
                <w:rFonts w:eastAsia="Times New Roman" w:cs="Arial"/>
                <w:color w:val="000000"/>
                <w:lang w:eastAsia="en-CA"/>
              </w:rPr>
              <w:t xml:space="preserve"> (175-350 </w:t>
            </w:r>
            <w:proofErr w:type="spellStart"/>
            <w:r w:rsidRPr="00CA3B81">
              <w:rPr>
                <w:rFonts w:eastAsia="Times New Roman" w:cs="Arial"/>
                <w:color w:val="000000"/>
                <w:lang w:eastAsia="en-CA"/>
              </w:rPr>
              <w:t>μmol</w:t>
            </w:r>
            <w:proofErr w:type="spellEnd"/>
            <w:r w:rsidRPr="00CA3B81">
              <w:rPr>
                <w:rFonts w:eastAsia="Times New Roman" w:cs="Arial"/>
                <w:color w:val="000000"/>
                <w:lang w:eastAsia="en-CA"/>
              </w:rPr>
              <w:t>/L) reduce dose to 135 mcg/kg bolus then 0.5 mcg/kg/min.</w:t>
            </w:r>
            <w:r w:rsidRPr="00CA3B81">
              <w:rPr>
                <w:rFonts w:eastAsia="Times New Roman" w:cs="Arial"/>
                <w:color w:val="000000"/>
                <w:lang w:eastAsia="en-CA"/>
              </w:rPr>
              <w:br/>
              <w:t>Thrombocytopenia: no excess is claimed in package insert, but real risk probably similar to other agents (see text).</w:t>
            </w:r>
          </w:p>
        </w:tc>
      </w:tr>
      <w:tr w:rsidR="00CA3B81" w:rsidRPr="00CA3B81" w:rsidTr="00CA3B81">
        <w:trPr>
          <w:tblCellSpacing w:w="0" w:type="dxa"/>
        </w:trPr>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proofErr w:type="spellStart"/>
            <w:r w:rsidRPr="00CA3B81">
              <w:rPr>
                <w:rFonts w:eastAsia="Times New Roman" w:cs="Arial"/>
                <w:color w:val="000000"/>
                <w:lang w:eastAsia="en-CA"/>
              </w:rPr>
              <w:t>Tirofiban</w:t>
            </w:r>
            <w:bookmarkStart w:id="7" w:name="4-u1.0-B978-1-4557-3322-4..00018-1--l002" w:colFirst="0" w:colLast="0"/>
            <w:proofErr w:type="spellEnd"/>
          </w:p>
          <w:tbl>
            <w:tblPr>
              <w:tblW w:w="0" w:type="auto"/>
              <w:tblCellSpacing w:w="15" w:type="dxa"/>
              <w:tblCellMar>
                <w:left w:w="0" w:type="dxa"/>
                <w:right w:w="0" w:type="dxa"/>
              </w:tblCellMar>
              <w:tblLook w:val="04A0" w:firstRow="1" w:lastRow="0" w:firstColumn="1" w:lastColumn="0" w:noHBand="0" w:noVBand="1"/>
            </w:tblPr>
            <w:tblGrid>
              <w:gridCol w:w="139"/>
              <w:gridCol w:w="329"/>
              <w:gridCol w:w="821"/>
            </w:tblGrid>
            <w:tr w:rsidR="00CA3B81" w:rsidRPr="00CA3B81">
              <w:trPr>
                <w:tblCellSpacing w:w="15" w:type="dxa"/>
              </w:trPr>
              <w:tc>
                <w:tcPr>
                  <w:tcW w:w="30" w:type="dxa"/>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w:t>
                  </w:r>
                </w:p>
              </w:tc>
              <w:tc>
                <w:tcPr>
                  <w:tcW w:w="200" w:type="pct"/>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b/>
                      <w:bCs/>
                      <w:color w:val="000000"/>
                      <w:lang w:eastAsia="en-CA"/>
                    </w:rPr>
                    <w:t>1.</w:t>
                  </w:r>
                  <w:r w:rsidRPr="00CA3B81">
                    <w:rPr>
                      <w:rFonts w:eastAsia="Times New Roman" w:cs="Arial"/>
                      <w:color w:val="000000"/>
                      <w:lang w:eastAsia="en-CA"/>
                    </w:rPr>
                    <w:t xml:space="preserve">    </w:t>
                  </w:r>
                </w:p>
              </w:tc>
              <w:tc>
                <w:tcPr>
                  <w:tcW w:w="0" w:type="auto"/>
                  <w:vAlign w:val="center"/>
                  <w:hideMark/>
                </w:tcPr>
                <w:p w:rsidR="00CA3B81" w:rsidRPr="00CA3B81" w:rsidRDefault="00CA3B81" w:rsidP="00CA3B81">
                  <w:pPr>
                    <w:spacing w:before="240" w:after="240" w:line="240" w:lineRule="auto"/>
                    <w:rPr>
                      <w:rFonts w:eastAsia="Times New Roman" w:cs="Arial"/>
                      <w:color w:val="000000"/>
                      <w:lang w:eastAsia="en-CA"/>
                    </w:rPr>
                  </w:pPr>
                  <w:bookmarkStart w:id="8" w:name="4-u1.0-B978-1-4557-3322-4..00018-1--o003" w:colFirst="2" w:colLast="2"/>
                  <w:r w:rsidRPr="003F5457">
                    <w:rPr>
                      <w:rFonts w:eastAsia="Times New Roman" w:cs="Arial"/>
                      <w:color w:val="000000"/>
                      <w:lang w:eastAsia="en-CA"/>
                    </w:rPr>
                    <w:t>Non-ST elevation ACS</w:t>
                  </w:r>
                </w:p>
              </w:tc>
            </w:tr>
            <w:tr w:rsidR="00CA3B81" w:rsidRPr="00CA3B81">
              <w:trPr>
                <w:tblCellSpacing w:w="15" w:type="dxa"/>
              </w:trPr>
              <w:tc>
                <w:tcPr>
                  <w:tcW w:w="30" w:type="dxa"/>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w:t>
                  </w:r>
                </w:p>
              </w:tc>
              <w:tc>
                <w:tcPr>
                  <w:tcW w:w="200" w:type="pct"/>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b/>
                      <w:bCs/>
                      <w:color w:val="000000"/>
                      <w:lang w:eastAsia="en-CA"/>
                    </w:rPr>
                    <w:t>2.</w:t>
                  </w:r>
                  <w:r w:rsidRPr="00CA3B81">
                    <w:rPr>
                      <w:rFonts w:eastAsia="Times New Roman" w:cs="Arial"/>
                      <w:color w:val="000000"/>
                      <w:lang w:eastAsia="en-CA"/>
                    </w:rPr>
                    <w:t xml:space="preserve">    </w:t>
                  </w:r>
                </w:p>
              </w:tc>
              <w:tc>
                <w:tcPr>
                  <w:tcW w:w="0" w:type="auto"/>
                  <w:vAlign w:val="center"/>
                  <w:hideMark/>
                </w:tcPr>
                <w:p w:rsidR="00CA3B81" w:rsidRPr="00CA3B81" w:rsidRDefault="00CA3B81" w:rsidP="00CA3B81">
                  <w:pPr>
                    <w:spacing w:before="240" w:after="240" w:line="240" w:lineRule="auto"/>
                    <w:rPr>
                      <w:rFonts w:eastAsia="Times New Roman" w:cs="Arial"/>
                      <w:color w:val="000000"/>
                      <w:lang w:eastAsia="en-CA"/>
                    </w:rPr>
                  </w:pPr>
                  <w:r w:rsidRPr="003F5457">
                    <w:rPr>
                      <w:rFonts w:eastAsia="Times New Roman" w:cs="Arial"/>
                      <w:color w:val="000000"/>
                      <w:lang w:eastAsia="en-CA"/>
                    </w:rPr>
                    <w:t>ST-elevation MI</w:t>
                  </w:r>
                </w:p>
              </w:tc>
            </w:tr>
            <w:bookmarkEnd w:id="8"/>
          </w:tbl>
          <w:p w:rsidR="00CA3B81" w:rsidRPr="00CA3B81" w:rsidRDefault="00CA3B81" w:rsidP="00CA3B81">
            <w:pPr>
              <w:spacing w:before="240" w:after="240" w:line="240" w:lineRule="auto"/>
              <w:rPr>
                <w:rFonts w:eastAsia="Times New Roman" w:cs="Arial"/>
                <w:color w:val="000000"/>
                <w:lang w:eastAsia="en-CA"/>
              </w:rPr>
            </w:pP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PRISM, PRISM-Plus RESTORE On-TIME 2</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proofErr w:type="spellStart"/>
            <w:r w:rsidRPr="00CA3B81">
              <w:rPr>
                <w:rFonts w:eastAsia="Times New Roman" w:cs="Arial"/>
                <w:color w:val="000000"/>
                <w:lang w:eastAsia="en-CA"/>
              </w:rPr>
              <w:t>Peptidomimetic</w:t>
            </w:r>
            <w:proofErr w:type="spellEnd"/>
            <w:r w:rsidRPr="00CA3B81">
              <w:rPr>
                <w:rFonts w:eastAsia="Times New Roman" w:cs="Arial"/>
                <w:color w:val="000000"/>
                <w:lang w:eastAsia="en-CA"/>
              </w:rPr>
              <w:t xml:space="preserve"> </w:t>
            </w:r>
            <w:proofErr w:type="spellStart"/>
            <w:r w:rsidRPr="00CA3B81">
              <w:rPr>
                <w:rFonts w:eastAsia="Times New Roman" w:cs="Arial"/>
                <w:color w:val="000000"/>
                <w:lang w:eastAsia="en-CA"/>
              </w:rPr>
              <w:t>nonpeptideIntermediate</w:t>
            </w:r>
            <w:proofErr w:type="spellEnd"/>
            <w:r w:rsidRPr="00CA3B81">
              <w:rPr>
                <w:rFonts w:eastAsia="Times New Roman" w:cs="Arial"/>
                <w:color w:val="000000"/>
                <w:lang w:eastAsia="en-CA"/>
              </w:rPr>
              <w:t xml:space="preserve"> affinity for receptor, closer to </w:t>
            </w:r>
            <w:proofErr w:type="spellStart"/>
            <w:r w:rsidRPr="00CA3B81">
              <w:rPr>
                <w:rFonts w:eastAsia="Times New Roman" w:cs="Arial"/>
                <w:color w:val="000000"/>
                <w:lang w:eastAsia="en-CA"/>
              </w:rPr>
              <w:t>abciximab</w:t>
            </w:r>
            <w:proofErr w:type="spellEnd"/>
            <w:r w:rsidRPr="00CA3B81">
              <w:rPr>
                <w:rFonts w:eastAsia="Times New Roman" w:cs="Arial"/>
                <w:color w:val="000000"/>
                <w:lang w:eastAsia="en-CA"/>
              </w:rPr>
              <w:t>; hence 35% unbound in circulation, renal (65%) and fecal (25%) clearance</w:t>
            </w:r>
          </w:p>
        </w:tc>
        <w:tc>
          <w:tcPr>
            <w:tcW w:w="0" w:type="auto"/>
            <w:tcBorders>
              <w:top w:val="outset" w:sz="6" w:space="0" w:color="EFEFEF"/>
              <w:left w:val="outset" w:sz="6" w:space="0" w:color="EFEFEF"/>
              <w:bottom w:val="outset" w:sz="6" w:space="0" w:color="EFEFEF"/>
              <w:right w:val="outset" w:sz="6" w:space="0" w:color="EFEFEF"/>
            </w:tcBorders>
            <w:vAlign w:val="center"/>
            <w:hideMark/>
          </w:tcPr>
          <w:tbl>
            <w:tblPr>
              <w:tblW w:w="0" w:type="auto"/>
              <w:tblCellSpacing w:w="15" w:type="dxa"/>
              <w:tblCellMar>
                <w:left w:w="0" w:type="dxa"/>
                <w:right w:w="0" w:type="dxa"/>
              </w:tblCellMar>
              <w:tblLook w:val="04A0" w:firstRow="1" w:lastRow="0" w:firstColumn="1" w:lastColumn="0" w:noHBand="0" w:noVBand="1"/>
            </w:tblPr>
            <w:tblGrid>
              <w:gridCol w:w="139"/>
              <w:gridCol w:w="329"/>
              <w:gridCol w:w="1139"/>
            </w:tblGrid>
            <w:tr w:rsidR="00CA3B81" w:rsidRPr="00CA3B81">
              <w:trPr>
                <w:tblCellSpacing w:w="15" w:type="dxa"/>
              </w:trPr>
              <w:tc>
                <w:tcPr>
                  <w:tcW w:w="30" w:type="dxa"/>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w:t>
                  </w:r>
                </w:p>
              </w:tc>
              <w:tc>
                <w:tcPr>
                  <w:tcW w:w="200" w:type="pct"/>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b/>
                      <w:bCs/>
                      <w:color w:val="000000"/>
                      <w:lang w:eastAsia="en-CA"/>
                    </w:rPr>
                    <w:t>1.</w:t>
                  </w:r>
                  <w:r w:rsidRPr="00CA3B81">
                    <w:rPr>
                      <w:rFonts w:eastAsia="Times New Roman" w:cs="Arial"/>
                      <w:color w:val="000000"/>
                      <w:lang w:eastAsia="en-CA"/>
                    </w:rPr>
                    <w:t xml:space="preserve">    </w:t>
                  </w:r>
                </w:p>
              </w:tc>
              <w:tc>
                <w:tcPr>
                  <w:tcW w:w="0" w:type="auto"/>
                  <w:vAlign w:val="center"/>
                  <w:hideMark/>
                </w:tcPr>
                <w:p w:rsidR="00CA3B81" w:rsidRPr="00CA3B81" w:rsidRDefault="00CA3B81" w:rsidP="00CA3B81">
                  <w:pPr>
                    <w:spacing w:before="240" w:after="240" w:line="240" w:lineRule="auto"/>
                    <w:rPr>
                      <w:rFonts w:eastAsia="Times New Roman" w:cs="Arial"/>
                      <w:color w:val="000000"/>
                      <w:lang w:eastAsia="en-CA"/>
                    </w:rPr>
                  </w:pPr>
                  <w:bookmarkStart w:id="9" w:name="4-u1.0-B978-1-4557-3322-4..00018-1--o004" w:colFirst="2" w:colLast="2"/>
                  <w:r w:rsidRPr="003F5457">
                    <w:rPr>
                      <w:rFonts w:eastAsia="Times New Roman" w:cs="Arial"/>
                      <w:color w:val="000000"/>
                      <w:lang w:eastAsia="en-CA"/>
                    </w:rPr>
                    <w:t>Non-STEMI, Two stage infusion: 0.4 mcg/kg/min for 30 min, then 0.1 mcg/kg/min up to 48 min</w:t>
                  </w:r>
                </w:p>
              </w:tc>
            </w:tr>
            <w:bookmarkEnd w:id="7"/>
            <w:tr w:rsidR="00CA3B81" w:rsidRPr="00CA3B81">
              <w:trPr>
                <w:tblCellSpacing w:w="15" w:type="dxa"/>
              </w:trPr>
              <w:tc>
                <w:tcPr>
                  <w:tcW w:w="30" w:type="dxa"/>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w:t>
                  </w:r>
                  <w:r w:rsidRPr="00CA3B81">
                    <w:rPr>
                      <w:rFonts w:eastAsia="Times New Roman" w:cs="Arial"/>
                      <w:color w:val="000000"/>
                      <w:lang w:eastAsia="en-CA"/>
                    </w:rPr>
                    <w:lastRenderedPageBreak/>
                    <w:t> </w:t>
                  </w:r>
                </w:p>
              </w:tc>
              <w:tc>
                <w:tcPr>
                  <w:tcW w:w="200" w:type="pct"/>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b/>
                      <w:bCs/>
                      <w:color w:val="000000"/>
                      <w:lang w:eastAsia="en-CA"/>
                    </w:rPr>
                    <w:lastRenderedPageBreak/>
                    <w:t>2.</w:t>
                  </w:r>
                  <w:r w:rsidRPr="00CA3B81">
                    <w:rPr>
                      <w:rFonts w:eastAsia="Times New Roman" w:cs="Arial"/>
                      <w:color w:val="000000"/>
                      <w:lang w:eastAsia="en-CA"/>
                    </w:rPr>
                    <w:t>  </w:t>
                  </w:r>
                  <w:r w:rsidRPr="00CA3B81">
                    <w:rPr>
                      <w:rFonts w:eastAsia="Times New Roman" w:cs="Arial"/>
                      <w:color w:val="000000"/>
                      <w:lang w:eastAsia="en-CA"/>
                    </w:rPr>
                    <w:lastRenderedPageBreak/>
                    <w:t xml:space="preserve">  </w:t>
                  </w:r>
                </w:p>
              </w:tc>
              <w:tc>
                <w:tcPr>
                  <w:tcW w:w="0" w:type="auto"/>
                  <w:vAlign w:val="center"/>
                  <w:hideMark/>
                </w:tcPr>
                <w:p w:rsidR="00CA3B81" w:rsidRPr="00CA3B81" w:rsidRDefault="00CA3B81" w:rsidP="00CA3B81">
                  <w:pPr>
                    <w:spacing w:before="240" w:after="240" w:line="240" w:lineRule="auto"/>
                    <w:rPr>
                      <w:rFonts w:eastAsia="Times New Roman" w:cs="Arial"/>
                      <w:color w:val="000000"/>
                      <w:lang w:eastAsia="en-CA"/>
                    </w:rPr>
                  </w:pPr>
                  <w:r w:rsidRPr="003F5457">
                    <w:rPr>
                      <w:rFonts w:eastAsia="Times New Roman" w:cs="Arial"/>
                      <w:color w:val="000000"/>
                      <w:lang w:eastAsia="en-CA"/>
                    </w:rPr>
                    <w:lastRenderedPageBreak/>
                    <w:t>STEMI, 25-</w:t>
                  </w:r>
                  <w:r w:rsidRPr="003F5457">
                    <w:rPr>
                      <w:rFonts w:eastAsia="Times New Roman" w:cs="Arial"/>
                      <w:color w:val="000000"/>
                      <w:lang w:eastAsia="en-CA"/>
                    </w:rPr>
                    <w:lastRenderedPageBreak/>
                    <w:t>mcg/kg bolus and 0.15-mcg/kg/min maintenance infusion</w:t>
                  </w:r>
                </w:p>
              </w:tc>
            </w:tr>
            <w:bookmarkEnd w:id="9"/>
          </w:tbl>
          <w:p w:rsidR="00CA3B81" w:rsidRPr="00CA3B81" w:rsidRDefault="00CA3B81" w:rsidP="00CA3B81">
            <w:pPr>
              <w:spacing w:before="240" w:after="240" w:line="240" w:lineRule="auto"/>
              <w:rPr>
                <w:rFonts w:eastAsia="Times New Roman" w:cs="Arial"/>
                <w:color w:val="000000"/>
                <w:lang w:eastAsia="en-CA"/>
              </w:rPr>
            </w:pP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lastRenderedPageBreak/>
              <w:t>Store vials at room temperature, 25 °C or 77 °C protected from light (easiest to store)</w:t>
            </w:r>
          </w:p>
        </w:tc>
        <w:tc>
          <w:tcPr>
            <w:tcW w:w="0" w:type="auto"/>
            <w:tcBorders>
              <w:top w:val="outset" w:sz="6" w:space="0" w:color="EFEFEF"/>
              <w:left w:val="outset" w:sz="6" w:space="0" w:color="EFEFEF"/>
              <w:bottom w:val="outset" w:sz="6" w:space="0" w:color="EFEFEF"/>
              <w:right w:val="outset" w:sz="6" w:space="0" w:color="EFEFEF"/>
            </w:tcBorders>
            <w:vAlign w:val="center"/>
            <w:hideMark/>
          </w:tcPr>
          <w:p w:rsidR="00CA3B81" w:rsidRPr="00CA3B81" w:rsidRDefault="00CA3B81" w:rsidP="00CA3B81">
            <w:pPr>
              <w:spacing w:before="240" w:after="240" w:line="240" w:lineRule="auto"/>
              <w:rPr>
                <w:rFonts w:eastAsia="Times New Roman" w:cs="Arial"/>
                <w:color w:val="000000"/>
                <w:lang w:eastAsia="en-CA"/>
              </w:rPr>
            </w:pPr>
            <w:r w:rsidRPr="00CA3B81">
              <w:rPr>
                <w:rFonts w:eastAsia="Times New Roman" w:cs="Arial"/>
                <w:color w:val="000000"/>
                <w:lang w:eastAsia="en-CA"/>
              </w:rPr>
              <w:t xml:space="preserve">Bleeding, as for </w:t>
            </w:r>
            <w:proofErr w:type="spellStart"/>
            <w:r w:rsidRPr="00CA3B81">
              <w:rPr>
                <w:rFonts w:eastAsia="Times New Roman" w:cs="Arial"/>
                <w:color w:val="000000"/>
                <w:lang w:eastAsia="en-CA"/>
              </w:rPr>
              <w:t>abciximab.Renal</w:t>
            </w:r>
            <w:proofErr w:type="spellEnd"/>
            <w:r w:rsidRPr="00CA3B81">
              <w:rPr>
                <w:rFonts w:eastAsia="Times New Roman" w:cs="Arial"/>
                <w:color w:val="000000"/>
                <w:lang w:eastAsia="en-CA"/>
              </w:rPr>
              <w:t xml:space="preserve"> disease: ↓ dose if </w:t>
            </w:r>
            <w:proofErr w:type="spellStart"/>
            <w:r w:rsidRPr="00CA3B81">
              <w:rPr>
                <w:rFonts w:eastAsia="Times New Roman" w:cs="Arial"/>
                <w:color w:val="000000"/>
                <w:lang w:eastAsia="en-CA"/>
              </w:rPr>
              <w:t>creatinine</w:t>
            </w:r>
            <w:proofErr w:type="spellEnd"/>
            <w:r w:rsidRPr="00CA3B81">
              <w:rPr>
                <w:rFonts w:eastAsia="Times New Roman" w:cs="Arial"/>
                <w:color w:val="000000"/>
                <w:lang w:eastAsia="en-CA"/>
              </w:rPr>
              <w:t xml:space="preserve"> clearance &lt;30 mL/min</w:t>
            </w:r>
            <w:proofErr w:type="gramStart"/>
            <w:r w:rsidRPr="00CA3B81">
              <w:rPr>
                <w:rFonts w:eastAsia="Times New Roman" w:cs="Arial"/>
                <w:color w:val="000000"/>
                <w:lang w:eastAsia="en-CA"/>
              </w:rPr>
              <w:t>.</w:t>
            </w:r>
            <w:proofErr w:type="gramEnd"/>
            <w:r w:rsidRPr="00CA3B81">
              <w:rPr>
                <w:rFonts w:eastAsia="Times New Roman" w:cs="Arial"/>
                <w:color w:val="000000"/>
                <w:lang w:eastAsia="en-CA"/>
              </w:rPr>
              <w:br/>
              <w:t xml:space="preserve">Thrombocytopenia: 1.5% </w:t>
            </w:r>
            <w:proofErr w:type="spellStart"/>
            <w:r w:rsidRPr="00CA3B81">
              <w:rPr>
                <w:rFonts w:eastAsia="Times New Roman" w:cs="Arial"/>
                <w:color w:val="000000"/>
                <w:lang w:eastAsia="en-CA"/>
              </w:rPr>
              <w:t>vs</w:t>
            </w:r>
            <w:proofErr w:type="spellEnd"/>
            <w:r w:rsidRPr="00CA3B81">
              <w:rPr>
                <w:rFonts w:eastAsia="Times New Roman" w:cs="Arial"/>
                <w:color w:val="000000"/>
                <w:lang w:eastAsia="en-CA"/>
              </w:rPr>
              <w:t xml:space="preserve"> 0.6% heparin alone. Do platelet count before (C/I if count &lt; 150,000/</w:t>
            </w:r>
            <w:proofErr w:type="spellStart"/>
            <w:r w:rsidRPr="00CA3B81">
              <w:rPr>
                <w:rFonts w:eastAsia="Times New Roman" w:cs="Arial"/>
                <w:color w:val="000000"/>
                <w:lang w:eastAsia="en-CA"/>
              </w:rPr>
              <w:t>μL</w:t>
            </w:r>
            <w:proofErr w:type="spellEnd"/>
            <w:r w:rsidRPr="00CA3B81">
              <w:rPr>
                <w:rFonts w:eastAsia="Times New Roman" w:cs="Arial"/>
                <w:color w:val="000000"/>
                <w:lang w:eastAsia="en-CA"/>
              </w:rPr>
              <w:t>), 6 h after initial dose, then daily, stop if platelets &lt;90,000//</w:t>
            </w:r>
            <w:proofErr w:type="spellStart"/>
            <w:r w:rsidRPr="00CA3B81">
              <w:rPr>
                <w:rFonts w:eastAsia="Times New Roman" w:cs="Arial"/>
                <w:color w:val="000000"/>
                <w:lang w:eastAsia="en-CA"/>
              </w:rPr>
              <w:t>μL</w:t>
            </w:r>
            <w:proofErr w:type="spellEnd"/>
            <w:r w:rsidRPr="00CA3B81">
              <w:rPr>
                <w:rFonts w:eastAsia="Times New Roman" w:cs="Arial"/>
                <w:color w:val="000000"/>
                <w:lang w:eastAsia="en-CA"/>
              </w:rPr>
              <w:t>.</w:t>
            </w:r>
          </w:p>
        </w:tc>
      </w:tr>
    </w:tbl>
    <w:p w:rsidR="00CA3B81" w:rsidRPr="00CA3B81" w:rsidRDefault="00CA3B81" w:rsidP="00CA3B81">
      <w:pPr>
        <w:shd w:val="clear" w:color="auto" w:fill="FFFFFF"/>
        <w:spacing w:after="0" w:line="240" w:lineRule="auto"/>
        <w:rPr>
          <w:rFonts w:eastAsia="Times New Roman" w:cs="Times New Roman"/>
          <w:lang w:eastAsia="en-CA"/>
        </w:rPr>
      </w:pPr>
      <w:r w:rsidRPr="00CA3B81">
        <w:rPr>
          <w:rFonts w:eastAsia="Times New Roman" w:cs="Arial"/>
          <w:i/>
          <w:iCs/>
          <w:color w:val="000000"/>
          <w:lang w:eastAsia="en-CA"/>
        </w:rPr>
        <w:lastRenderedPageBreak/>
        <w:t xml:space="preserve">Berg JM, et al., J Am </w:t>
      </w:r>
      <w:proofErr w:type="spellStart"/>
      <w:r w:rsidRPr="00CA3B81">
        <w:rPr>
          <w:rFonts w:eastAsia="Times New Roman" w:cs="Arial"/>
          <w:i/>
          <w:iCs/>
          <w:color w:val="000000"/>
          <w:lang w:eastAsia="en-CA"/>
        </w:rPr>
        <w:t>Coll</w:t>
      </w:r>
      <w:proofErr w:type="spellEnd"/>
      <w:r w:rsidRPr="00CA3B81">
        <w:rPr>
          <w:rFonts w:eastAsia="Times New Roman" w:cs="Arial"/>
          <w:i/>
          <w:iCs/>
          <w:color w:val="000000"/>
          <w:lang w:eastAsia="en-CA"/>
        </w:rPr>
        <w:t xml:space="preserve"> </w:t>
      </w:r>
      <w:proofErr w:type="spellStart"/>
      <w:r w:rsidRPr="00CA3B81">
        <w:rPr>
          <w:rFonts w:eastAsia="Times New Roman" w:cs="Arial"/>
          <w:i/>
          <w:iCs/>
          <w:color w:val="000000"/>
          <w:lang w:eastAsia="en-CA"/>
        </w:rPr>
        <w:t>Cardiol</w:t>
      </w:r>
      <w:proofErr w:type="spellEnd"/>
      <w:r w:rsidRPr="00CA3B81">
        <w:rPr>
          <w:rFonts w:eastAsia="Times New Roman" w:cs="Arial"/>
          <w:i/>
          <w:iCs/>
          <w:color w:val="000000"/>
          <w:lang w:eastAsia="en-CA"/>
        </w:rPr>
        <w:t xml:space="preserve"> 2010</w:t>
      </w:r>
      <w:proofErr w:type="gramStart"/>
      <w:r w:rsidRPr="00CA3B81">
        <w:rPr>
          <w:rFonts w:eastAsia="Times New Roman" w:cs="Arial"/>
          <w:i/>
          <w:iCs/>
          <w:color w:val="000000"/>
          <w:lang w:eastAsia="en-CA"/>
        </w:rPr>
        <w:t>;55:2446</w:t>
      </w:r>
      <w:proofErr w:type="gramEnd"/>
      <w:r w:rsidRPr="00CA3B81">
        <w:rPr>
          <w:rFonts w:eastAsia="Times New Roman" w:cs="Arial"/>
          <w:i/>
          <w:iCs/>
          <w:color w:val="000000"/>
          <w:lang w:eastAsia="en-CA"/>
        </w:rPr>
        <w:t>.</w:t>
      </w:r>
    </w:p>
    <w:tbl>
      <w:tblPr>
        <w:tblW w:w="5000" w:type="pct"/>
        <w:tblCellSpacing w:w="0" w:type="dxa"/>
        <w:tblCellMar>
          <w:left w:w="0" w:type="dxa"/>
          <w:right w:w="0" w:type="dxa"/>
        </w:tblCellMar>
        <w:tblLook w:val="04A0" w:firstRow="1" w:lastRow="0" w:firstColumn="1" w:lastColumn="0" w:noHBand="0" w:noVBand="1"/>
      </w:tblPr>
      <w:tblGrid>
        <w:gridCol w:w="9360"/>
      </w:tblGrid>
      <w:tr w:rsidR="00CA3B81" w:rsidRPr="00CA3B81" w:rsidTr="00CA3B81">
        <w:trPr>
          <w:tblCellSpacing w:w="0" w:type="dxa"/>
        </w:trPr>
        <w:tc>
          <w:tcPr>
            <w:tcW w:w="0" w:type="auto"/>
            <w:vAlign w:val="center"/>
            <w:hideMark/>
          </w:tcPr>
          <w:p w:rsidR="00CA3B81" w:rsidRPr="00CA3B81" w:rsidRDefault="00CA3B81" w:rsidP="00CA3B81">
            <w:pPr>
              <w:spacing w:before="240" w:after="240" w:line="240" w:lineRule="auto"/>
              <w:rPr>
                <w:rFonts w:eastAsia="Times New Roman" w:cs="Arial"/>
                <w:color w:val="000000"/>
                <w:lang w:eastAsia="en-CA"/>
              </w:rPr>
            </w:pPr>
            <w:bookmarkStart w:id="10" w:name="4-u1.0-B978-1-4557-3322-4..00018-1--sp01"/>
            <w:bookmarkEnd w:id="10"/>
            <w:r w:rsidRPr="003F5457">
              <w:rPr>
                <w:rFonts w:eastAsia="Times New Roman" w:cs="Arial"/>
                <w:i/>
                <w:iCs/>
                <w:color w:val="000000"/>
                <w:lang w:eastAsia="en-CA"/>
              </w:rPr>
              <w:t>ACS,</w:t>
            </w:r>
            <w:r w:rsidRPr="003F5457">
              <w:rPr>
                <w:rFonts w:eastAsia="Times New Roman" w:cs="Arial"/>
                <w:color w:val="000000"/>
                <w:lang w:eastAsia="en-CA"/>
              </w:rPr>
              <w:t xml:space="preserve"> Acute coronary syndrome; </w:t>
            </w:r>
            <w:r w:rsidRPr="003F5457">
              <w:rPr>
                <w:rFonts w:eastAsia="Times New Roman" w:cs="Arial"/>
                <w:i/>
                <w:iCs/>
                <w:color w:val="000000"/>
                <w:lang w:eastAsia="en-CA"/>
              </w:rPr>
              <w:t>C/I,</w:t>
            </w:r>
            <w:r w:rsidRPr="003F5457">
              <w:rPr>
                <w:rFonts w:eastAsia="Times New Roman" w:cs="Arial"/>
                <w:color w:val="000000"/>
                <w:lang w:eastAsia="en-CA"/>
              </w:rPr>
              <w:t xml:space="preserve"> contraindications; </w:t>
            </w:r>
            <w:r w:rsidRPr="003F5457">
              <w:rPr>
                <w:rFonts w:eastAsia="Times New Roman" w:cs="Arial"/>
                <w:i/>
                <w:iCs/>
                <w:color w:val="000000"/>
                <w:lang w:eastAsia="en-CA"/>
              </w:rPr>
              <w:t>MI,</w:t>
            </w:r>
            <w:r w:rsidRPr="003F5457">
              <w:rPr>
                <w:rFonts w:eastAsia="Times New Roman" w:cs="Arial"/>
                <w:color w:val="000000"/>
                <w:lang w:eastAsia="en-CA"/>
              </w:rPr>
              <w:t xml:space="preserve"> myocardial infarction; </w:t>
            </w:r>
            <w:r w:rsidRPr="003F5457">
              <w:rPr>
                <w:rFonts w:eastAsia="Times New Roman" w:cs="Arial"/>
                <w:i/>
                <w:iCs/>
                <w:color w:val="000000"/>
                <w:lang w:eastAsia="en-CA"/>
              </w:rPr>
              <w:t>PCI,</w:t>
            </w:r>
            <w:r w:rsidRPr="003F5457">
              <w:rPr>
                <w:rFonts w:eastAsia="Times New Roman" w:cs="Arial"/>
                <w:color w:val="000000"/>
                <w:lang w:eastAsia="en-CA"/>
              </w:rPr>
              <w:t xml:space="preserve"> percutaneous intervention; </w:t>
            </w:r>
            <w:r w:rsidRPr="003F5457">
              <w:rPr>
                <w:rFonts w:eastAsia="Times New Roman" w:cs="Arial"/>
                <w:i/>
                <w:iCs/>
                <w:color w:val="000000"/>
                <w:lang w:eastAsia="en-CA"/>
              </w:rPr>
              <w:t>STEMI,</w:t>
            </w:r>
            <w:r w:rsidRPr="003F5457">
              <w:rPr>
                <w:rFonts w:eastAsia="Times New Roman" w:cs="Arial"/>
                <w:color w:val="000000"/>
                <w:lang w:eastAsia="en-CA"/>
              </w:rPr>
              <w:t xml:space="preserve"> ST-elevation myocardial infarction; </w:t>
            </w:r>
            <w:r w:rsidRPr="003F5457">
              <w:rPr>
                <w:rFonts w:eastAsia="Times New Roman" w:cs="Arial"/>
                <w:i/>
                <w:iCs/>
                <w:color w:val="000000"/>
                <w:lang w:eastAsia="en-CA"/>
              </w:rPr>
              <w:t>t</w:t>
            </w:r>
            <w:r w:rsidRPr="003F5457">
              <w:rPr>
                <w:rFonts w:eastAsia="Times New Roman" w:cs="Arial"/>
                <w:i/>
                <w:iCs/>
                <w:color w:val="000000"/>
                <w:vertAlign w:val="subscript"/>
                <w:lang w:eastAsia="en-CA"/>
              </w:rPr>
              <w:t>½</w:t>
            </w:r>
            <w:r w:rsidRPr="003F5457">
              <w:rPr>
                <w:rFonts w:eastAsia="Times New Roman" w:cs="Arial"/>
                <w:color w:val="000000"/>
                <w:lang w:eastAsia="en-CA"/>
              </w:rPr>
              <w:t>, half-time.</w:t>
            </w:r>
          </w:p>
        </w:tc>
      </w:tr>
    </w:tbl>
    <w:p w:rsidR="00CA3B81" w:rsidRPr="003F5457" w:rsidRDefault="00CA3B81">
      <w:pPr>
        <w:rPr>
          <w:lang w:val="en-US"/>
        </w:rPr>
      </w:pPr>
    </w:p>
    <w:p w:rsidR="00907A11" w:rsidRPr="003F5457" w:rsidRDefault="00D5759B" w:rsidP="00D5759B">
      <w:pPr>
        <w:pStyle w:val="ListParagraph"/>
        <w:numPr>
          <w:ilvl w:val="0"/>
          <w:numId w:val="6"/>
        </w:numPr>
        <w:rPr>
          <w:rFonts w:cs="Arial"/>
          <w:color w:val="000000"/>
        </w:rPr>
      </w:pPr>
      <w:r w:rsidRPr="003F5457">
        <w:rPr>
          <w:rFonts w:cs="Arial"/>
          <w:color w:val="000000"/>
        </w:rPr>
        <w:t xml:space="preserve">The </w:t>
      </w:r>
      <w:proofErr w:type="spellStart"/>
      <w:r w:rsidRPr="003F5457">
        <w:rPr>
          <w:rFonts w:cs="Arial"/>
          <w:color w:val="000000"/>
        </w:rPr>
        <w:t>GpIIb</w:t>
      </w:r>
      <w:proofErr w:type="spellEnd"/>
      <w:r w:rsidRPr="003F5457">
        <w:rPr>
          <w:rFonts w:cs="Arial"/>
          <w:color w:val="000000"/>
        </w:rPr>
        <w:t>/</w:t>
      </w:r>
      <w:proofErr w:type="spellStart"/>
      <w:r w:rsidRPr="003F5457">
        <w:rPr>
          <w:rFonts w:cs="Arial"/>
          <w:color w:val="000000"/>
        </w:rPr>
        <w:t>IIIa</w:t>
      </w:r>
      <w:proofErr w:type="spellEnd"/>
      <w:r w:rsidRPr="003F5457">
        <w:rPr>
          <w:rFonts w:cs="Arial"/>
          <w:color w:val="000000"/>
        </w:rPr>
        <w:t xml:space="preserve"> blockers must be combined with aspirin and anticoagulant therapy, the latter being UFH in most major trials. This in turn calls for constant monitoring of the heparin dose by activated clotting time (ACT) testing.</w:t>
      </w:r>
    </w:p>
    <w:p w:rsidR="00D5759B" w:rsidRPr="003F5457" w:rsidRDefault="00D5759B" w:rsidP="00D5759B">
      <w:pPr>
        <w:pStyle w:val="ListParagraph"/>
        <w:rPr>
          <w:rFonts w:cs="Arial"/>
          <w:color w:val="000000"/>
        </w:rPr>
      </w:pPr>
    </w:p>
    <w:p w:rsidR="00D5759B" w:rsidRPr="003F5457" w:rsidRDefault="00D5759B">
      <w:pPr>
        <w:rPr>
          <w:u w:val="single"/>
          <w:lang w:val="en-US"/>
        </w:rPr>
      </w:pPr>
      <w:bookmarkStart w:id="11" w:name="4-u1.0-B978-1-4557-3322-4..00018-1--s046"/>
      <w:bookmarkStart w:id="12" w:name="4-u1.0-B978-1-4557-3322-4..00018-1--st03"/>
      <w:bookmarkEnd w:id="11"/>
      <w:bookmarkEnd w:id="12"/>
      <w:r w:rsidRPr="003F5457">
        <w:rPr>
          <w:rStyle w:val="section-title-11"/>
          <w:rFonts w:cs="Arial"/>
          <w:color w:val="auto"/>
          <w:sz w:val="22"/>
          <w:szCs w:val="22"/>
          <w:u w:val="single"/>
        </w:rPr>
        <w:t xml:space="preserve">Oral anticoagulants: Warfarin, </w:t>
      </w:r>
      <w:proofErr w:type="spellStart"/>
      <w:r w:rsidRPr="003F5457">
        <w:rPr>
          <w:rStyle w:val="section-title-11"/>
          <w:rFonts w:cs="Arial"/>
          <w:color w:val="auto"/>
          <w:sz w:val="22"/>
          <w:szCs w:val="22"/>
          <w:u w:val="single"/>
        </w:rPr>
        <w:t>antithrombin</w:t>
      </w:r>
      <w:proofErr w:type="spellEnd"/>
      <w:r w:rsidRPr="003F5457">
        <w:rPr>
          <w:rStyle w:val="section-title-11"/>
          <w:rFonts w:cs="Arial"/>
          <w:color w:val="auto"/>
          <w:sz w:val="22"/>
          <w:szCs w:val="22"/>
          <w:u w:val="single"/>
        </w:rPr>
        <w:t>, and anti-</w:t>
      </w:r>
      <w:proofErr w:type="spellStart"/>
      <w:r w:rsidRPr="003F5457">
        <w:rPr>
          <w:rStyle w:val="section-title-11"/>
          <w:rFonts w:cs="Arial"/>
          <w:color w:val="auto"/>
          <w:sz w:val="22"/>
          <w:szCs w:val="22"/>
          <w:u w:val="single"/>
        </w:rPr>
        <w:t>Xa</w:t>
      </w:r>
      <w:proofErr w:type="spellEnd"/>
      <w:r w:rsidRPr="003F5457">
        <w:rPr>
          <w:rStyle w:val="section-title-11"/>
          <w:rFonts w:cs="Arial"/>
          <w:color w:val="auto"/>
          <w:sz w:val="22"/>
          <w:szCs w:val="22"/>
          <w:u w:val="single"/>
        </w:rPr>
        <w:t xml:space="preserve"> agents (</w:t>
      </w:r>
      <w:proofErr w:type="spellStart"/>
      <w:r w:rsidRPr="003F5457">
        <w:rPr>
          <w:rStyle w:val="section-title-11"/>
          <w:rFonts w:cs="Arial"/>
          <w:color w:val="auto"/>
          <w:sz w:val="22"/>
          <w:szCs w:val="22"/>
          <w:u w:val="single"/>
        </w:rPr>
        <w:t>dabigatran</w:t>
      </w:r>
      <w:proofErr w:type="spellEnd"/>
      <w:r w:rsidRPr="003F5457">
        <w:rPr>
          <w:rStyle w:val="section-title-11"/>
          <w:rFonts w:cs="Arial"/>
          <w:color w:val="auto"/>
          <w:sz w:val="22"/>
          <w:szCs w:val="22"/>
          <w:u w:val="single"/>
        </w:rPr>
        <w:t xml:space="preserve">, </w:t>
      </w:r>
      <w:proofErr w:type="spellStart"/>
      <w:r w:rsidRPr="003F5457">
        <w:rPr>
          <w:rStyle w:val="section-title-11"/>
          <w:rFonts w:cs="Arial"/>
          <w:color w:val="auto"/>
          <w:sz w:val="22"/>
          <w:szCs w:val="22"/>
          <w:u w:val="single"/>
        </w:rPr>
        <w:t>rivaroxaban</w:t>
      </w:r>
      <w:proofErr w:type="spellEnd"/>
      <w:r w:rsidRPr="003F5457">
        <w:rPr>
          <w:rStyle w:val="section-title-11"/>
          <w:rFonts w:cs="Arial"/>
          <w:color w:val="auto"/>
          <w:sz w:val="22"/>
          <w:szCs w:val="22"/>
          <w:u w:val="single"/>
        </w:rPr>
        <w:t xml:space="preserve">, </w:t>
      </w:r>
      <w:proofErr w:type="spellStart"/>
      <w:r w:rsidRPr="003F5457">
        <w:rPr>
          <w:rStyle w:val="section-title-11"/>
          <w:rFonts w:cs="Arial"/>
          <w:color w:val="auto"/>
          <w:sz w:val="22"/>
          <w:szCs w:val="22"/>
          <w:u w:val="single"/>
        </w:rPr>
        <w:t>apixaban</w:t>
      </w:r>
      <w:proofErr w:type="spellEnd"/>
      <w:r w:rsidRPr="003F5457">
        <w:rPr>
          <w:rStyle w:val="section-title-11"/>
          <w:rFonts w:cs="Arial"/>
          <w:color w:val="auto"/>
          <w:sz w:val="22"/>
          <w:szCs w:val="22"/>
          <w:u w:val="single"/>
        </w:rPr>
        <w:t>)</w:t>
      </w:r>
    </w:p>
    <w:p w:rsidR="00907A11" w:rsidRPr="003F5457" w:rsidRDefault="008E4621">
      <w:pPr>
        <w:rPr>
          <w:lang w:val="en-US"/>
        </w:rPr>
      </w:pPr>
      <w:r w:rsidRPr="003F5457">
        <w:rPr>
          <w:b/>
          <w:lang w:val="en-US"/>
        </w:rPr>
        <w:t>Warfarin</w:t>
      </w:r>
      <w:r w:rsidRPr="003F5457">
        <w:rPr>
          <w:lang w:val="en-US"/>
        </w:rPr>
        <w:t>:</w:t>
      </w:r>
    </w:p>
    <w:p w:rsidR="008E4621" w:rsidRPr="003F5457" w:rsidRDefault="008E4621" w:rsidP="004916C7">
      <w:pPr>
        <w:pStyle w:val="ListParagraph"/>
        <w:numPr>
          <w:ilvl w:val="0"/>
          <w:numId w:val="6"/>
        </w:numPr>
        <w:rPr>
          <w:rFonts w:cs="Arial"/>
          <w:color w:val="000000"/>
        </w:rPr>
      </w:pPr>
      <w:r w:rsidRPr="003F5457">
        <w:rPr>
          <w:rFonts w:cs="Arial"/>
          <w:color w:val="000000"/>
        </w:rPr>
        <w:t>Warfarin (</w:t>
      </w:r>
      <w:proofErr w:type="spellStart"/>
      <w:r w:rsidRPr="003F5457">
        <w:rPr>
          <w:rFonts w:cs="Arial"/>
          <w:color w:val="000000"/>
        </w:rPr>
        <w:t>Coumarin</w:t>
      </w:r>
      <w:proofErr w:type="gramStart"/>
      <w:r w:rsidRPr="003F5457">
        <w:rPr>
          <w:rFonts w:cs="Arial"/>
          <w:color w:val="000000"/>
        </w:rPr>
        <w:t>,</w:t>
      </w:r>
      <w:r w:rsidRPr="003F5457">
        <w:rPr>
          <w:rFonts w:cs="Arial"/>
          <w:color w:val="000000"/>
        </w:rPr>
        <w:t>Coumadin</w:t>
      </w:r>
      <w:proofErr w:type="spellEnd"/>
      <w:proofErr w:type="gramEnd"/>
      <w:r w:rsidRPr="003F5457">
        <w:rPr>
          <w:rFonts w:cs="Arial"/>
          <w:color w:val="000000"/>
        </w:rPr>
        <w:t xml:space="preserve">, </w:t>
      </w:r>
      <w:proofErr w:type="spellStart"/>
      <w:r w:rsidRPr="003F5457">
        <w:rPr>
          <w:rFonts w:cs="Arial"/>
          <w:color w:val="000000"/>
        </w:rPr>
        <w:t>Panwarfin</w:t>
      </w:r>
      <w:proofErr w:type="spellEnd"/>
      <w:r w:rsidRPr="003F5457">
        <w:rPr>
          <w:rFonts w:cs="Arial"/>
          <w:color w:val="000000"/>
        </w:rPr>
        <w:t xml:space="preserve">) is the most commonly used oral anticoagulant. </w:t>
      </w:r>
    </w:p>
    <w:p w:rsidR="008E4621" w:rsidRPr="003F5457" w:rsidRDefault="008E4621" w:rsidP="004916C7">
      <w:pPr>
        <w:pStyle w:val="ListParagraph"/>
        <w:numPr>
          <w:ilvl w:val="0"/>
          <w:numId w:val="6"/>
        </w:numPr>
        <w:rPr>
          <w:rFonts w:cs="Arial"/>
          <w:color w:val="000000"/>
        </w:rPr>
      </w:pPr>
      <w:r w:rsidRPr="003F5457">
        <w:rPr>
          <w:rFonts w:cs="Arial"/>
          <w:color w:val="000000"/>
        </w:rPr>
        <w:t>Warfarin also has few side effects, except for the major co</w:t>
      </w:r>
      <w:r w:rsidRPr="003F5457">
        <w:rPr>
          <w:rFonts w:cs="Arial"/>
          <w:color w:val="000000"/>
        </w:rPr>
        <w:t xml:space="preserve">mplication associated with over </w:t>
      </w:r>
      <w:r w:rsidRPr="003F5457">
        <w:rPr>
          <w:rFonts w:cs="Arial"/>
          <w:color w:val="000000"/>
        </w:rPr>
        <w:t xml:space="preserve">anticoagulation, which is bleeding including serious risk of intracranial hemorrhage. </w:t>
      </w:r>
    </w:p>
    <w:p w:rsidR="008E4621" w:rsidRPr="003F5457" w:rsidRDefault="008E4621" w:rsidP="004916C7">
      <w:pPr>
        <w:pStyle w:val="ListParagraph"/>
        <w:numPr>
          <w:ilvl w:val="0"/>
          <w:numId w:val="6"/>
        </w:numPr>
        <w:rPr>
          <w:rFonts w:cs="Arial"/>
          <w:color w:val="000000"/>
        </w:rPr>
      </w:pPr>
      <w:r w:rsidRPr="003F5457">
        <w:rPr>
          <w:rFonts w:cs="Arial"/>
          <w:color w:val="000000"/>
        </w:rPr>
        <w:t xml:space="preserve">The metabolism of warfarin is influenced by many other drugs. </w:t>
      </w:r>
    </w:p>
    <w:p w:rsidR="00907A11" w:rsidRPr="003F5457" w:rsidRDefault="008E4621" w:rsidP="004916C7">
      <w:pPr>
        <w:pStyle w:val="ListParagraph"/>
        <w:numPr>
          <w:ilvl w:val="0"/>
          <w:numId w:val="6"/>
        </w:numPr>
        <w:rPr>
          <w:rFonts w:cs="Arial"/>
          <w:color w:val="000000"/>
        </w:rPr>
      </w:pPr>
      <w:r w:rsidRPr="003F5457">
        <w:rPr>
          <w:rFonts w:cs="Arial"/>
          <w:color w:val="000000"/>
        </w:rPr>
        <w:t>In general, when comparing warfarin with aspirin, higher-intensity warfarin (international normalized ratio [INR] 3-4) is more effective, but associated with more bleeding that may be unacceptable. Moderate-intensity warfarin (INR 2-3) still has the risk of bleeding but protects better than aspirin from stroke prevention in AF</w:t>
      </w:r>
      <w:r w:rsidRPr="003F5457">
        <w:rPr>
          <w:rFonts w:cs="Arial"/>
          <w:color w:val="000000"/>
        </w:rPr>
        <w:t>.</w:t>
      </w:r>
    </w:p>
    <w:p w:rsidR="00DC3293" w:rsidRPr="003F5457" w:rsidRDefault="00DC3293" w:rsidP="004916C7">
      <w:pPr>
        <w:pStyle w:val="ListParagraph"/>
        <w:numPr>
          <w:ilvl w:val="0"/>
          <w:numId w:val="6"/>
        </w:numPr>
        <w:rPr>
          <w:rFonts w:cs="Arial"/>
          <w:color w:val="000000"/>
        </w:rPr>
      </w:pPr>
      <w:r w:rsidRPr="003F5457">
        <w:rPr>
          <w:rFonts w:cs="Arial"/>
          <w:color w:val="000000"/>
          <w:u w:val="single"/>
        </w:rPr>
        <w:t>Mechanism of action</w:t>
      </w:r>
      <w:r w:rsidRPr="003F5457">
        <w:rPr>
          <w:rFonts w:cs="Arial"/>
          <w:color w:val="000000"/>
        </w:rPr>
        <w:t xml:space="preserve">: </w:t>
      </w:r>
      <w:r w:rsidRPr="003F5457">
        <w:rPr>
          <w:rFonts w:cs="Arial"/>
          <w:color w:val="000000"/>
        </w:rPr>
        <w:t xml:space="preserve">As a group, the warfarin-like oral anticoagulants inactivate vitamin K in the hepatic </w:t>
      </w:r>
      <w:proofErr w:type="spellStart"/>
      <w:r w:rsidRPr="003F5457">
        <w:rPr>
          <w:rFonts w:cs="Arial"/>
          <w:color w:val="000000"/>
        </w:rPr>
        <w:t>microsomes</w:t>
      </w:r>
      <w:proofErr w:type="spellEnd"/>
      <w:r w:rsidRPr="003F5457">
        <w:rPr>
          <w:rFonts w:cs="Arial"/>
          <w:color w:val="000000"/>
        </w:rPr>
        <w:t xml:space="preserve">, thereby interfering with the formation of vitamin K–dependent clotting </w:t>
      </w:r>
      <w:r w:rsidR="00C1073E" w:rsidRPr="003F5457">
        <w:rPr>
          <w:rFonts w:cs="Arial"/>
          <w:color w:val="000000"/>
        </w:rPr>
        <w:t xml:space="preserve">factors such as </w:t>
      </w:r>
      <w:proofErr w:type="spellStart"/>
      <w:proofErr w:type="gramStart"/>
      <w:r w:rsidR="00C1073E" w:rsidRPr="003F5457">
        <w:rPr>
          <w:rFonts w:cs="Arial"/>
          <w:color w:val="000000"/>
        </w:rPr>
        <w:t>prothrombin</w:t>
      </w:r>
      <w:proofErr w:type="spellEnd"/>
      <w:r w:rsidR="00C1073E" w:rsidRPr="003F5457">
        <w:rPr>
          <w:rFonts w:cs="Arial"/>
          <w:color w:val="000000"/>
        </w:rPr>
        <w:t xml:space="preserve"> </w:t>
      </w:r>
      <w:r w:rsidRPr="003F5457">
        <w:rPr>
          <w:rFonts w:cs="Arial"/>
          <w:color w:val="000000"/>
        </w:rPr>
        <w:t>.</w:t>
      </w:r>
      <w:proofErr w:type="gramEnd"/>
      <w:r w:rsidRPr="003F5457">
        <w:rPr>
          <w:rFonts w:cs="Arial"/>
          <w:color w:val="000000"/>
        </w:rPr>
        <w:t xml:space="preserve"> In addition, factor X may be reduced.</w:t>
      </w:r>
      <w:r w:rsidR="00C1073E" w:rsidRPr="003F5457">
        <w:rPr>
          <w:rFonts w:cs="Arial"/>
          <w:color w:val="000000"/>
        </w:rPr>
        <w:t xml:space="preserve"> </w:t>
      </w:r>
      <w:r w:rsidRPr="003F5457">
        <w:rPr>
          <w:rFonts w:cs="Arial"/>
          <w:color w:val="000000"/>
        </w:rPr>
        <w:t>The onset of therapeutic levels of anticoagulation is delayed by 2-7 days</w:t>
      </w:r>
    </w:p>
    <w:p w:rsidR="00696B67" w:rsidRPr="003F5457" w:rsidRDefault="00696B67" w:rsidP="004916C7">
      <w:pPr>
        <w:pStyle w:val="ListParagraph"/>
        <w:numPr>
          <w:ilvl w:val="0"/>
          <w:numId w:val="6"/>
        </w:numPr>
        <w:rPr>
          <w:rFonts w:cs="Arial"/>
          <w:color w:val="000000"/>
        </w:rPr>
      </w:pPr>
      <w:proofErr w:type="spellStart"/>
      <w:r w:rsidRPr="003F5457">
        <w:rPr>
          <w:rFonts w:cs="Arial"/>
          <w:color w:val="000000"/>
          <w:u w:val="single"/>
        </w:rPr>
        <w:t>Pharmakokinetics</w:t>
      </w:r>
      <w:proofErr w:type="spellEnd"/>
      <w:r w:rsidRPr="003F5457">
        <w:rPr>
          <w:rFonts w:cs="Arial"/>
          <w:color w:val="000000"/>
        </w:rPr>
        <w:t xml:space="preserve">: </w:t>
      </w:r>
      <w:r w:rsidRPr="003F5457">
        <w:rPr>
          <w:rFonts w:cs="Arial"/>
          <w:color w:val="000000"/>
        </w:rPr>
        <w:t xml:space="preserve">After rapid and complete absorption, oral warfarin is almost totally bound to plasma albumin, with a half-life of 37 hours. It is metabolized in the hepatic </w:t>
      </w:r>
      <w:proofErr w:type="spellStart"/>
      <w:r w:rsidRPr="003F5457">
        <w:rPr>
          <w:rFonts w:cs="Arial"/>
          <w:color w:val="000000"/>
        </w:rPr>
        <w:t>microsomes</w:t>
      </w:r>
      <w:proofErr w:type="spellEnd"/>
      <w:r w:rsidRPr="003F5457">
        <w:rPr>
          <w:rFonts w:cs="Arial"/>
          <w:color w:val="000000"/>
        </w:rPr>
        <w:t xml:space="preserve"> by the enzymes </w:t>
      </w:r>
      <w:bookmarkStart w:id="13" w:name="4-u1.0-B978-1-4557-3322-4..00018-1--p356"/>
      <w:bookmarkEnd w:id="13"/>
      <w:r w:rsidRPr="003F5457">
        <w:rPr>
          <w:rFonts w:cs="Arial"/>
          <w:color w:val="000000"/>
        </w:rPr>
        <w:t xml:space="preserve">cytochrome </w:t>
      </w:r>
      <w:proofErr w:type="gramStart"/>
      <w:r w:rsidRPr="003F5457">
        <w:rPr>
          <w:rFonts w:cs="Arial"/>
          <w:color w:val="000000"/>
        </w:rPr>
        <w:t>P450(</w:t>
      </w:r>
      <w:proofErr w:type="gramEnd"/>
      <w:r w:rsidRPr="003F5457">
        <w:rPr>
          <w:rFonts w:cs="Arial"/>
          <w:color w:val="000000"/>
        </w:rPr>
        <w:t xml:space="preserve">CYP)2C9 and vitamin K epoxide </w:t>
      </w:r>
      <w:proofErr w:type="spellStart"/>
      <w:r w:rsidRPr="003F5457">
        <w:rPr>
          <w:rFonts w:cs="Arial"/>
          <w:color w:val="000000"/>
        </w:rPr>
        <w:t>reductase</w:t>
      </w:r>
      <w:proofErr w:type="spellEnd"/>
      <w:r w:rsidRPr="003F5457">
        <w:rPr>
          <w:rFonts w:cs="Arial"/>
          <w:color w:val="000000"/>
        </w:rPr>
        <w:t xml:space="preserve"> (VKORC1) to produce inactive metabolites excreted in the urine and stools. </w:t>
      </w:r>
      <w:r w:rsidRPr="003F5457">
        <w:rPr>
          <w:rFonts w:cs="Arial"/>
          <w:i/>
          <w:iCs/>
          <w:color w:val="000000"/>
        </w:rPr>
        <w:t>Genetic variation</w:t>
      </w:r>
      <w:r w:rsidRPr="003F5457">
        <w:rPr>
          <w:rFonts w:cs="Arial"/>
          <w:color w:val="000000"/>
        </w:rPr>
        <w:t xml:space="preserve"> in these enzymes probably account for much of the variability of the warfarin dose from patient to patient</w:t>
      </w:r>
    </w:p>
    <w:p w:rsidR="00203828" w:rsidRPr="003F5457" w:rsidRDefault="00203828" w:rsidP="004916C7">
      <w:pPr>
        <w:pStyle w:val="ListParagraph"/>
        <w:numPr>
          <w:ilvl w:val="0"/>
          <w:numId w:val="6"/>
        </w:numPr>
        <w:rPr>
          <w:rFonts w:cs="Arial"/>
          <w:color w:val="000000"/>
        </w:rPr>
      </w:pPr>
      <w:r w:rsidRPr="003F5457">
        <w:rPr>
          <w:rFonts w:cs="Arial"/>
          <w:color w:val="000000"/>
        </w:rPr>
        <w:lastRenderedPageBreak/>
        <w:t xml:space="preserve">Note: </w:t>
      </w:r>
      <w:r w:rsidRPr="003F5457">
        <w:rPr>
          <w:rFonts w:cs="Arial"/>
          <w:color w:val="000000"/>
        </w:rPr>
        <w:t>In those transitioning from parenteral anticoagulation, warfarin should be commenced at least 4 days before heparin is discontinued to allow for the inactivation of circulating vitamin K–dependent coagulation factors; the heparin can be discontinued once the INR (next section) has been in the therapeutic range for 2 days</w:t>
      </w:r>
    </w:p>
    <w:p w:rsidR="004009E9" w:rsidRPr="003F5457" w:rsidRDefault="004009E9" w:rsidP="004916C7">
      <w:pPr>
        <w:pStyle w:val="ListParagraph"/>
        <w:numPr>
          <w:ilvl w:val="0"/>
          <w:numId w:val="6"/>
        </w:numPr>
        <w:rPr>
          <w:rFonts w:cs="Arial"/>
          <w:color w:val="000000"/>
        </w:rPr>
      </w:pPr>
      <w:r w:rsidRPr="003F5457">
        <w:rPr>
          <w:rFonts w:cs="Arial"/>
          <w:color w:val="000000"/>
          <w:u w:val="single"/>
        </w:rPr>
        <w:t>INR</w:t>
      </w:r>
      <w:r w:rsidRPr="003F5457">
        <w:rPr>
          <w:rFonts w:cs="Arial"/>
          <w:color w:val="000000"/>
        </w:rPr>
        <w:t xml:space="preserve">: </w:t>
      </w:r>
      <w:r w:rsidRPr="003F5457">
        <w:rPr>
          <w:rFonts w:cs="Arial"/>
          <w:color w:val="000000"/>
        </w:rPr>
        <w:t>The effect of warfarin is mon</w:t>
      </w:r>
      <w:r w:rsidR="001D5337" w:rsidRPr="003F5457">
        <w:rPr>
          <w:rFonts w:cs="Arial"/>
          <w:color w:val="000000"/>
        </w:rPr>
        <w:t>itored by reporting the INR</w:t>
      </w:r>
      <w:r w:rsidRPr="003F5457">
        <w:rPr>
          <w:rFonts w:cs="Arial"/>
          <w:color w:val="000000"/>
        </w:rPr>
        <w:t xml:space="preserve">, which represents the </w:t>
      </w:r>
      <w:proofErr w:type="spellStart"/>
      <w:r w:rsidRPr="003F5457">
        <w:rPr>
          <w:rFonts w:cs="Arial"/>
          <w:color w:val="000000"/>
        </w:rPr>
        <w:t>prothrombin</w:t>
      </w:r>
      <w:proofErr w:type="spellEnd"/>
      <w:r w:rsidRPr="003F5457">
        <w:rPr>
          <w:rFonts w:cs="Arial"/>
          <w:color w:val="000000"/>
        </w:rPr>
        <w:t xml:space="preserve"> time according to international reference </w:t>
      </w:r>
      <w:proofErr w:type="spellStart"/>
      <w:r w:rsidRPr="003F5457">
        <w:rPr>
          <w:rFonts w:cs="Arial"/>
          <w:color w:val="000000"/>
        </w:rPr>
        <w:t>thromboplastin</w:t>
      </w:r>
      <w:proofErr w:type="spellEnd"/>
      <w:r w:rsidRPr="003F5457">
        <w:rPr>
          <w:rFonts w:cs="Arial"/>
          <w:color w:val="000000"/>
        </w:rPr>
        <w:t>, as approved by the World Health Organization. In general clinical practice, the aim is moderate intensity of inhibition with an INR of 2-3.</w:t>
      </w:r>
    </w:p>
    <w:p w:rsidR="00203828" w:rsidRPr="003F5457" w:rsidRDefault="001D5337" w:rsidP="004916C7">
      <w:pPr>
        <w:pStyle w:val="ListParagraph"/>
        <w:numPr>
          <w:ilvl w:val="0"/>
          <w:numId w:val="6"/>
        </w:numPr>
        <w:rPr>
          <w:rFonts w:cs="Arial"/>
          <w:color w:val="000000"/>
        </w:rPr>
      </w:pPr>
      <w:r w:rsidRPr="003F5457">
        <w:rPr>
          <w:rFonts w:cs="Arial"/>
          <w:color w:val="000000"/>
          <w:u w:val="single"/>
        </w:rPr>
        <w:t>Dose reduction</w:t>
      </w:r>
      <w:r w:rsidRPr="003F5457">
        <w:rPr>
          <w:rFonts w:cs="Arial"/>
          <w:color w:val="000000"/>
        </w:rPr>
        <w:t xml:space="preserve">: </w:t>
      </w:r>
      <w:r w:rsidRPr="003F5457">
        <w:rPr>
          <w:rFonts w:cs="Arial"/>
          <w:color w:val="000000"/>
        </w:rPr>
        <w:t>The dose should be reduced in the presence of congestive heart failure; liver damage fr</w:t>
      </w:r>
      <w:r w:rsidRPr="003F5457">
        <w:rPr>
          <w:rFonts w:cs="Arial"/>
          <w:color w:val="000000"/>
        </w:rPr>
        <w:t>om any source,</w:t>
      </w:r>
      <w:r w:rsidRPr="003F5457">
        <w:rPr>
          <w:rFonts w:cs="Arial"/>
          <w:color w:val="000000"/>
        </w:rPr>
        <w:t xml:space="preserve"> renal impairment (which increases the fraction of free drug in the plasma); and malnutrition (which leads to vitamin K deficiency).Thyrotoxicosis enhances the catabolism of vitamin K, reducing the dose of warfarin needed, whereas myxedema has the opposite effect. </w:t>
      </w:r>
    </w:p>
    <w:p w:rsidR="007450E9" w:rsidRPr="003F5457" w:rsidRDefault="00DC64FC" w:rsidP="00DF7142">
      <w:pPr>
        <w:pStyle w:val="ListParagraph"/>
        <w:numPr>
          <w:ilvl w:val="0"/>
          <w:numId w:val="6"/>
        </w:numPr>
        <w:rPr>
          <w:rFonts w:cs="Arial"/>
          <w:color w:val="000000"/>
        </w:rPr>
      </w:pPr>
      <w:r w:rsidRPr="003F5457">
        <w:rPr>
          <w:rFonts w:cs="Arial"/>
          <w:color w:val="000000"/>
          <w:u w:val="single"/>
        </w:rPr>
        <w:t xml:space="preserve">Drug </w:t>
      </w:r>
      <w:proofErr w:type="spellStart"/>
      <w:r w:rsidRPr="003F5457">
        <w:rPr>
          <w:rFonts w:cs="Arial"/>
          <w:color w:val="000000"/>
          <w:u w:val="single"/>
        </w:rPr>
        <w:t>interations</w:t>
      </w:r>
      <w:proofErr w:type="spellEnd"/>
      <w:r w:rsidRPr="003F5457">
        <w:rPr>
          <w:rFonts w:cs="Arial"/>
          <w:color w:val="000000"/>
        </w:rPr>
        <w:t xml:space="preserve">: </w:t>
      </w:r>
      <w:r w:rsidRPr="003F5457">
        <w:rPr>
          <w:rFonts w:cs="Arial"/>
          <w:color w:val="000000"/>
        </w:rPr>
        <w:t xml:space="preserve">Warfarin interacts with approximately 80 other drugs. It is inhibited by drugs such as barbiturates or phenytoin that accelerate warfarin degradation in the liver. Potentiating drugs include the cardiovascular </w:t>
      </w:r>
      <w:proofErr w:type="gramStart"/>
      <w:r w:rsidRPr="003F5457">
        <w:rPr>
          <w:rFonts w:cs="Arial"/>
          <w:color w:val="000000"/>
        </w:rPr>
        <w:t>agents</w:t>
      </w:r>
      <w:proofErr w:type="gramEnd"/>
      <w:r w:rsidRPr="003F5457">
        <w:rPr>
          <w:rFonts w:cs="Arial"/>
          <w:color w:val="000000"/>
        </w:rPr>
        <w:t xml:space="preserve"> allopurinol and </w:t>
      </w:r>
      <w:proofErr w:type="spellStart"/>
      <w:r w:rsidRPr="003F5457">
        <w:rPr>
          <w:rFonts w:cs="Arial"/>
          <w:color w:val="000000"/>
        </w:rPr>
        <w:t>amiodarone</w:t>
      </w:r>
      <w:proofErr w:type="spellEnd"/>
      <w:r w:rsidRPr="003F5457">
        <w:rPr>
          <w:rFonts w:cs="Arial"/>
          <w:color w:val="000000"/>
        </w:rPr>
        <w:t xml:space="preserve">, and </w:t>
      </w:r>
      <w:proofErr w:type="spellStart"/>
      <w:r w:rsidRPr="003F5457">
        <w:rPr>
          <w:rFonts w:cs="Arial"/>
          <w:color w:val="000000"/>
        </w:rPr>
        <w:t>cephalosporins</w:t>
      </w:r>
      <w:proofErr w:type="spellEnd"/>
      <w:r w:rsidRPr="003F5457">
        <w:rPr>
          <w:rFonts w:cs="Arial"/>
          <w:color w:val="000000"/>
        </w:rPr>
        <w:t xml:space="preserve"> that inhibit the generation of Vitamin K</w:t>
      </w:r>
      <w:r w:rsidRPr="003F5457">
        <w:rPr>
          <w:rFonts w:cs="Arial"/>
          <w:color w:val="000000"/>
        </w:rPr>
        <w:t xml:space="preserve">.  </w:t>
      </w:r>
      <w:r w:rsidRPr="003F5457">
        <w:rPr>
          <w:rFonts w:cs="Arial"/>
          <w:color w:val="000000"/>
        </w:rPr>
        <w:t>Drugs that decrease warfarin degradation and increase the anticoagulant effect include a variety of antibiotics such as metronidazole</w:t>
      </w:r>
    </w:p>
    <w:p w:rsidR="007450E9" w:rsidRPr="003F5457" w:rsidRDefault="007450E9" w:rsidP="004916C7">
      <w:pPr>
        <w:pStyle w:val="ListParagraph"/>
        <w:numPr>
          <w:ilvl w:val="0"/>
          <w:numId w:val="6"/>
        </w:numPr>
        <w:rPr>
          <w:rFonts w:cs="Arial"/>
          <w:color w:val="000000"/>
        </w:rPr>
      </w:pPr>
      <w:r w:rsidRPr="003F5457">
        <w:rPr>
          <w:rFonts w:cs="Arial"/>
          <w:color w:val="000000"/>
          <w:u w:val="single"/>
        </w:rPr>
        <w:t>Overdose:</w:t>
      </w:r>
      <w:r w:rsidRPr="003F5457">
        <w:rPr>
          <w:rFonts w:cs="Arial"/>
          <w:color w:val="000000"/>
        </w:rPr>
        <w:t xml:space="preserve"> Bleeding </w:t>
      </w:r>
      <w:r w:rsidRPr="003F5457">
        <w:sym w:font="Wingdings" w:char="F0E0"/>
      </w:r>
      <w:r w:rsidRPr="003F5457">
        <w:rPr>
          <w:rFonts w:cs="Arial"/>
          <w:color w:val="000000"/>
        </w:rPr>
        <w:t xml:space="preserve"> </w:t>
      </w:r>
      <w:proofErr w:type="spellStart"/>
      <w:r w:rsidRPr="003F5457">
        <w:rPr>
          <w:rFonts w:cs="Arial"/>
          <w:color w:val="000000"/>
        </w:rPr>
        <w:t>tx</w:t>
      </w:r>
      <w:proofErr w:type="spellEnd"/>
      <w:r w:rsidRPr="003F5457">
        <w:rPr>
          <w:rFonts w:cs="Arial"/>
          <w:color w:val="000000"/>
        </w:rPr>
        <w:t>: provision of factors (</w:t>
      </w:r>
      <w:proofErr w:type="spellStart"/>
      <w:r w:rsidRPr="003F5457">
        <w:rPr>
          <w:rFonts w:cs="Arial"/>
          <w:color w:val="000000"/>
        </w:rPr>
        <w:t>ie</w:t>
      </w:r>
      <w:proofErr w:type="spellEnd"/>
      <w:r w:rsidRPr="003F5457">
        <w:rPr>
          <w:rFonts w:cs="Arial"/>
          <w:color w:val="000000"/>
        </w:rPr>
        <w:t xml:space="preserve"> FFP), blood it needed</w:t>
      </w:r>
    </w:p>
    <w:p w:rsidR="00D53F55" w:rsidRPr="003F5457" w:rsidRDefault="00D53F55" w:rsidP="004916C7">
      <w:pPr>
        <w:pStyle w:val="ListParagraph"/>
        <w:numPr>
          <w:ilvl w:val="0"/>
          <w:numId w:val="6"/>
        </w:numPr>
        <w:rPr>
          <w:rFonts w:cs="Arial"/>
          <w:color w:val="000000"/>
        </w:rPr>
      </w:pPr>
      <w:r w:rsidRPr="003F5457">
        <w:rPr>
          <w:rFonts w:cs="Arial"/>
          <w:color w:val="000000"/>
          <w:u w:val="single"/>
        </w:rPr>
        <w:t>Indications</w:t>
      </w:r>
      <w:r w:rsidRPr="003F5457">
        <w:rPr>
          <w:rFonts w:cs="Arial"/>
          <w:color w:val="000000"/>
        </w:rPr>
        <w:t>: AMI, venous thrombosis, Atrial fibrillation</w:t>
      </w:r>
    </w:p>
    <w:p w:rsidR="000F427C" w:rsidRPr="003F5457" w:rsidRDefault="000F427C" w:rsidP="004916C7">
      <w:pPr>
        <w:pStyle w:val="ListParagraph"/>
        <w:numPr>
          <w:ilvl w:val="0"/>
          <w:numId w:val="6"/>
        </w:numPr>
        <w:rPr>
          <w:rFonts w:cs="Arial"/>
          <w:color w:val="000000"/>
        </w:rPr>
      </w:pPr>
      <w:r w:rsidRPr="003F5457">
        <w:rPr>
          <w:rFonts w:cs="Arial"/>
          <w:color w:val="000000"/>
        </w:rPr>
        <w:t xml:space="preserve">Humans with A. Fib: </w:t>
      </w:r>
      <w:r w:rsidRPr="003F5457">
        <w:rPr>
          <w:rFonts w:cs="Arial"/>
          <w:color w:val="000000"/>
        </w:rPr>
        <w:t>AF is strongly associated with thromboembolism and the risk rises additively in those with congestive heart failure, left ventricular (LV) dysfunction, hypertension, older age, diabetes, TIA, previous thromboembolism, prior MI, peripheral atrial disease, the presence of aortic plaques, and especially stroke.</w:t>
      </w:r>
    </w:p>
    <w:p w:rsidR="004916C7" w:rsidRPr="003F5457" w:rsidRDefault="004916C7">
      <w:pPr>
        <w:rPr>
          <w:rFonts w:cs="Arial"/>
          <w:u w:val="single"/>
        </w:rPr>
      </w:pPr>
      <w:bookmarkStart w:id="14" w:name="4-u1.0-B978-1-4557-3322-4..00018-1--s065"/>
      <w:bookmarkStart w:id="15" w:name="4-u1.0-B978-1-4557-3322-4..00018-1--st05"/>
      <w:bookmarkEnd w:id="14"/>
      <w:bookmarkEnd w:id="15"/>
      <w:r w:rsidRPr="003F5457">
        <w:rPr>
          <w:rStyle w:val="section-title-11"/>
          <w:rFonts w:cs="Arial"/>
          <w:color w:val="auto"/>
          <w:sz w:val="22"/>
          <w:szCs w:val="22"/>
          <w:u w:val="single"/>
        </w:rPr>
        <w:t xml:space="preserve">Anticoagulation with direct thrombin inhibitors and anti-X </w:t>
      </w:r>
      <w:proofErr w:type="gramStart"/>
      <w:r w:rsidRPr="003F5457">
        <w:rPr>
          <w:rStyle w:val="section-title-11"/>
          <w:rFonts w:cs="Arial"/>
          <w:color w:val="auto"/>
          <w:sz w:val="22"/>
          <w:szCs w:val="22"/>
          <w:u w:val="single"/>
        </w:rPr>
        <w:t>a</w:t>
      </w:r>
      <w:proofErr w:type="gramEnd"/>
      <w:r w:rsidRPr="003F5457">
        <w:rPr>
          <w:rStyle w:val="section-title-11"/>
          <w:rFonts w:cs="Arial"/>
          <w:color w:val="auto"/>
          <w:sz w:val="22"/>
          <w:szCs w:val="22"/>
          <w:u w:val="single"/>
        </w:rPr>
        <w:t xml:space="preserve"> agents</w:t>
      </w:r>
      <w:r w:rsidRPr="003F5457">
        <w:rPr>
          <w:rStyle w:val="section-title-11"/>
          <w:rFonts w:cs="Arial"/>
          <w:color w:val="auto"/>
          <w:sz w:val="22"/>
          <w:szCs w:val="22"/>
          <w:u w:val="single"/>
        </w:rPr>
        <w:t>:</w:t>
      </w:r>
    </w:p>
    <w:p w:rsidR="003B109D" w:rsidRPr="003F5457" w:rsidRDefault="003B109D">
      <w:pPr>
        <w:rPr>
          <w:rFonts w:cs="Arial"/>
          <w:color w:val="000000"/>
        </w:rPr>
      </w:pPr>
      <w:r w:rsidRPr="003F5457">
        <w:rPr>
          <w:rFonts w:cs="Arial"/>
          <w:color w:val="000000"/>
        </w:rPr>
        <w:t>These agents are at least as effective as warfarin in preventing embolic stroke among patients with AF and are safer with less intracranial bleeding or complicating hemorrhagic strokes.</w:t>
      </w:r>
    </w:p>
    <w:p w:rsidR="00203828" w:rsidRPr="003F5457" w:rsidRDefault="003B109D">
      <w:pPr>
        <w:rPr>
          <w:rFonts w:cs="Arial"/>
          <w:color w:val="000000"/>
        </w:rPr>
      </w:pPr>
      <w:r w:rsidRPr="003F5457">
        <w:rPr>
          <w:rFonts w:cs="Arial"/>
          <w:color w:val="000000"/>
        </w:rPr>
        <w:t xml:space="preserve"> There may be a small increase in the incidence of MI with </w:t>
      </w:r>
      <w:proofErr w:type="spellStart"/>
      <w:r w:rsidRPr="003F5457">
        <w:rPr>
          <w:rFonts w:cs="Arial"/>
          <w:color w:val="000000"/>
        </w:rPr>
        <w:t>dabigatran</w:t>
      </w:r>
      <w:proofErr w:type="spellEnd"/>
      <w:r w:rsidRPr="003F5457">
        <w:rPr>
          <w:rFonts w:cs="Arial"/>
          <w:color w:val="000000"/>
        </w:rPr>
        <w:t>, with an HR of 1.27 versus warfarin; the mechanism is unknown</w:t>
      </w:r>
    </w:p>
    <w:p w:rsidR="00E20B98" w:rsidRPr="003F5457" w:rsidRDefault="003B109D">
      <w:pPr>
        <w:rPr>
          <w:rFonts w:cs="Arial"/>
          <w:color w:val="000000"/>
        </w:rPr>
      </w:pPr>
      <w:proofErr w:type="spellStart"/>
      <w:r w:rsidRPr="003F5457">
        <w:rPr>
          <w:rFonts w:cs="Arial"/>
          <w:b/>
          <w:i/>
          <w:iCs/>
          <w:color w:val="000000"/>
        </w:rPr>
        <w:t>Dabigatran</w:t>
      </w:r>
      <w:proofErr w:type="spellEnd"/>
      <w:r w:rsidRPr="003F5457">
        <w:rPr>
          <w:rFonts w:cs="Arial"/>
          <w:b/>
          <w:i/>
          <w:iCs/>
          <w:color w:val="000000"/>
        </w:rPr>
        <w:t xml:space="preserve"> </w:t>
      </w:r>
      <w:proofErr w:type="spellStart"/>
      <w:r w:rsidRPr="003F5457">
        <w:rPr>
          <w:rFonts w:cs="Arial"/>
          <w:b/>
          <w:i/>
          <w:iCs/>
          <w:color w:val="000000"/>
        </w:rPr>
        <w:t>etexilate</w:t>
      </w:r>
      <w:proofErr w:type="spellEnd"/>
      <w:r w:rsidRPr="003F5457">
        <w:rPr>
          <w:rFonts w:cs="Arial"/>
          <w:b/>
          <w:i/>
          <w:iCs/>
          <w:color w:val="000000"/>
        </w:rPr>
        <w:t xml:space="preserve"> (</w:t>
      </w:r>
      <w:proofErr w:type="spellStart"/>
      <w:r w:rsidRPr="003F5457">
        <w:rPr>
          <w:rFonts w:cs="Arial"/>
          <w:b/>
          <w:i/>
          <w:iCs/>
          <w:color w:val="000000"/>
        </w:rPr>
        <w:t>Pradaxa</w:t>
      </w:r>
      <w:proofErr w:type="spellEnd"/>
      <w:r w:rsidRPr="003F5457">
        <w:rPr>
          <w:rFonts w:cs="Arial"/>
          <w:b/>
          <w:i/>
          <w:iCs/>
          <w:color w:val="000000"/>
        </w:rPr>
        <w:t>)</w:t>
      </w:r>
      <w:r w:rsidRPr="003F5457">
        <w:rPr>
          <w:rFonts w:cs="Arial"/>
          <w:i/>
          <w:iCs/>
          <w:color w:val="000000"/>
        </w:rPr>
        <w:t>:</w:t>
      </w:r>
      <w:r w:rsidRPr="003F5457">
        <w:rPr>
          <w:rFonts w:cs="Arial"/>
          <w:color w:val="000000"/>
        </w:rPr>
        <w:t xml:space="preserve"> is a new direct thrombin inhibitor.</w:t>
      </w:r>
      <w:r w:rsidRPr="003F5457">
        <w:rPr>
          <w:rFonts w:cs="Arial"/>
          <w:color w:val="000000"/>
        </w:rPr>
        <w:t xml:space="preserve"> </w:t>
      </w:r>
      <w:proofErr w:type="spellStart"/>
      <w:r w:rsidRPr="003F5457">
        <w:rPr>
          <w:rFonts w:cs="Arial"/>
          <w:color w:val="000000"/>
        </w:rPr>
        <w:t>Dabigatran</w:t>
      </w:r>
      <w:proofErr w:type="spellEnd"/>
      <w:r w:rsidRPr="003F5457">
        <w:rPr>
          <w:rFonts w:cs="Arial"/>
          <w:color w:val="000000"/>
        </w:rPr>
        <w:t xml:space="preserve"> and its acyl </w:t>
      </w:r>
      <w:proofErr w:type="spellStart"/>
      <w:r w:rsidRPr="003F5457">
        <w:rPr>
          <w:rFonts w:cs="Arial"/>
          <w:color w:val="000000"/>
        </w:rPr>
        <w:t>glucuronides</w:t>
      </w:r>
      <w:proofErr w:type="spellEnd"/>
      <w:r w:rsidRPr="003F5457">
        <w:rPr>
          <w:rFonts w:cs="Arial"/>
          <w:color w:val="000000"/>
        </w:rPr>
        <w:t xml:space="preserve"> are competitive, direct thrombin inhibitors (see </w:t>
      </w:r>
      <w:hyperlink r:id="rId7" w:history="1">
        <w:r w:rsidRPr="003F5457">
          <w:rPr>
            <w:rStyle w:val="Hyperlink"/>
            <w:rFonts w:cs="Arial"/>
            <w:color w:val="0066CC"/>
          </w:rPr>
          <w:t>Fig. 9-9</w:t>
        </w:r>
      </w:hyperlink>
      <w:r w:rsidRPr="003F5457">
        <w:rPr>
          <w:rFonts w:cs="Arial"/>
          <w:color w:val="000000"/>
        </w:rPr>
        <w:t xml:space="preserve">). Because thrombin enables the conversion of fibrinogen into fibrin during the coagulation cascade, its inhibition prevents thrombosis. Both free and clot-bound </w:t>
      </w:r>
      <w:proofErr w:type="gramStart"/>
      <w:r w:rsidRPr="003F5457">
        <w:rPr>
          <w:rFonts w:cs="Arial"/>
          <w:color w:val="000000"/>
        </w:rPr>
        <w:t>thrombin as well as thrombin-induced platelet aggregation are</w:t>
      </w:r>
      <w:proofErr w:type="gramEnd"/>
      <w:r w:rsidRPr="003F5457">
        <w:rPr>
          <w:rFonts w:cs="Arial"/>
          <w:color w:val="000000"/>
        </w:rPr>
        <w:t xml:space="preserve"> inhibited by the active moieties.</w:t>
      </w:r>
      <w:r w:rsidR="00E20B98" w:rsidRPr="003F5457">
        <w:rPr>
          <w:rFonts w:cs="Arial"/>
          <w:color w:val="000000"/>
        </w:rPr>
        <w:t xml:space="preserve"> </w:t>
      </w:r>
      <w:r w:rsidR="00E20B98" w:rsidRPr="003F5457">
        <w:rPr>
          <w:rFonts w:cs="Arial"/>
          <w:b/>
          <w:color w:val="000000"/>
          <w:u w:val="single"/>
        </w:rPr>
        <w:t>Note:</w:t>
      </w:r>
      <w:r w:rsidR="00E20B98" w:rsidRPr="003F5457">
        <w:rPr>
          <w:rFonts w:cs="Arial"/>
          <w:color w:val="000000"/>
        </w:rPr>
        <w:t xml:space="preserve"> </w:t>
      </w:r>
      <w:r w:rsidR="00E20B98" w:rsidRPr="003F5457">
        <w:rPr>
          <w:rFonts w:cs="Arial"/>
          <w:color w:val="000000"/>
        </w:rPr>
        <w:t xml:space="preserve">In the presence of renal impairment, the dose must be reduced because </w:t>
      </w:r>
      <w:proofErr w:type="spellStart"/>
      <w:r w:rsidR="00E20B98" w:rsidRPr="003F5457">
        <w:rPr>
          <w:rFonts w:cs="Arial"/>
          <w:color w:val="000000"/>
        </w:rPr>
        <w:t>dabigatran</w:t>
      </w:r>
      <w:proofErr w:type="spellEnd"/>
      <w:r w:rsidR="00E20B98" w:rsidRPr="003F5457">
        <w:rPr>
          <w:rFonts w:cs="Arial"/>
          <w:color w:val="000000"/>
        </w:rPr>
        <w:t xml:space="preserve"> and its moieties are </w:t>
      </w:r>
      <w:proofErr w:type="spellStart"/>
      <w:r w:rsidR="00E20B98" w:rsidRPr="003F5457">
        <w:rPr>
          <w:rFonts w:cs="Arial"/>
          <w:color w:val="000000"/>
        </w:rPr>
        <w:t>renally</w:t>
      </w:r>
      <w:proofErr w:type="spellEnd"/>
      <w:r w:rsidR="00E20B98" w:rsidRPr="003F5457">
        <w:rPr>
          <w:rFonts w:cs="Arial"/>
          <w:color w:val="000000"/>
        </w:rPr>
        <w:t xml:space="preserve"> excreted (80%) and should not be given to those with </w:t>
      </w:r>
      <w:proofErr w:type="spellStart"/>
      <w:r w:rsidR="00E20B98" w:rsidRPr="003F5457">
        <w:rPr>
          <w:rFonts w:cs="Arial"/>
          <w:color w:val="000000"/>
        </w:rPr>
        <w:t>CrCl</w:t>
      </w:r>
      <w:proofErr w:type="spellEnd"/>
      <w:r w:rsidR="00E20B98" w:rsidRPr="003F5457">
        <w:rPr>
          <w:rFonts w:cs="Arial"/>
          <w:color w:val="000000"/>
        </w:rPr>
        <w:t xml:space="preserve"> of less than 30 mL/min</w:t>
      </w:r>
      <w:r w:rsidR="00771E64" w:rsidRPr="003F5457">
        <w:rPr>
          <w:rFonts w:cs="Arial"/>
          <w:color w:val="000000"/>
        </w:rPr>
        <w:t xml:space="preserve">. </w:t>
      </w:r>
      <w:r w:rsidR="00771E64" w:rsidRPr="003F5457">
        <w:rPr>
          <w:rFonts w:cs="Arial"/>
          <w:color w:val="000000"/>
        </w:rPr>
        <w:t xml:space="preserve">The advantages of </w:t>
      </w:r>
      <w:proofErr w:type="spellStart"/>
      <w:r w:rsidR="00771E64" w:rsidRPr="003F5457">
        <w:rPr>
          <w:rFonts w:cs="Arial"/>
          <w:color w:val="000000"/>
        </w:rPr>
        <w:t>dabigatran</w:t>
      </w:r>
      <w:proofErr w:type="spellEnd"/>
      <w:r w:rsidR="00771E64" w:rsidRPr="003F5457">
        <w:rPr>
          <w:rFonts w:cs="Arial"/>
          <w:color w:val="000000"/>
        </w:rPr>
        <w:t xml:space="preserve"> versus warfarin are that it is rapidly effective, does not interact with foods </w:t>
      </w:r>
      <w:proofErr w:type="gramStart"/>
      <w:r w:rsidR="00771E64" w:rsidRPr="003F5457">
        <w:rPr>
          <w:rFonts w:cs="Arial"/>
          <w:color w:val="000000"/>
        </w:rPr>
        <w:t>nor</w:t>
      </w:r>
      <w:proofErr w:type="gramEnd"/>
      <w:r w:rsidR="00771E64" w:rsidRPr="003F5457">
        <w:rPr>
          <w:rFonts w:cs="Arial"/>
          <w:color w:val="000000"/>
        </w:rPr>
        <w:t xml:space="preserve"> with most medications (which are particularly problematic for patients taking warfarin), does not require monitoring, and is associated with a lower risk of ischemic stroke and intracranial bleeding than warfarin. It is more expensive than warfarin, but is more cost effective.</w:t>
      </w:r>
    </w:p>
    <w:p w:rsidR="00E8789D" w:rsidRPr="003F5457" w:rsidRDefault="00E8789D">
      <w:pPr>
        <w:rPr>
          <w:rFonts w:cs="Arial"/>
          <w:color w:val="000000"/>
        </w:rPr>
      </w:pPr>
      <w:proofErr w:type="spellStart"/>
      <w:r w:rsidRPr="003F5457">
        <w:rPr>
          <w:rFonts w:cs="Arial"/>
          <w:b/>
          <w:i/>
          <w:iCs/>
          <w:color w:val="000000"/>
        </w:rPr>
        <w:lastRenderedPageBreak/>
        <w:t>Rivaroxaban</w:t>
      </w:r>
      <w:proofErr w:type="spellEnd"/>
      <w:r w:rsidRPr="003F5457">
        <w:rPr>
          <w:rFonts w:cs="Arial"/>
          <w:b/>
          <w:i/>
          <w:iCs/>
          <w:color w:val="000000"/>
        </w:rPr>
        <w:t xml:space="preserve"> (</w:t>
      </w:r>
      <w:proofErr w:type="spellStart"/>
      <w:r w:rsidRPr="003F5457">
        <w:rPr>
          <w:rFonts w:cs="Arial"/>
          <w:b/>
          <w:i/>
          <w:iCs/>
          <w:color w:val="000000"/>
        </w:rPr>
        <w:t>Xarelto</w:t>
      </w:r>
      <w:proofErr w:type="spellEnd"/>
      <w:r w:rsidRPr="003F5457">
        <w:rPr>
          <w:rFonts w:cs="Arial"/>
          <w:b/>
          <w:i/>
          <w:iCs/>
          <w:color w:val="000000"/>
        </w:rPr>
        <w:t>)</w:t>
      </w:r>
      <w:r w:rsidRPr="003F5457">
        <w:rPr>
          <w:rFonts w:cs="Arial"/>
          <w:color w:val="000000"/>
        </w:rPr>
        <w:t xml:space="preserve">: </w:t>
      </w:r>
      <w:r w:rsidRPr="003F5457">
        <w:rPr>
          <w:rFonts w:cs="Arial"/>
          <w:color w:val="000000"/>
        </w:rPr>
        <w:t>is an or</w:t>
      </w:r>
      <w:r w:rsidR="0025011B" w:rsidRPr="003F5457">
        <w:rPr>
          <w:rFonts w:cs="Arial"/>
          <w:color w:val="000000"/>
        </w:rPr>
        <w:t xml:space="preserve">al inhibitor of factor </w:t>
      </w:r>
      <w:proofErr w:type="spellStart"/>
      <w:r w:rsidR="0025011B" w:rsidRPr="003F5457">
        <w:rPr>
          <w:rFonts w:cs="Arial"/>
          <w:color w:val="000000"/>
        </w:rPr>
        <w:t>Xa</w:t>
      </w:r>
      <w:proofErr w:type="spellEnd"/>
      <w:r w:rsidR="0025011B" w:rsidRPr="003F5457">
        <w:rPr>
          <w:rFonts w:cs="Arial"/>
          <w:color w:val="000000"/>
        </w:rPr>
        <w:t xml:space="preserve"> </w:t>
      </w:r>
      <w:r w:rsidRPr="003F5457">
        <w:rPr>
          <w:rFonts w:cs="Arial"/>
          <w:color w:val="000000"/>
        </w:rPr>
        <w:t xml:space="preserve">and, like </w:t>
      </w:r>
      <w:proofErr w:type="spellStart"/>
      <w:r w:rsidRPr="003F5457">
        <w:rPr>
          <w:rFonts w:cs="Arial"/>
          <w:color w:val="000000"/>
        </w:rPr>
        <w:t>dabigatran</w:t>
      </w:r>
      <w:proofErr w:type="spellEnd"/>
      <w:r w:rsidRPr="003F5457">
        <w:rPr>
          <w:rFonts w:cs="Arial"/>
          <w:color w:val="000000"/>
        </w:rPr>
        <w:t xml:space="preserve"> and </w:t>
      </w:r>
      <w:proofErr w:type="spellStart"/>
      <w:r w:rsidRPr="003F5457">
        <w:rPr>
          <w:rFonts w:cs="Arial"/>
          <w:color w:val="000000"/>
        </w:rPr>
        <w:t>apixaban</w:t>
      </w:r>
      <w:proofErr w:type="spellEnd"/>
      <w:r w:rsidRPr="003F5457">
        <w:rPr>
          <w:rFonts w:cs="Arial"/>
          <w:color w:val="000000"/>
        </w:rPr>
        <w:t xml:space="preserve">, it does not require monitoring. Unlike </w:t>
      </w:r>
      <w:proofErr w:type="spellStart"/>
      <w:r w:rsidRPr="003F5457">
        <w:rPr>
          <w:rFonts w:cs="Arial"/>
          <w:color w:val="000000"/>
        </w:rPr>
        <w:t>dabigatran</w:t>
      </w:r>
      <w:proofErr w:type="spellEnd"/>
      <w:r w:rsidRPr="003F5457">
        <w:rPr>
          <w:rFonts w:cs="Arial"/>
          <w:color w:val="000000"/>
        </w:rPr>
        <w:t xml:space="preserve"> or </w:t>
      </w:r>
      <w:proofErr w:type="spellStart"/>
      <w:r w:rsidRPr="003F5457">
        <w:rPr>
          <w:rFonts w:cs="Arial"/>
          <w:color w:val="000000"/>
        </w:rPr>
        <w:t>apixiban</w:t>
      </w:r>
      <w:proofErr w:type="spellEnd"/>
      <w:r w:rsidRPr="003F5457">
        <w:rPr>
          <w:rFonts w:cs="Arial"/>
          <w:color w:val="000000"/>
        </w:rPr>
        <w:t xml:space="preserve">, it is given only once daily in AF. It is well tested in chronic </w:t>
      </w:r>
      <w:proofErr w:type="spellStart"/>
      <w:r w:rsidRPr="003F5457">
        <w:rPr>
          <w:rFonts w:cs="Arial"/>
          <w:color w:val="000000"/>
        </w:rPr>
        <w:t>nonvalvular</w:t>
      </w:r>
      <w:proofErr w:type="spellEnd"/>
      <w:r w:rsidRPr="003F5457">
        <w:rPr>
          <w:rFonts w:cs="Arial"/>
          <w:color w:val="000000"/>
        </w:rPr>
        <w:t xml:space="preserve"> AF.</w:t>
      </w:r>
      <w:r w:rsidRPr="003F5457">
        <w:rPr>
          <w:rFonts w:cs="Arial"/>
          <w:color w:val="000000"/>
        </w:rPr>
        <w:t xml:space="preserve"> </w:t>
      </w:r>
    </w:p>
    <w:p w:rsidR="00F82D32" w:rsidRPr="003F5457" w:rsidRDefault="00F82D32">
      <w:pPr>
        <w:rPr>
          <w:rFonts w:cs="Arial"/>
          <w:color w:val="000000"/>
        </w:rPr>
      </w:pPr>
      <w:proofErr w:type="spellStart"/>
      <w:r w:rsidRPr="003F5457">
        <w:rPr>
          <w:rFonts w:cs="Arial"/>
          <w:b/>
          <w:color w:val="000000"/>
        </w:rPr>
        <w:t>Apixaban</w:t>
      </w:r>
      <w:proofErr w:type="spellEnd"/>
      <w:r w:rsidRPr="003F5457">
        <w:rPr>
          <w:rFonts w:cs="Arial"/>
          <w:b/>
          <w:color w:val="000000"/>
        </w:rPr>
        <w:t xml:space="preserve"> (</w:t>
      </w:r>
      <w:proofErr w:type="spellStart"/>
      <w:r w:rsidRPr="003F5457">
        <w:rPr>
          <w:rFonts w:cs="Arial"/>
          <w:b/>
          <w:color w:val="000000"/>
        </w:rPr>
        <w:t>Eliquis</w:t>
      </w:r>
      <w:proofErr w:type="spellEnd"/>
      <w:r w:rsidRPr="003F5457">
        <w:rPr>
          <w:rFonts w:cs="Arial"/>
          <w:color w:val="000000"/>
        </w:rPr>
        <w:t>) is a</w:t>
      </w:r>
      <w:r w:rsidRPr="003F5457">
        <w:rPr>
          <w:rFonts w:cs="Arial"/>
          <w:color w:val="000000"/>
        </w:rPr>
        <w:t xml:space="preserve"> direct factor </w:t>
      </w:r>
      <w:proofErr w:type="spellStart"/>
      <w:r w:rsidRPr="003F5457">
        <w:rPr>
          <w:rFonts w:cs="Arial"/>
          <w:color w:val="000000"/>
        </w:rPr>
        <w:t>Xa</w:t>
      </w:r>
      <w:proofErr w:type="spellEnd"/>
      <w:r w:rsidRPr="003F5457">
        <w:rPr>
          <w:rFonts w:cs="Arial"/>
          <w:color w:val="000000"/>
        </w:rPr>
        <w:t xml:space="preserve"> inhibitor, is a relatively new drug and is still being assessed by regulatory agencies. </w:t>
      </w:r>
      <w:proofErr w:type="spellStart"/>
      <w:r w:rsidRPr="003F5457">
        <w:rPr>
          <w:rFonts w:cs="Arial"/>
          <w:color w:val="000000"/>
        </w:rPr>
        <w:t>Apixaban</w:t>
      </w:r>
      <w:proofErr w:type="spellEnd"/>
      <w:r w:rsidRPr="003F5457">
        <w:rPr>
          <w:rFonts w:cs="Arial"/>
          <w:color w:val="000000"/>
        </w:rPr>
        <w:t xml:space="preserve"> has one high-grade study, ARISTOTLE so that it may become among the first choices for anticoagulation in patients with AF.</w:t>
      </w:r>
    </w:p>
    <w:p w:rsidR="006A13A4" w:rsidRPr="003F5457" w:rsidRDefault="006A13A4">
      <w:pPr>
        <w:rPr>
          <w:rFonts w:cs="Arial"/>
          <w:b/>
          <w:color w:val="000000"/>
          <w:u w:val="single"/>
        </w:rPr>
      </w:pPr>
    </w:p>
    <w:p w:rsidR="006A13A4" w:rsidRPr="003F5457" w:rsidRDefault="006A13A4">
      <w:pPr>
        <w:rPr>
          <w:rFonts w:cs="Arial"/>
          <w:b/>
          <w:color w:val="000000"/>
          <w:u w:val="single"/>
        </w:rPr>
      </w:pPr>
      <w:r w:rsidRPr="003F5457">
        <w:rPr>
          <w:rFonts w:cs="Arial"/>
          <w:b/>
          <w:color w:val="000000"/>
          <w:u w:val="single"/>
        </w:rPr>
        <w:t>Acute anti-coagulation: Heparin:</w:t>
      </w:r>
    </w:p>
    <w:p w:rsidR="006A13A4" w:rsidRPr="003F5457" w:rsidRDefault="008B508A">
      <w:pPr>
        <w:rPr>
          <w:rFonts w:cs="Arial"/>
        </w:rPr>
      </w:pPr>
      <w:r w:rsidRPr="003F5457">
        <w:rPr>
          <w:rFonts w:cs="Arial"/>
          <w:b/>
          <w:color w:val="000000"/>
        </w:rPr>
        <w:t>Mechanism of action</w:t>
      </w:r>
      <w:r w:rsidRPr="003F5457">
        <w:rPr>
          <w:rFonts w:cs="Arial"/>
          <w:color w:val="000000"/>
        </w:rPr>
        <w:t>: heparin</w:t>
      </w:r>
      <w:r w:rsidRPr="003F5457">
        <w:rPr>
          <w:rFonts w:cs="Arial"/>
          <w:color w:val="000000"/>
        </w:rPr>
        <w:t xml:space="preserve"> is a heterogeneous </w:t>
      </w:r>
      <w:proofErr w:type="spellStart"/>
      <w:r w:rsidRPr="003F5457">
        <w:rPr>
          <w:rFonts w:cs="Arial"/>
          <w:color w:val="000000"/>
        </w:rPr>
        <w:t>mucopolysaccharide</w:t>
      </w:r>
      <w:proofErr w:type="spellEnd"/>
      <w:r w:rsidRPr="003F5457">
        <w:rPr>
          <w:rFonts w:cs="Arial"/>
          <w:color w:val="000000"/>
        </w:rPr>
        <w:t xml:space="preserve"> with extremely complex effects on the coagulation mechanism and on blood vessels. The major effect of UFH is on the interaction of </w:t>
      </w:r>
      <w:proofErr w:type="spellStart"/>
      <w:r w:rsidRPr="003F5457">
        <w:rPr>
          <w:rFonts w:cs="Arial"/>
          <w:color w:val="000000"/>
        </w:rPr>
        <w:t>antithrombin</w:t>
      </w:r>
      <w:proofErr w:type="spellEnd"/>
      <w:r w:rsidRPr="003F5457">
        <w:rPr>
          <w:rFonts w:cs="Arial"/>
          <w:color w:val="000000"/>
        </w:rPr>
        <w:t xml:space="preserve"> and thrombin (factor </w:t>
      </w:r>
      <w:proofErr w:type="spellStart"/>
      <w:r w:rsidRPr="003F5457">
        <w:rPr>
          <w:rFonts w:cs="Arial"/>
          <w:color w:val="000000"/>
        </w:rPr>
        <w:t>IIa</w:t>
      </w:r>
      <w:proofErr w:type="spellEnd"/>
      <w:r w:rsidRPr="003F5457">
        <w:rPr>
          <w:rFonts w:cs="Arial"/>
          <w:color w:val="000000"/>
        </w:rPr>
        <w:t>) to inhibit the thrombin-induced platelet aggregation that initiates ACS and venous thrombosis</w:t>
      </w:r>
      <w:r w:rsidR="00786F84" w:rsidRPr="003F5457">
        <w:rPr>
          <w:rFonts w:cs="Arial"/>
          <w:color w:val="000000"/>
        </w:rPr>
        <w:t>.</w:t>
      </w:r>
    </w:p>
    <w:p w:rsidR="00786F84" w:rsidRPr="003F5457" w:rsidRDefault="00786F84" w:rsidP="00786F84">
      <w:pPr>
        <w:shd w:val="clear" w:color="auto" w:fill="FFFFFF"/>
        <w:spacing w:after="0" w:line="240" w:lineRule="auto"/>
        <w:rPr>
          <w:rFonts w:eastAsia="Times New Roman" w:cs="Arial"/>
          <w:lang w:eastAsia="en-CA"/>
        </w:rPr>
      </w:pPr>
      <w:bookmarkStart w:id="16" w:name="4-u1.0-B978-1-4557-3322-4..00018-1--s082"/>
      <w:bookmarkStart w:id="17" w:name="4-u1.0-B978-1-4557-3322-4..00018-1--st06"/>
      <w:bookmarkEnd w:id="16"/>
      <w:bookmarkEnd w:id="17"/>
      <w:r w:rsidRPr="003F5457">
        <w:rPr>
          <w:rFonts w:eastAsia="Times New Roman" w:cs="Arial"/>
          <w:i/>
          <w:iCs/>
          <w:lang w:eastAsia="en-CA"/>
        </w:rPr>
        <w:t>Mode of action: Comparison with LMWH.</w:t>
      </w:r>
    </w:p>
    <w:p w:rsidR="00786F84" w:rsidRPr="003F5457" w:rsidRDefault="00786F84" w:rsidP="00786F84">
      <w:pPr>
        <w:shd w:val="clear" w:color="auto" w:fill="FFFFFF"/>
        <w:spacing w:before="240" w:after="240" w:line="240" w:lineRule="auto"/>
        <w:rPr>
          <w:rFonts w:eastAsia="Times New Roman" w:cs="Arial"/>
          <w:color w:val="000000"/>
          <w:lang w:eastAsia="en-CA"/>
        </w:rPr>
      </w:pPr>
      <w:r w:rsidRPr="00786F84">
        <w:rPr>
          <w:rFonts w:eastAsia="Times New Roman" w:cs="Arial"/>
          <w:color w:val="000000"/>
          <w:lang w:eastAsia="en-CA"/>
        </w:rPr>
        <w:t xml:space="preserve">Inhibition </w:t>
      </w:r>
      <w:r w:rsidRPr="003F5457">
        <w:rPr>
          <w:rFonts w:eastAsia="Times New Roman" w:cs="Arial"/>
          <w:color w:val="000000"/>
          <w:lang w:eastAsia="en-CA"/>
        </w:rPr>
        <w:t xml:space="preserve">of thrombin by heparin requires: </w:t>
      </w:r>
    </w:p>
    <w:p w:rsidR="00786F84" w:rsidRPr="003F5457" w:rsidRDefault="00786F84" w:rsidP="00786F84">
      <w:pPr>
        <w:shd w:val="clear" w:color="auto" w:fill="FFFFFF"/>
        <w:spacing w:before="240" w:after="240" w:line="240" w:lineRule="auto"/>
        <w:rPr>
          <w:rFonts w:eastAsia="Times New Roman" w:cs="Arial"/>
          <w:color w:val="000000"/>
          <w:lang w:eastAsia="en-CA"/>
        </w:rPr>
      </w:pPr>
      <w:r w:rsidRPr="00786F84">
        <w:rPr>
          <w:rFonts w:eastAsia="Times New Roman" w:cs="Arial"/>
          <w:color w:val="000000"/>
          <w:lang w:eastAsia="en-CA"/>
        </w:rPr>
        <w:t xml:space="preserve">(1) </w:t>
      </w:r>
      <w:proofErr w:type="gramStart"/>
      <w:r w:rsidRPr="00786F84">
        <w:rPr>
          <w:rFonts w:eastAsia="Times New Roman" w:cs="Arial"/>
          <w:color w:val="000000"/>
          <w:lang w:eastAsia="en-CA"/>
        </w:rPr>
        <w:t>binding</w:t>
      </w:r>
      <w:proofErr w:type="gramEnd"/>
      <w:r w:rsidRPr="00786F84">
        <w:rPr>
          <w:rFonts w:eastAsia="Times New Roman" w:cs="Arial"/>
          <w:color w:val="000000"/>
          <w:lang w:eastAsia="en-CA"/>
        </w:rPr>
        <w:t xml:space="preserve"> of heparin to </w:t>
      </w:r>
      <w:proofErr w:type="spellStart"/>
      <w:r w:rsidRPr="00786F84">
        <w:rPr>
          <w:rFonts w:eastAsia="Times New Roman" w:cs="Arial"/>
          <w:color w:val="000000"/>
          <w:lang w:eastAsia="en-CA"/>
        </w:rPr>
        <w:t>antithrombin</w:t>
      </w:r>
      <w:proofErr w:type="spellEnd"/>
      <w:r w:rsidRPr="00786F84">
        <w:rPr>
          <w:rFonts w:eastAsia="Times New Roman" w:cs="Arial"/>
          <w:color w:val="000000"/>
          <w:lang w:eastAsia="en-CA"/>
        </w:rPr>
        <w:t xml:space="preserve"> by a unique </w:t>
      </w:r>
      <w:proofErr w:type="spellStart"/>
      <w:r w:rsidRPr="00786F84">
        <w:rPr>
          <w:rFonts w:eastAsia="Times New Roman" w:cs="Arial"/>
          <w:color w:val="000000"/>
          <w:lang w:eastAsia="en-CA"/>
        </w:rPr>
        <w:t>pentasaccharide</w:t>
      </w:r>
      <w:proofErr w:type="spellEnd"/>
      <w:r w:rsidRPr="00786F84">
        <w:rPr>
          <w:rFonts w:eastAsia="Times New Roman" w:cs="Arial"/>
          <w:color w:val="000000"/>
          <w:lang w:eastAsia="en-CA"/>
        </w:rPr>
        <w:t xml:space="preserve"> segme</w:t>
      </w:r>
      <w:r w:rsidRPr="003F5457">
        <w:rPr>
          <w:rFonts w:eastAsia="Times New Roman" w:cs="Arial"/>
          <w:color w:val="000000"/>
          <w:lang w:eastAsia="en-CA"/>
        </w:rPr>
        <w:t>nt of the heparin molecule</w:t>
      </w:r>
    </w:p>
    <w:p w:rsidR="00786F84" w:rsidRPr="003F5457" w:rsidRDefault="00786F84" w:rsidP="00786F84">
      <w:pPr>
        <w:shd w:val="clear" w:color="auto" w:fill="FFFFFF"/>
        <w:spacing w:before="240" w:after="240" w:line="240" w:lineRule="auto"/>
        <w:rPr>
          <w:rFonts w:eastAsia="Times New Roman" w:cs="Arial"/>
          <w:color w:val="000000"/>
          <w:lang w:eastAsia="en-CA"/>
        </w:rPr>
      </w:pPr>
      <w:r w:rsidRPr="00786F84">
        <w:rPr>
          <w:rFonts w:eastAsia="Times New Roman" w:cs="Arial"/>
          <w:color w:val="000000"/>
          <w:lang w:eastAsia="en-CA"/>
        </w:rPr>
        <w:t xml:space="preserve">(2) </w:t>
      </w:r>
      <w:proofErr w:type="gramStart"/>
      <w:r w:rsidRPr="00786F84">
        <w:rPr>
          <w:rFonts w:eastAsia="Times New Roman" w:cs="Arial"/>
          <w:color w:val="000000"/>
          <w:lang w:eastAsia="en-CA"/>
        </w:rPr>
        <w:t>simultaneous</w:t>
      </w:r>
      <w:proofErr w:type="gramEnd"/>
      <w:r w:rsidRPr="00786F84">
        <w:rPr>
          <w:rFonts w:eastAsia="Times New Roman" w:cs="Arial"/>
          <w:color w:val="000000"/>
          <w:lang w:eastAsia="en-CA"/>
        </w:rPr>
        <w:t xml:space="preserve"> </w:t>
      </w:r>
      <w:bookmarkStart w:id="18" w:name="4-u1.0-B978-1-4557-3322-4..00018-1--p367"/>
      <w:bookmarkEnd w:id="18"/>
      <w:r w:rsidRPr="00786F84">
        <w:rPr>
          <w:rFonts w:eastAsia="Times New Roman" w:cs="Arial"/>
          <w:color w:val="000000"/>
          <w:lang w:eastAsia="en-CA"/>
        </w:rPr>
        <w:t>binding of heparin to thrombin by 13 a</w:t>
      </w:r>
      <w:r w:rsidRPr="003F5457">
        <w:rPr>
          <w:rFonts w:eastAsia="Times New Roman" w:cs="Arial"/>
          <w:color w:val="000000"/>
          <w:lang w:eastAsia="en-CA"/>
        </w:rPr>
        <w:t xml:space="preserve">dditional saccharide units </w:t>
      </w:r>
    </w:p>
    <w:p w:rsidR="00786F84" w:rsidRPr="003F5457" w:rsidRDefault="00786F84" w:rsidP="00786F84">
      <w:pPr>
        <w:shd w:val="clear" w:color="auto" w:fill="FFFFFF"/>
        <w:spacing w:before="240" w:after="240" w:line="240" w:lineRule="auto"/>
        <w:rPr>
          <w:rFonts w:eastAsia="Times New Roman" w:cs="Arial"/>
          <w:color w:val="000000"/>
          <w:lang w:eastAsia="en-CA"/>
        </w:rPr>
      </w:pPr>
      <w:r w:rsidRPr="00786F84">
        <w:rPr>
          <w:rFonts w:eastAsia="Times New Roman" w:cs="Arial"/>
          <w:color w:val="000000"/>
          <w:lang w:eastAsia="en-CA"/>
        </w:rPr>
        <w:t>Heparin-</w:t>
      </w:r>
      <w:proofErr w:type="spellStart"/>
      <w:r w:rsidRPr="00786F84">
        <w:rPr>
          <w:rFonts w:eastAsia="Times New Roman" w:cs="Arial"/>
          <w:color w:val="000000"/>
          <w:lang w:eastAsia="en-CA"/>
        </w:rPr>
        <w:t>antithrombin</w:t>
      </w:r>
      <w:proofErr w:type="spellEnd"/>
      <w:r w:rsidRPr="00786F84">
        <w:rPr>
          <w:rFonts w:eastAsia="Times New Roman" w:cs="Arial"/>
          <w:color w:val="000000"/>
          <w:lang w:eastAsia="en-CA"/>
        </w:rPr>
        <w:t xml:space="preserve"> also inhibits factor </w:t>
      </w:r>
      <w:proofErr w:type="spellStart"/>
      <w:r w:rsidRPr="00786F84">
        <w:rPr>
          <w:rFonts w:eastAsia="Times New Roman" w:cs="Arial"/>
          <w:color w:val="000000"/>
          <w:lang w:eastAsia="en-CA"/>
        </w:rPr>
        <w:t>Xa</w:t>
      </w:r>
      <w:proofErr w:type="spellEnd"/>
      <w:r w:rsidRPr="00786F84">
        <w:rPr>
          <w:rFonts w:eastAsia="Times New Roman" w:cs="Arial"/>
          <w:color w:val="000000"/>
          <w:lang w:eastAsia="en-CA"/>
        </w:rPr>
        <w:t xml:space="preserve">, to a lesser extent Xia, and others in the contact “intrinsic” path. </w:t>
      </w:r>
    </w:p>
    <w:p w:rsidR="00BD346F" w:rsidRPr="003F5457" w:rsidRDefault="00786F84" w:rsidP="00786F84">
      <w:pPr>
        <w:shd w:val="clear" w:color="auto" w:fill="FFFFFF"/>
        <w:spacing w:before="240" w:after="240" w:line="240" w:lineRule="auto"/>
        <w:rPr>
          <w:rFonts w:eastAsia="Times New Roman" w:cs="Arial"/>
          <w:color w:val="000000"/>
          <w:lang w:eastAsia="en-CA"/>
        </w:rPr>
      </w:pPr>
      <w:proofErr w:type="spellStart"/>
      <w:r w:rsidRPr="00786F84">
        <w:rPr>
          <w:rFonts w:eastAsia="Times New Roman" w:cs="Arial"/>
          <w:color w:val="000000"/>
          <w:lang w:eastAsia="en-CA"/>
        </w:rPr>
        <w:t>Antithrombin</w:t>
      </w:r>
      <w:proofErr w:type="spellEnd"/>
      <w:r w:rsidRPr="00786F84">
        <w:rPr>
          <w:rFonts w:eastAsia="Times New Roman" w:cs="Arial"/>
          <w:color w:val="000000"/>
          <w:lang w:eastAsia="en-CA"/>
        </w:rPr>
        <w:t xml:space="preserve"> contains an active center (arginine) that inhibits the active center serine not only in thrombin but also in several of the coagulation proteases, so the name </w:t>
      </w:r>
      <w:proofErr w:type="spellStart"/>
      <w:r w:rsidRPr="00786F84">
        <w:rPr>
          <w:rFonts w:eastAsia="Times New Roman" w:cs="Arial"/>
          <w:i/>
          <w:iCs/>
          <w:color w:val="000000"/>
          <w:lang w:eastAsia="en-CA"/>
        </w:rPr>
        <w:t>antithrombin</w:t>
      </w:r>
      <w:proofErr w:type="spellEnd"/>
      <w:r w:rsidRPr="00786F84">
        <w:rPr>
          <w:rFonts w:eastAsia="Times New Roman" w:cs="Arial"/>
          <w:color w:val="000000"/>
          <w:lang w:eastAsia="en-CA"/>
        </w:rPr>
        <w:t xml:space="preserve"> means more than a specific interaction only with thrombin. The dose-effect relationship is difficult to predict because heparin is a heterogeneous group of molecules extracted by a variety of procedures, and its strength varies from batch to batch. Heparin also binds variably to plasma proteins, endothelial cells, and macrophages. Such binding inactivates some of the heparin.</w:t>
      </w:r>
    </w:p>
    <w:p w:rsidR="00BD346F" w:rsidRPr="003F5457" w:rsidRDefault="00786F84" w:rsidP="00786F84">
      <w:pPr>
        <w:shd w:val="clear" w:color="auto" w:fill="FFFFFF"/>
        <w:spacing w:before="240" w:after="240" w:line="240" w:lineRule="auto"/>
        <w:rPr>
          <w:rFonts w:eastAsia="Times New Roman" w:cs="Arial"/>
          <w:color w:val="000000"/>
          <w:lang w:eastAsia="en-CA"/>
        </w:rPr>
      </w:pPr>
      <w:r w:rsidRPr="00786F84">
        <w:rPr>
          <w:rFonts w:eastAsia="Times New Roman" w:cs="Arial"/>
          <w:color w:val="000000"/>
          <w:lang w:eastAsia="en-CA"/>
        </w:rPr>
        <w:t>Furthermore, there is the risk of heparin-induced thrombocytopen</w:t>
      </w:r>
      <w:r w:rsidR="00056924" w:rsidRPr="003F5457">
        <w:rPr>
          <w:rFonts w:eastAsia="Times New Roman" w:cs="Arial"/>
          <w:color w:val="000000"/>
          <w:lang w:eastAsia="en-CA"/>
        </w:rPr>
        <w:t xml:space="preserve">ia (HIT). </w:t>
      </w:r>
      <w:r w:rsidR="00056924" w:rsidRPr="003F5457">
        <w:rPr>
          <w:rFonts w:cs="Arial"/>
          <w:color w:val="000000"/>
        </w:rPr>
        <w:t>To red</w:t>
      </w:r>
      <w:r w:rsidR="00056924" w:rsidRPr="003F5457">
        <w:rPr>
          <w:rFonts w:cs="Arial"/>
          <w:color w:val="000000"/>
        </w:rPr>
        <w:t>uce the risk of HIT (next section) current guidelines stress that intravenous heparin should not be given for longer than 48 hours.</w:t>
      </w:r>
      <w:r w:rsidR="00056924" w:rsidRPr="003F5457">
        <w:rPr>
          <w:rFonts w:eastAsia="Times New Roman" w:cs="Arial"/>
          <w:color w:val="000000"/>
          <w:lang w:eastAsia="en-CA"/>
        </w:rPr>
        <w:t xml:space="preserve"> </w:t>
      </w:r>
    </w:p>
    <w:p w:rsidR="00786F84" w:rsidRPr="003F5457" w:rsidRDefault="00BD346F" w:rsidP="00786F84">
      <w:pPr>
        <w:shd w:val="clear" w:color="auto" w:fill="FFFFFF"/>
        <w:spacing w:before="240" w:after="240" w:line="240" w:lineRule="auto"/>
        <w:rPr>
          <w:rFonts w:eastAsia="Times New Roman" w:cs="Arial"/>
          <w:color w:val="000000"/>
          <w:lang w:eastAsia="en-CA"/>
        </w:rPr>
      </w:pPr>
      <w:r w:rsidRPr="003F5457">
        <w:rPr>
          <w:rFonts w:eastAsia="Times New Roman" w:cs="Arial"/>
          <w:color w:val="000000"/>
          <w:lang w:eastAsia="en-CA"/>
        </w:rPr>
        <w:t>I</w:t>
      </w:r>
      <w:r w:rsidR="00786F84" w:rsidRPr="00786F84">
        <w:rPr>
          <w:rFonts w:eastAsia="Times New Roman" w:cs="Arial"/>
          <w:color w:val="000000"/>
          <w:lang w:eastAsia="en-CA"/>
        </w:rPr>
        <w:t xml:space="preserve">ts advantages compared with LMWH are that the anticoagulant effects can be promptly discontinued by stopping the intravenous infusion and it is completely and readily reversed by </w:t>
      </w:r>
      <w:r w:rsidR="00786F84" w:rsidRPr="00786F84">
        <w:rPr>
          <w:rFonts w:eastAsia="Times New Roman" w:cs="Arial"/>
          <w:b/>
          <w:color w:val="000000"/>
          <w:u w:val="single"/>
          <w:lang w:eastAsia="en-CA"/>
        </w:rPr>
        <w:t>protamine</w:t>
      </w:r>
      <w:r w:rsidR="00786F84" w:rsidRPr="00786F84">
        <w:rPr>
          <w:rFonts w:eastAsia="Times New Roman" w:cs="Arial"/>
          <w:color w:val="000000"/>
          <w:lang w:eastAsia="en-CA"/>
        </w:rPr>
        <w:t xml:space="preserve">. Also, in clinical doses it is not cleared by the kidneys; hence it is safer in renal failure. </w:t>
      </w:r>
    </w:p>
    <w:p w:rsidR="007D5401" w:rsidRPr="00786F84" w:rsidRDefault="007D5401" w:rsidP="00786F84">
      <w:pPr>
        <w:shd w:val="clear" w:color="auto" w:fill="FFFFFF"/>
        <w:spacing w:before="240" w:after="240" w:line="240" w:lineRule="auto"/>
        <w:rPr>
          <w:rFonts w:eastAsia="Times New Roman" w:cs="Times New Roman"/>
          <w:lang w:eastAsia="en-CA"/>
        </w:rPr>
      </w:pPr>
      <w:r w:rsidRPr="003F5457">
        <w:rPr>
          <w:rFonts w:cs="Arial"/>
          <w:i/>
          <w:iCs/>
          <w:color w:val="000000"/>
        </w:rPr>
        <w:t xml:space="preserve">Heparin </w:t>
      </w:r>
      <w:proofErr w:type="spellStart"/>
      <w:r w:rsidRPr="003F5457">
        <w:rPr>
          <w:rFonts w:cs="Arial"/>
          <w:i/>
          <w:iCs/>
          <w:color w:val="000000"/>
        </w:rPr>
        <w:t>overdosage</w:t>
      </w:r>
      <w:proofErr w:type="spellEnd"/>
      <w:r w:rsidRPr="003F5457">
        <w:rPr>
          <w:rFonts w:cs="Arial"/>
          <w:color w:val="000000"/>
        </w:rPr>
        <w:t xml:space="preserve"> is treated by stopping the drug and, if clinically required, giving protamine sulfate (checking first for salmon allergy) as a very slow infusion of a 1% solution, no more than 50 mg in any 10-minute period.</w:t>
      </w:r>
    </w:p>
    <w:p w:rsidR="00786F84" w:rsidRPr="003F5457" w:rsidRDefault="00786F84">
      <w:pPr>
        <w:rPr>
          <w:rFonts w:cs="Arial"/>
          <w:color w:val="000000"/>
        </w:rPr>
      </w:pPr>
    </w:p>
    <w:p w:rsidR="006A13A4" w:rsidRPr="003F5457" w:rsidRDefault="00E076D9">
      <w:pPr>
        <w:rPr>
          <w:rFonts w:cs="Arial"/>
          <w:b/>
          <w:color w:val="000000"/>
          <w:u w:val="single"/>
        </w:rPr>
      </w:pPr>
      <w:r w:rsidRPr="003F5457">
        <w:rPr>
          <w:rFonts w:cs="Arial"/>
          <w:b/>
          <w:color w:val="000000"/>
          <w:u w:val="single"/>
        </w:rPr>
        <w:lastRenderedPageBreak/>
        <w:t>HIT:</w:t>
      </w:r>
    </w:p>
    <w:p w:rsidR="002F74AA" w:rsidRPr="003F5457" w:rsidRDefault="002F74AA">
      <w:pPr>
        <w:rPr>
          <w:rFonts w:cs="Arial"/>
          <w:color w:val="000000"/>
        </w:rPr>
      </w:pPr>
      <w:r w:rsidRPr="003F5457">
        <w:rPr>
          <w:rFonts w:cs="Arial"/>
          <w:color w:val="000000"/>
        </w:rPr>
        <w:t xml:space="preserve">HIT and heparin-induced thrombocytopenia-thrombosis syndrome </w:t>
      </w:r>
      <w:bookmarkStart w:id="19" w:name="4-u1.0-B978-1-4557-3322-4..00018-1--p368"/>
      <w:bookmarkEnd w:id="19"/>
      <w:r w:rsidRPr="003F5457">
        <w:rPr>
          <w:rFonts w:cs="Arial"/>
          <w:color w:val="000000"/>
        </w:rPr>
        <w:t>(HITTS) occurs in approximately 3%-5% of patients during or after UFH treatment for 5 days or more. The incidence is much lower, less than 1% during and after LMWH therapy</w:t>
      </w:r>
      <w:r w:rsidR="0090529E" w:rsidRPr="003F5457">
        <w:rPr>
          <w:rFonts w:cs="Arial"/>
          <w:color w:val="000000"/>
        </w:rPr>
        <w:t>.</w:t>
      </w:r>
    </w:p>
    <w:p w:rsidR="0090529E" w:rsidRPr="003F5457" w:rsidRDefault="0090529E">
      <w:pPr>
        <w:rPr>
          <w:rFonts w:cs="Arial"/>
          <w:color w:val="000000"/>
        </w:rPr>
      </w:pPr>
      <w:r w:rsidRPr="003F5457">
        <w:rPr>
          <w:rFonts w:cs="Arial"/>
          <w:color w:val="000000"/>
        </w:rPr>
        <w:t xml:space="preserve">HIT is an immune-mediated potentially fatal syndrome in which the heparin-induced </w:t>
      </w:r>
      <w:proofErr w:type="spellStart"/>
      <w:r w:rsidRPr="003F5457">
        <w:rPr>
          <w:rFonts w:cs="Arial"/>
          <w:color w:val="000000"/>
        </w:rPr>
        <w:t>immunoglobulins</w:t>
      </w:r>
      <w:proofErr w:type="spellEnd"/>
      <w:r w:rsidRPr="003F5457">
        <w:rPr>
          <w:rFonts w:cs="Arial"/>
          <w:color w:val="000000"/>
        </w:rPr>
        <w:t xml:space="preserve"> bridge platelets causing both thrombocytopenia and thrombosis.</w:t>
      </w:r>
    </w:p>
    <w:p w:rsidR="007A7A44" w:rsidRPr="003F5457" w:rsidRDefault="007A7A44">
      <w:pPr>
        <w:rPr>
          <w:rFonts w:cs="Arial"/>
          <w:color w:val="000000"/>
        </w:rPr>
      </w:pPr>
      <w:r w:rsidRPr="003F5457">
        <w:rPr>
          <w:rFonts w:cs="Arial"/>
          <w:color w:val="000000"/>
        </w:rPr>
        <w:t xml:space="preserve">As the condition is </w:t>
      </w:r>
      <w:proofErr w:type="spellStart"/>
      <w:r w:rsidRPr="003F5457">
        <w:rPr>
          <w:rFonts w:cs="Arial"/>
          <w:color w:val="000000"/>
        </w:rPr>
        <w:t>prothrombotic</w:t>
      </w:r>
      <w:proofErr w:type="spellEnd"/>
      <w:r w:rsidRPr="003F5457">
        <w:rPr>
          <w:rFonts w:cs="Arial"/>
          <w:color w:val="000000"/>
        </w:rPr>
        <w:t xml:space="preserve">, these patients require alternative anticoagulation, and most patients are treated with direct thrombin inhibitors or </w:t>
      </w:r>
      <w:proofErr w:type="spellStart"/>
      <w:r w:rsidRPr="003F5457">
        <w:rPr>
          <w:rFonts w:cs="Arial"/>
          <w:color w:val="000000"/>
        </w:rPr>
        <w:t>heparinoid</w:t>
      </w:r>
      <w:proofErr w:type="spellEnd"/>
      <w:r w:rsidRPr="003F5457">
        <w:rPr>
          <w:rFonts w:cs="Arial"/>
          <w:color w:val="000000"/>
        </w:rPr>
        <w:t xml:space="preserve"> and later commenced on warfarin when the platelet count has recovered.</w:t>
      </w:r>
    </w:p>
    <w:p w:rsidR="00E076D9" w:rsidRPr="003F5457" w:rsidRDefault="00E076D9" w:rsidP="00E076D9">
      <w:pPr>
        <w:spacing w:before="240" w:after="240" w:line="240" w:lineRule="auto"/>
        <w:rPr>
          <w:rFonts w:eastAsia="Times New Roman" w:cs="Arial"/>
          <w:color w:val="000000"/>
          <w:lang w:eastAsia="en-CA"/>
        </w:rPr>
      </w:pPr>
      <w:bookmarkStart w:id="20" w:name="4-u1.0-B978-1-4557-3322-4-opie_up2013031"/>
      <w:bookmarkEnd w:id="20"/>
      <w:r w:rsidRPr="003F5457">
        <w:rPr>
          <w:rFonts w:eastAsia="Times New Roman" w:cs="Arial"/>
          <w:b/>
          <w:bCs/>
          <w:color w:val="003366"/>
          <w:lang w:eastAsia="en-CA"/>
        </w:rPr>
        <w:t>Summary</w:t>
      </w:r>
    </w:p>
    <w:p w:rsidR="00E076D9" w:rsidRPr="00E076D9" w:rsidRDefault="00E076D9" w:rsidP="00E076D9">
      <w:pPr>
        <w:spacing w:before="240" w:after="240" w:line="240" w:lineRule="auto"/>
        <w:rPr>
          <w:rFonts w:eastAsia="Times New Roman" w:cs="Times New Roman"/>
          <w:lang w:eastAsia="en-CA"/>
        </w:rPr>
      </w:pPr>
      <w:r w:rsidRPr="00E076D9">
        <w:rPr>
          <w:rFonts w:eastAsia="Times New Roman" w:cs="Arial"/>
          <w:b/>
          <w:bCs/>
          <w:color w:val="000000"/>
          <w:lang w:eastAsia="en-CA"/>
        </w:rPr>
        <w:t>Background:</w:t>
      </w:r>
      <w:r w:rsidRPr="00E076D9">
        <w:rPr>
          <w:rFonts w:eastAsia="Times New Roman" w:cs="Arial"/>
          <w:color w:val="000000"/>
          <w:lang w:eastAsia="en-CA"/>
        </w:rPr>
        <w:t xml:space="preserve"> Heparin induced thrombocytopenia (HIT) is the </w:t>
      </w:r>
      <w:proofErr w:type="spellStart"/>
      <w:r w:rsidRPr="00E076D9">
        <w:rPr>
          <w:rFonts w:eastAsia="Times New Roman" w:cs="Arial"/>
          <w:color w:val="000000"/>
          <w:lang w:eastAsia="en-CA"/>
        </w:rPr>
        <w:t>prothrombotic</w:t>
      </w:r>
      <w:proofErr w:type="spellEnd"/>
      <w:r w:rsidRPr="00E076D9">
        <w:rPr>
          <w:rFonts w:eastAsia="Times New Roman" w:cs="Arial"/>
          <w:color w:val="000000"/>
          <w:lang w:eastAsia="en-CA"/>
        </w:rPr>
        <w:t xml:space="preserve"> state occurring in patients treated with heparin or low molecular heparin, 5-10 days after therapy is started. </w:t>
      </w:r>
      <w:proofErr w:type="gramStart"/>
      <w:r w:rsidRPr="00E076D9">
        <w:rPr>
          <w:rFonts w:eastAsia="Times New Roman" w:cs="Arial"/>
          <w:color w:val="000000"/>
          <w:lang w:eastAsia="en-CA"/>
        </w:rPr>
        <w:t>Both under- and over-diagnosed.</w:t>
      </w:r>
      <w:proofErr w:type="gramEnd"/>
      <w:r w:rsidRPr="00E076D9">
        <w:rPr>
          <w:rFonts w:eastAsia="Times New Roman" w:cs="Arial"/>
          <w:color w:val="000000"/>
          <w:lang w:eastAsia="en-CA"/>
        </w:rPr>
        <w:t xml:space="preserve"> </w:t>
      </w:r>
    </w:p>
    <w:p w:rsidR="00E076D9" w:rsidRPr="00E076D9" w:rsidRDefault="00E076D9" w:rsidP="00E076D9">
      <w:pPr>
        <w:spacing w:before="240" w:after="240" w:line="240" w:lineRule="auto"/>
        <w:rPr>
          <w:rFonts w:eastAsia="Times New Roman" w:cs="Arial"/>
          <w:color w:val="000000"/>
          <w:lang w:eastAsia="en-CA"/>
        </w:rPr>
      </w:pPr>
      <w:r w:rsidRPr="00E076D9">
        <w:rPr>
          <w:rFonts w:eastAsia="Times New Roman" w:cs="Arial"/>
          <w:b/>
          <w:bCs/>
          <w:color w:val="000000"/>
          <w:lang w:eastAsia="en-CA"/>
        </w:rPr>
        <w:t>Clinical picture:</w:t>
      </w:r>
      <w:r w:rsidRPr="00E076D9">
        <w:rPr>
          <w:rFonts w:eastAsia="Times New Roman" w:cs="Arial"/>
          <w:color w:val="000000"/>
          <w:lang w:eastAsia="en-CA"/>
        </w:rPr>
        <w:t xml:space="preserve"> </w:t>
      </w:r>
      <w:proofErr w:type="spellStart"/>
      <w:r w:rsidRPr="00E076D9">
        <w:rPr>
          <w:rFonts w:eastAsia="Times New Roman" w:cs="Arial"/>
          <w:color w:val="000000"/>
          <w:lang w:eastAsia="en-CA"/>
        </w:rPr>
        <w:t>HITcan</w:t>
      </w:r>
      <w:proofErr w:type="spellEnd"/>
      <w:r w:rsidRPr="00E076D9">
        <w:rPr>
          <w:rFonts w:eastAsia="Times New Roman" w:cs="Arial"/>
          <w:color w:val="000000"/>
          <w:lang w:eastAsia="en-CA"/>
        </w:rPr>
        <w:t xml:space="preserve"> present with deep vein thrombosis, pulmonary embolism, acute coronary syndrome, stroke, peripheral arterial thrombosis, and delayed onset of heparin-induced thrombocytopenia</w:t>
      </w:r>
    </w:p>
    <w:p w:rsidR="00E076D9" w:rsidRPr="00E076D9" w:rsidRDefault="00E076D9" w:rsidP="00E076D9">
      <w:pPr>
        <w:spacing w:before="240" w:after="240" w:line="240" w:lineRule="auto"/>
        <w:rPr>
          <w:rFonts w:eastAsia="Times New Roman" w:cs="Arial"/>
          <w:color w:val="000000"/>
          <w:lang w:eastAsia="en-CA"/>
        </w:rPr>
      </w:pPr>
      <w:r w:rsidRPr="00E076D9">
        <w:rPr>
          <w:rFonts w:eastAsia="Times New Roman" w:cs="Arial"/>
          <w:b/>
          <w:bCs/>
          <w:color w:val="000000"/>
          <w:lang w:eastAsia="en-CA"/>
        </w:rPr>
        <w:t>Therapy:</w:t>
      </w:r>
      <w:r w:rsidRPr="00E076D9">
        <w:rPr>
          <w:rFonts w:eastAsia="Times New Roman" w:cs="Arial"/>
          <w:color w:val="000000"/>
          <w:lang w:eastAsia="en-CA"/>
        </w:rPr>
        <w:t xml:space="preserve"> Direct thrombin inhibitors and </w:t>
      </w:r>
      <w:proofErr w:type="spellStart"/>
      <w:r w:rsidRPr="00E076D9">
        <w:rPr>
          <w:rFonts w:eastAsia="Times New Roman" w:cs="Arial"/>
          <w:color w:val="000000"/>
          <w:lang w:eastAsia="en-CA"/>
        </w:rPr>
        <w:t>danaparoid</w:t>
      </w:r>
      <w:proofErr w:type="spellEnd"/>
      <w:r w:rsidRPr="00E076D9">
        <w:rPr>
          <w:rFonts w:eastAsia="Times New Roman" w:cs="Arial"/>
          <w:color w:val="000000"/>
          <w:lang w:eastAsia="en-CA"/>
        </w:rPr>
        <w:t xml:space="preserve"> have been evaluated in large prospective studies. </w:t>
      </w:r>
      <w:proofErr w:type="spellStart"/>
      <w:r w:rsidRPr="00E076D9">
        <w:rPr>
          <w:rFonts w:eastAsia="Times New Roman" w:cs="Arial"/>
          <w:color w:val="000000"/>
          <w:lang w:eastAsia="en-CA"/>
        </w:rPr>
        <w:t>Danaparoid</w:t>
      </w:r>
      <w:proofErr w:type="spellEnd"/>
      <w:r w:rsidRPr="00E076D9">
        <w:rPr>
          <w:rFonts w:eastAsia="Times New Roman" w:cs="Arial"/>
          <w:color w:val="000000"/>
          <w:lang w:eastAsia="en-CA"/>
        </w:rPr>
        <w:t xml:space="preserve"> is no longer available in USA but in Canada, Japan, Europe, and Australia. Cross-reaction with heparin is “usually of modest clinical significance.” Monitoring for anti-</w:t>
      </w:r>
      <w:proofErr w:type="spellStart"/>
      <w:r w:rsidRPr="00E076D9">
        <w:rPr>
          <w:rFonts w:eastAsia="Times New Roman" w:cs="Arial"/>
          <w:color w:val="000000"/>
          <w:lang w:eastAsia="en-CA"/>
        </w:rPr>
        <w:t>Xa</w:t>
      </w:r>
      <w:proofErr w:type="spellEnd"/>
      <w:r w:rsidRPr="00E076D9">
        <w:rPr>
          <w:rFonts w:eastAsia="Times New Roman" w:cs="Arial"/>
          <w:color w:val="000000"/>
          <w:lang w:eastAsia="en-CA"/>
        </w:rPr>
        <w:t xml:space="preserve"> activity is required for patients with weight outside range 55-90kg, and in acute renal failure”. This agent is given subcutaneously or intravenously.</w:t>
      </w:r>
    </w:p>
    <w:p w:rsidR="006A13A4" w:rsidRDefault="006A13A4">
      <w:pPr>
        <w:rPr>
          <w:rFonts w:ascii="Arial" w:hAnsi="Arial" w:cs="Arial"/>
          <w:b/>
          <w:color w:val="000000"/>
          <w:sz w:val="20"/>
          <w:szCs w:val="20"/>
          <w:u w:val="single"/>
        </w:rPr>
      </w:pPr>
    </w:p>
    <w:p w:rsidR="006A13A4" w:rsidRDefault="006A13A4">
      <w:pPr>
        <w:rPr>
          <w:rFonts w:ascii="Arial" w:hAnsi="Arial" w:cs="Arial"/>
          <w:b/>
          <w:color w:val="000000"/>
          <w:sz w:val="20"/>
          <w:szCs w:val="20"/>
          <w:u w:val="single"/>
        </w:rPr>
      </w:pPr>
    </w:p>
    <w:p w:rsidR="006A13A4" w:rsidRDefault="006A13A4">
      <w:pPr>
        <w:rPr>
          <w:rFonts w:ascii="Arial" w:hAnsi="Arial" w:cs="Arial"/>
          <w:b/>
          <w:color w:val="000000"/>
          <w:sz w:val="20"/>
          <w:szCs w:val="20"/>
          <w:u w:val="single"/>
        </w:rPr>
      </w:pPr>
    </w:p>
    <w:p w:rsidR="006A13A4" w:rsidRDefault="006A13A4">
      <w:pPr>
        <w:rPr>
          <w:rFonts w:ascii="Arial" w:hAnsi="Arial" w:cs="Arial"/>
          <w:b/>
          <w:color w:val="000000"/>
          <w:sz w:val="20"/>
          <w:szCs w:val="20"/>
          <w:u w:val="single"/>
        </w:rPr>
      </w:pPr>
    </w:p>
    <w:p w:rsidR="006A13A4" w:rsidRPr="006A13A4" w:rsidRDefault="006A13A4">
      <w:pPr>
        <w:rPr>
          <w:rFonts w:ascii="Arial" w:hAnsi="Arial" w:cs="Arial"/>
          <w:b/>
          <w:color w:val="000000"/>
          <w:sz w:val="20"/>
          <w:szCs w:val="20"/>
          <w:u w:val="single"/>
        </w:rPr>
      </w:pPr>
    </w:p>
    <w:p w:rsidR="00907A11" w:rsidRDefault="00907A11">
      <w:pPr>
        <w:rPr>
          <w:lang w:val="en-US"/>
        </w:rPr>
      </w:pPr>
      <w:r w:rsidRPr="000C1A52">
        <w:rPr>
          <w:b/>
          <w:lang w:val="en-US"/>
        </w:rPr>
        <w:t>Questions</w:t>
      </w:r>
      <w:r>
        <w:rPr>
          <w:lang w:val="en-US"/>
        </w:rPr>
        <w:t>:</w:t>
      </w:r>
    </w:p>
    <w:p w:rsidR="000C1A52" w:rsidRDefault="000C1A52" w:rsidP="000C1A52">
      <w:pPr>
        <w:pStyle w:val="ListParagraph"/>
        <w:numPr>
          <w:ilvl w:val="0"/>
          <w:numId w:val="2"/>
        </w:numPr>
        <w:rPr>
          <w:lang w:val="en-US"/>
        </w:rPr>
      </w:pPr>
      <w:r>
        <w:rPr>
          <w:lang w:val="en-US"/>
        </w:rPr>
        <w:t>With respect to antiplatelet therapy, how does aspirin work?</w:t>
      </w:r>
    </w:p>
    <w:p w:rsidR="009E572D" w:rsidRPr="009E572D" w:rsidRDefault="009E572D" w:rsidP="009E572D">
      <w:pPr>
        <w:rPr>
          <w:lang w:val="en-US"/>
        </w:rPr>
      </w:pPr>
    </w:p>
    <w:p w:rsidR="000C1A52" w:rsidRDefault="000C1A52" w:rsidP="000C1A52">
      <w:pPr>
        <w:pStyle w:val="ListParagraph"/>
        <w:numPr>
          <w:ilvl w:val="0"/>
          <w:numId w:val="2"/>
        </w:numPr>
        <w:rPr>
          <w:lang w:val="en-US"/>
        </w:rPr>
      </w:pPr>
      <w:r>
        <w:rPr>
          <w:lang w:val="en-US"/>
        </w:rPr>
        <w:t xml:space="preserve">Which receptor does </w:t>
      </w:r>
      <w:proofErr w:type="spellStart"/>
      <w:r>
        <w:rPr>
          <w:lang w:val="en-US"/>
        </w:rPr>
        <w:t>Clopidogrel</w:t>
      </w:r>
      <w:proofErr w:type="spellEnd"/>
      <w:r>
        <w:rPr>
          <w:lang w:val="en-US"/>
        </w:rPr>
        <w:t xml:space="preserve"> work on and what does it antagonize?</w:t>
      </w:r>
    </w:p>
    <w:p w:rsidR="009E572D" w:rsidRPr="009E572D" w:rsidRDefault="009E572D" w:rsidP="009E572D">
      <w:pPr>
        <w:pStyle w:val="ListParagraph"/>
        <w:rPr>
          <w:lang w:val="en-US"/>
        </w:rPr>
      </w:pPr>
    </w:p>
    <w:p w:rsidR="009E572D" w:rsidRDefault="009E572D" w:rsidP="009E572D">
      <w:pPr>
        <w:pStyle w:val="ListParagraph"/>
        <w:rPr>
          <w:lang w:val="en-US"/>
        </w:rPr>
      </w:pPr>
    </w:p>
    <w:p w:rsidR="00907A11" w:rsidRDefault="001D1074" w:rsidP="0077674C">
      <w:pPr>
        <w:pStyle w:val="ListParagraph"/>
        <w:numPr>
          <w:ilvl w:val="0"/>
          <w:numId w:val="2"/>
        </w:numPr>
        <w:rPr>
          <w:rFonts w:ascii="Arial" w:hAnsi="Arial" w:cs="Arial"/>
          <w:color w:val="000000"/>
          <w:sz w:val="20"/>
          <w:szCs w:val="20"/>
        </w:rPr>
      </w:pPr>
      <w:proofErr w:type="spellStart"/>
      <w:r w:rsidRPr="001D1074">
        <w:rPr>
          <w:rFonts w:ascii="Arial" w:hAnsi="Arial" w:cs="Arial"/>
          <w:color w:val="000000"/>
          <w:sz w:val="20"/>
          <w:szCs w:val="20"/>
        </w:rPr>
        <w:lastRenderedPageBreak/>
        <w:t>GpIIb</w:t>
      </w:r>
      <w:proofErr w:type="spellEnd"/>
      <w:r w:rsidRPr="001D1074">
        <w:rPr>
          <w:rFonts w:ascii="Arial" w:hAnsi="Arial" w:cs="Arial"/>
          <w:color w:val="000000"/>
          <w:sz w:val="20"/>
          <w:szCs w:val="20"/>
        </w:rPr>
        <w:t>/</w:t>
      </w:r>
      <w:proofErr w:type="spellStart"/>
      <w:r w:rsidRPr="001D1074">
        <w:rPr>
          <w:rFonts w:ascii="Arial" w:hAnsi="Arial" w:cs="Arial"/>
          <w:color w:val="000000"/>
          <w:sz w:val="20"/>
          <w:szCs w:val="20"/>
        </w:rPr>
        <w:t>IIIa</w:t>
      </w:r>
      <w:proofErr w:type="spellEnd"/>
      <w:r w:rsidRPr="001D1074">
        <w:rPr>
          <w:rFonts w:ascii="Arial" w:hAnsi="Arial" w:cs="Arial"/>
          <w:color w:val="000000"/>
          <w:sz w:val="20"/>
          <w:szCs w:val="20"/>
        </w:rPr>
        <w:t xml:space="preserve"> blockers inhibit one of the platelet integrin adhesion receptors known as the α</w:t>
      </w:r>
      <w:proofErr w:type="spellStart"/>
      <w:r w:rsidRPr="001D1074">
        <w:rPr>
          <w:rFonts w:ascii="Arial" w:hAnsi="Arial" w:cs="Arial"/>
          <w:color w:val="000000"/>
          <w:sz w:val="20"/>
          <w:szCs w:val="20"/>
        </w:rPr>
        <w:t>IIb</w:t>
      </w:r>
      <w:proofErr w:type="spellEnd"/>
      <w:r w:rsidR="009E572D">
        <w:rPr>
          <w:rFonts w:ascii="Arial" w:hAnsi="Arial" w:cs="Arial"/>
          <w:color w:val="000000"/>
          <w:sz w:val="20"/>
          <w:szCs w:val="20"/>
        </w:rPr>
        <w:t>β3 receptor. T or F?</w:t>
      </w:r>
    </w:p>
    <w:p w:rsidR="00264A71" w:rsidRDefault="00264A71" w:rsidP="00264A71">
      <w:pPr>
        <w:pStyle w:val="ListParagraph"/>
        <w:rPr>
          <w:rFonts w:ascii="Arial" w:hAnsi="Arial" w:cs="Arial"/>
          <w:color w:val="000000"/>
          <w:sz w:val="20"/>
          <w:szCs w:val="20"/>
        </w:rPr>
      </w:pPr>
    </w:p>
    <w:p w:rsidR="0077674C" w:rsidRDefault="0077674C" w:rsidP="0077674C">
      <w:pPr>
        <w:pStyle w:val="ListParagraph"/>
        <w:rPr>
          <w:rFonts w:ascii="Arial" w:hAnsi="Arial" w:cs="Arial"/>
          <w:color w:val="000000"/>
          <w:sz w:val="20"/>
          <w:szCs w:val="20"/>
        </w:rPr>
      </w:pPr>
    </w:p>
    <w:p w:rsidR="0077674C" w:rsidRDefault="0077674C" w:rsidP="0077674C">
      <w:pPr>
        <w:pStyle w:val="ListParagraph"/>
        <w:numPr>
          <w:ilvl w:val="0"/>
          <w:numId w:val="2"/>
        </w:numPr>
        <w:rPr>
          <w:rFonts w:ascii="Arial" w:hAnsi="Arial" w:cs="Arial"/>
          <w:color w:val="000000"/>
          <w:sz w:val="20"/>
          <w:szCs w:val="20"/>
        </w:rPr>
      </w:pPr>
      <w:r>
        <w:rPr>
          <w:rFonts w:ascii="Arial" w:hAnsi="Arial" w:cs="Arial"/>
          <w:color w:val="000000"/>
          <w:sz w:val="20"/>
          <w:szCs w:val="20"/>
        </w:rPr>
        <w:t>What is the mechanism of action of warfarin?</w:t>
      </w:r>
    </w:p>
    <w:p w:rsidR="007D5401" w:rsidRPr="007D5401" w:rsidRDefault="007D5401" w:rsidP="007D5401">
      <w:pPr>
        <w:pStyle w:val="ListParagraph"/>
        <w:rPr>
          <w:rFonts w:ascii="Arial" w:hAnsi="Arial" w:cs="Arial"/>
          <w:color w:val="000000"/>
          <w:sz w:val="20"/>
          <w:szCs w:val="20"/>
        </w:rPr>
      </w:pPr>
    </w:p>
    <w:p w:rsidR="007D5401" w:rsidRDefault="007D5401" w:rsidP="007D5401">
      <w:pPr>
        <w:pStyle w:val="ListParagraph"/>
        <w:rPr>
          <w:rFonts w:ascii="Arial" w:hAnsi="Arial" w:cs="Arial"/>
          <w:color w:val="000000"/>
          <w:sz w:val="20"/>
          <w:szCs w:val="20"/>
        </w:rPr>
      </w:pPr>
    </w:p>
    <w:p w:rsidR="007D5401" w:rsidRPr="007D5401" w:rsidRDefault="007D5401" w:rsidP="007D5401">
      <w:pPr>
        <w:pStyle w:val="ListParagraph"/>
        <w:rPr>
          <w:rFonts w:ascii="Arial" w:hAnsi="Arial" w:cs="Arial"/>
          <w:color w:val="000000"/>
          <w:sz w:val="20"/>
          <w:szCs w:val="20"/>
        </w:rPr>
      </w:pPr>
    </w:p>
    <w:p w:rsidR="007D5401" w:rsidRDefault="007D5401" w:rsidP="0077674C">
      <w:pPr>
        <w:pStyle w:val="ListParagraph"/>
        <w:numPr>
          <w:ilvl w:val="0"/>
          <w:numId w:val="2"/>
        </w:numPr>
        <w:rPr>
          <w:rFonts w:ascii="Arial" w:hAnsi="Arial" w:cs="Arial"/>
          <w:color w:val="000000"/>
          <w:sz w:val="20"/>
          <w:szCs w:val="20"/>
        </w:rPr>
      </w:pPr>
      <w:r>
        <w:rPr>
          <w:rFonts w:ascii="Arial" w:hAnsi="Arial" w:cs="Arial"/>
          <w:color w:val="000000"/>
          <w:sz w:val="20"/>
          <w:szCs w:val="20"/>
        </w:rPr>
        <w:t>How do you treat heparin overdose?</w:t>
      </w:r>
    </w:p>
    <w:p w:rsidR="0090529E" w:rsidRPr="0090529E" w:rsidRDefault="0090529E" w:rsidP="0090529E">
      <w:pPr>
        <w:rPr>
          <w:rFonts w:ascii="Arial" w:hAnsi="Arial" w:cs="Arial"/>
          <w:color w:val="000000"/>
          <w:sz w:val="20"/>
          <w:szCs w:val="20"/>
        </w:rPr>
      </w:pPr>
    </w:p>
    <w:p w:rsidR="009948CE" w:rsidRDefault="009948CE" w:rsidP="0077674C">
      <w:pPr>
        <w:pStyle w:val="ListParagraph"/>
        <w:numPr>
          <w:ilvl w:val="0"/>
          <w:numId w:val="2"/>
        </w:numPr>
        <w:rPr>
          <w:rFonts w:ascii="Arial" w:hAnsi="Arial" w:cs="Arial"/>
          <w:color w:val="000000"/>
          <w:sz w:val="20"/>
          <w:szCs w:val="20"/>
        </w:rPr>
      </w:pPr>
      <w:r>
        <w:rPr>
          <w:rFonts w:ascii="Arial" w:hAnsi="Arial" w:cs="Arial"/>
          <w:color w:val="000000"/>
          <w:sz w:val="20"/>
          <w:szCs w:val="20"/>
        </w:rPr>
        <w:t xml:space="preserve">Which of the following is </w:t>
      </w:r>
      <w:proofErr w:type="gramStart"/>
      <w:r>
        <w:rPr>
          <w:rFonts w:ascii="Arial" w:hAnsi="Arial" w:cs="Arial"/>
          <w:color w:val="000000"/>
          <w:sz w:val="20"/>
          <w:szCs w:val="20"/>
        </w:rPr>
        <w:t>True</w:t>
      </w:r>
      <w:proofErr w:type="gramEnd"/>
      <w:r>
        <w:rPr>
          <w:rFonts w:ascii="Arial" w:hAnsi="Arial" w:cs="Arial"/>
          <w:color w:val="000000"/>
          <w:sz w:val="20"/>
          <w:szCs w:val="20"/>
        </w:rPr>
        <w:t xml:space="preserve"> with respect to HIT?</w:t>
      </w:r>
    </w:p>
    <w:p w:rsidR="009948CE" w:rsidRPr="009948CE" w:rsidRDefault="009948CE" w:rsidP="009948CE">
      <w:pPr>
        <w:pStyle w:val="ListParagraph"/>
        <w:rPr>
          <w:rFonts w:ascii="Arial" w:hAnsi="Arial" w:cs="Arial"/>
          <w:color w:val="000000"/>
          <w:sz w:val="20"/>
          <w:szCs w:val="20"/>
        </w:rPr>
      </w:pPr>
    </w:p>
    <w:p w:rsidR="0090529E" w:rsidRPr="009948CE" w:rsidRDefault="0090529E" w:rsidP="009948CE">
      <w:pPr>
        <w:pStyle w:val="ListParagraph"/>
        <w:numPr>
          <w:ilvl w:val="0"/>
          <w:numId w:val="7"/>
        </w:numPr>
        <w:rPr>
          <w:rFonts w:ascii="Arial" w:hAnsi="Arial" w:cs="Arial"/>
          <w:color w:val="000000"/>
          <w:sz w:val="20"/>
          <w:szCs w:val="20"/>
        </w:rPr>
      </w:pPr>
      <w:r>
        <w:rPr>
          <w:rFonts w:ascii="Arial" w:hAnsi="Arial" w:cs="Arial"/>
          <w:color w:val="000000"/>
          <w:sz w:val="20"/>
          <w:szCs w:val="20"/>
        </w:rPr>
        <w:t xml:space="preserve">HIT is an immune-mediated potentially fatal syndrome in which the heparin-induced </w:t>
      </w:r>
      <w:proofErr w:type="spellStart"/>
      <w:r>
        <w:rPr>
          <w:rFonts w:ascii="Arial" w:hAnsi="Arial" w:cs="Arial"/>
          <w:color w:val="000000"/>
          <w:sz w:val="20"/>
          <w:szCs w:val="20"/>
        </w:rPr>
        <w:t>immunoglobulins</w:t>
      </w:r>
      <w:proofErr w:type="spellEnd"/>
      <w:r>
        <w:rPr>
          <w:rFonts w:ascii="Arial" w:hAnsi="Arial" w:cs="Arial"/>
          <w:color w:val="000000"/>
          <w:sz w:val="20"/>
          <w:szCs w:val="20"/>
        </w:rPr>
        <w:t xml:space="preserve"> bridge platelets causing both thrombocytopenia and thrombosis.</w:t>
      </w:r>
    </w:p>
    <w:p w:rsidR="009948CE" w:rsidRPr="009948CE" w:rsidRDefault="009948CE" w:rsidP="009948CE">
      <w:pPr>
        <w:pStyle w:val="ListParagraph"/>
        <w:numPr>
          <w:ilvl w:val="0"/>
          <w:numId w:val="7"/>
        </w:numPr>
        <w:rPr>
          <w:rFonts w:ascii="Arial" w:hAnsi="Arial" w:cs="Arial"/>
          <w:color w:val="000000"/>
          <w:sz w:val="20"/>
          <w:szCs w:val="20"/>
        </w:rPr>
      </w:pPr>
      <w:r w:rsidRPr="009948CE">
        <w:rPr>
          <w:rFonts w:ascii="Arial" w:hAnsi="Arial" w:cs="Arial"/>
          <w:color w:val="000000"/>
          <w:sz w:val="20"/>
          <w:szCs w:val="20"/>
        </w:rPr>
        <w:t>The incidence is much lower</w:t>
      </w:r>
      <w:r>
        <w:rPr>
          <w:rFonts w:ascii="Arial" w:hAnsi="Arial" w:cs="Arial"/>
          <w:color w:val="000000"/>
          <w:sz w:val="20"/>
          <w:szCs w:val="20"/>
        </w:rPr>
        <w:t xml:space="preserve"> with the use of </w:t>
      </w:r>
      <w:r w:rsidRPr="009948CE">
        <w:rPr>
          <w:rFonts w:ascii="Arial" w:hAnsi="Arial" w:cs="Arial"/>
          <w:color w:val="000000"/>
          <w:sz w:val="20"/>
          <w:szCs w:val="20"/>
        </w:rPr>
        <w:t>LMWH therapy</w:t>
      </w:r>
      <w:r>
        <w:rPr>
          <w:rFonts w:ascii="Arial" w:hAnsi="Arial" w:cs="Arial"/>
          <w:color w:val="000000"/>
          <w:sz w:val="20"/>
          <w:szCs w:val="20"/>
        </w:rPr>
        <w:t>, as opposed to UFH.</w:t>
      </w:r>
    </w:p>
    <w:p w:rsidR="009948CE" w:rsidRDefault="009948CE" w:rsidP="009948CE">
      <w:pPr>
        <w:pStyle w:val="ListParagraph"/>
        <w:numPr>
          <w:ilvl w:val="0"/>
          <w:numId w:val="7"/>
        </w:numPr>
        <w:rPr>
          <w:rFonts w:ascii="Arial" w:hAnsi="Arial" w:cs="Arial"/>
          <w:color w:val="000000"/>
          <w:sz w:val="20"/>
          <w:szCs w:val="20"/>
        </w:rPr>
      </w:pPr>
      <w:r>
        <w:rPr>
          <w:rFonts w:ascii="Arial" w:hAnsi="Arial" w:cs="Arial"/>
          <w:color w:val="000000"/>
          <w:sz w:val="20"/>
          <w:szCs w:val="20"/>
        </w:rPr>
        <w:t xml:space="preserve">As the condition is </w:t>
      </w:r>
      <w:proofErr w:type="spellStart"/>
      <w:r>
        <w:rPr>
          <w:rFonts w:ascii="Arial" w:hAnsi="Arial" w:cs="Arial"/>
          <w:color w:val="000000"/>
          <w:sz w:val="20"/>
          <w:szCs w:val="20"/>
        </w:rPr>
        <w:t>prothrombotic</w:t>
      </w:r>
      <w:proofErr w:type="spellEnd"/>
      <w:r>
        <w:rPr>
          <w:rFonts w:ascii="Arial" w:hAnsi="Arial" w:cs="Arial"/>
          <w:color w:val="000000"/>
          <w:sz w:val="20"/>
          <w:szCs w:val="20"/>
        </w:rPr>
        <w:t>, these patients require alternative anticoagulation</w:t>
      </w:r>
      <w:r>
        <w:rPr>
          <w:rFonts w:ascii="Arial" w:hAnsi="Arial" w:cs="Arial"/>
          <w:color w:val="000000"/>
          <w:sz w:val="20"/>
          <w:szCs w:val="20"/>
        </w:rPr>
        <w:t>.</w:t>
      </w:r>
    </w:p>
    <w:p w:rsidR="009948CE" w:rsidRDefault="009948CE" w:rsidP="009948CE">
      <w:pPr>
        <w:pStyle w:val="ListParagraph"/>
        <w:numPr>
          <w:ilvl w:val="0"/>
          <w:numId w:val="7"/>
        </w:numPr>
        <w:rPr>
          <w:rFonts w:ascii="Arial" w:hAnsi="Arial" w:cs="Arial"/>
          <w:color w:val="000000"/>
          <w:sz w:val="20"/>
          <w:szCs w:val="20"/>
        </w:rPr>
      </w:pPr>
      <w:r>
        <w:rPr>
          <w:rFonts w:ascii="Arial" w:hAnsi="Arial" w:cs="Arial"/>
          <w:color w:val="000000"/>
          <w:sz w:val="20"/>
          <w:szCs w:val="20"/>
        </w:rPr>
        <w:t>All of the above</w:t>
      </w:r>
    </w:p>
    <w:p w:rsidR="009948CE" w:rsidRPr="0077674C" w:rsidRDefault="009948CE" w:rsidP="009948CE">
      <w:pPr>
        <w:pStyle w:val="ListParagraph"/>
        <w:numPr>
          <w:ilvl w:val="0"/>
          <w:numId w:val="7"/>
        </w:numPr>
        <w:rPr>
          <w:rFonts w:ascii="Arial" w:hAnsi="Arial" w:cs="Arial"/>
          <w:color w:val="000000"/>
          <w:sz w:val="20"/>
          <w:szCs w:val="20"/>
        </w:rPr>
      </w:pPr>
      <w:r>
        <w:rPr>
          <w:rFonts w:ascii="Arial" w:hAnsi="Arial" w:cs="Arial"/>
          <w:color w:val="000000"/>
          <w:sz w:val="20"/>
          <w:szCs w:val="20"/>
        </w:rPr>
        <w:t>None of the above</w:t>
      </w:r>
    </w:p>
    <w:sectPr w:rsidR="009948CE" w:rsidRPr="0077674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34C5B"/>
    <w:multiLevelType w:val="hybridMultilevel"/>
    <w:tmpl w:val="99F4C118"/>
    <w:lvl w:ilvl="0" w:tplc="07F6BDD2">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151B4FC2"/>
    <w:multiLevelType w:val="hybridMultilevel"/>
    <w:tmpl w:val="333254C8"/>
    <w:lvl w:ilvl="0" w:tplc="07F6BDD2">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1D6F5282"/>
    <w:multiLevelType w:val="hybridMultilevel"/>
    <w:tmpl w:val="5FC09DA2"/>
    <w:lvl w:ilvl="0" w:tplc="07F6BDD2">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2AAA086B"/>
    <w:multiLevelType w:val="hybridMultilevel"/>
    <w:tmpl w:val="7D9C4BD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3D826BE1"/>
    <w:multiLevelType w:val="hybridMultilevel"/>
    <w:tmpl w:val="E3442676"/>
    <w:lvl w:ilvl="0" w:tplc="62CC8438">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nsid w:val="4E5149E1"/>
    <w:multiLevelType w:val="hybridMultilevel"/>
    <w:tmpl w:val="EB60794A"/>
    <w:lvl w:ilvl="0" w:tplc="07F6BDD2">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5C1B376B"/>
    <w:multiLevelType w:val="hybridMultilevel"/>
    <w:tmpl w:val="A694E500"/>
    <w:lvl w:ilvl="0" w:tplc="07F6BDD2">
      <w:start w:val="1"/>
      <w:numFmt w:val="bullet"/>
      <w:lvlText w:val="-"/>
      <w:lvlJc w:val="left"/>
      <w:pPr>
        <w:ind w:left="720" w:hanging="360"/>
      </w:pPr>
      <w:rPr>
        <w:rFonts w:ascii="Calibri" w:eastAsiaTheme="minorHAnsi" w:hAnsi="Calibri"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A11"/>
    <w:rsid w:val="00001ECB"/>
    <w:rsid w:val="00006D62"/>
    <w:rsid w:val="000139DE"/>
    <w:rsid w:val="000141B7"/>
    <w:rsid w:val="000157F2"/>
    <w:rsid w:val="00016D61"/>
    <w:rsid w:val="00020487"/>
    <w:rsid w:val="00025056"/>
    <w:rsid w:val="00025D9C"/>
    <w:rsid w:val="00041558"/>
    <w:rsid w:val="000533C4"/>
    <w:rsid w:val="00056924"/>
    <w:rsid w:val="00056C38"/>
    <w:rsid w:val="000660FB"/>
    <w:rsid w:val="00067862"/>
    <w:rsid w:val="00072CD3"/>
    <w:rsid w:val="0008448D"/>
    <w:rsid w:val="00095C9E"/>
    <w:rsid w:val="000A4BEC"/>
    <w:rsid w:val="000B4434"/>
    <w:rsid w:val="000C1A52"/>
    <w:rsid w:val="000D60B3"/>
    <w:rsid w:val="000E14AA"/>
    <w:rsid w:val="000E1B9C"/>
    <w:rsid w:val="000E647B"/>
    <w:rsid w:val="000E6968"/>
    <w:rsid w:val="000F427C"/>
    <w:rsid w:val="00107D02"/>
    <w:rsid w:val="00122D6B"/>
    <w:rsid w:val="0013370E"/>
    <w:rsid w:val="001367F2"/>
    <w:rsid w:val="0015216A"/>
    <w:rsid w:val="00155720"/>
    <w:rsid w:val="00171DB3"/>
    <w:rsid w:val="0017788C"/>
    <w:rsid w:val="00182637"/>
    <w:rsid w:val="00191201"/>
    <w:rsid w:val="00192413"/>
    <w:rsid w:val="00197DA7"/>
    <w:rsid w:val="001A0A62"/>
    <w:rsid w:val="001A2AFF"/>
    <w:rsid w:val="001B7612"/>
    <w:rsid w:val="001C3071"/>
    <w:rsid w:val="001D1074"/>
    <w:rsid w:val="001D27BB"/>
    <w:rsid w:val="001D5337"/>
    <w:rsid w:val="001D7F4B"/>
    <w:rsid w:val="00200E96"/>
    <w:rsid w:val="00203828"/>
    <w:rsid w:val="00232E52"/>
    <w:rsid w:val="002458FE"/>
    <w:rsid w:val="0025011B"/>
    <w:rsid w:val="00253F51"/>
    <w:rsid w:val="00264A71"/>
    <w:rsid w:val="00294D89"/>
    <w:rsid w:val="002B66FA"/>
    <w:rsid w:val="002E09AF"/>
    <w:rsid w:val="002E58AD"/>
    <w:rsid w:val="002F232B"/>
    <w:rsid w:val="002F47B2"/>
    <w:rsid w:val="002F6B50"/>
    <w:rsid w:val="002F74AA"/>
    <w:rsid w:val="002F752C"/>
    <w:rsid w:val="00300366"/>
    <w:rsid w:val="00307FCB"/>
    <w:rsid w:val="003159B5"/>
    <w:rsid w:val="0033628B"/>
    <w:rsid w:val="00345D2C"/>
    <w:rsid w:val="00362776"/>
    <w:rsid w:val="003676DF"/>
    <w:rsid w:val="003848FD"/>
    <w:rsid w:val="003A2C50"/>
    <w:rsid w:val="003A300F"/>
    <w:rsid w:val="003A50B6"/>
    <w:rsid w:val="003A50D3"/>
    <w:rsid w:val="003B109D"/>
    <w:rsid w:val="003B2B27"/>
    <w:rsid w:val="003B6101"/>
    <w:rsid w:val="003C1A66"/>
    <w:rsid w:val="003D6EDA"/>
    <w:rsid w:val="003F5457"/>
    <w:rsid w:val="004009E9"/>
    <w:rsid w:val="00411D6D"/>
    <w:rsid w:val="0042043C"/>
    <w:rsid w:val="00422DC3"/>
    <w:rsid w:val="00423150"/>
    <w:rsid w:val="00425273"/>
    <w:rsid w:val="00446902"/>
    <w:rsid w:val="00452D06"/>
    <w:rsid w:val="00454ADF"/>
    <w:rsid w:val="0047694B"/>
    <w:rsid w:val="004769B5"/>
    <w:rsid w:val="00481F5C"/>
    <w:rsid w:val="004916C7"/>
    <w:rsid w:val="00493A16"/>
    <w:rsid w:val="004B79D6"/>
    <w:rsid w:val="004C01DC"/>
    <w:rsid w:val="004C71B8"/>
    <w:rsid w:val="004D19D7"/>
    <w:rsid w:val="004E14C1"/>
    <w:rsid w:val="004E1993"/>
    <w:rsid w:val="004E48DA"/>
    <w:rsid w:val="00514577"/>
    <w:rsid w:val="0054200E"/>
    <w:rsid w:val="005432B7"/>
    <w:rsid w:val="005515DF"/>
    <w:rsid w:val="00554B0E"/>
    <w:rsid w:val="005800FC"/>
    <w:rsid w:val="00580864"/>
    <w:rsid w:val="00584DE5"/>
    <w:rsid w:val="005905C7"/>
    <w:rsid w:val="005C0164"/>
    <w:rsid w:val="005E6FB3"/>
    <w:rsid w:val="00602532"/>
    <w:rsid w:val="0061615F"/>
    <w:rsid w:val="00624310"/>
    <w:rsid w:val="0062630F"/>
    <w:rsid w:val="0064527D"/>
    <w:rsid w:val="00654B08"/>
    <w:rsid w:val="00657727"/>
    <w:rsid w:val="00672385"/>
    <w:rsid w:val="006751D9"/>
    <w:rsid w:val="006752D4"/>
    <w:rsid w:val="00694CD4"/>
    <w:rsid w:val="00696B67"/>
    <w:rsid w:val="006A13A4"/>
    <w:rsid w:val="006A3314"/>
    <w:rsid w:val="006A5E79"/>
    <w:rsid w:val="006B14E6"/>
    <w:rsid w:val="006B55AD"/>
    <w:rsid w:val="006F0313"/>
    <w:rsid w:val="00700FC0"/>
    <w:rsid w:val="007015A8"/>
    <w:rsid w:val="00734E7C"/>
    <w:rsid w:val="007450E9"/>
    <w:rsid w:val="0075627B"/>
    <w:rsid w:val="0076249F"/>
    <w:rsid w:val="00764CD4"/>
    <w:rsid w:val="00771E64"/>
    <w:rsid w:val="007733E3"/>
    <w:rsid w:val="00774D73"/>
    <w:rsid w:val="0077674C"/>
    <w:rsid w:val="00786F84"/>
    <w:rsid w:val="007A4228"/>
    <w:rsid w:val="007A69C8"/>
    <w:rsid w:val="007A6F8D"/>
    <w:rsid w:val="007A751E"/>
    <w:rsid w:val="007A7A44"/>
    <w:rsid w:val="007C4BB0"/>
    <w:rsid w:val="007D0410"/>
    <w:rsid w:val="007D5401"/>
    <w:rsid w:val="007F2B42"/>
    <w:rsid w:val="007F343F"/>
    <w:rsid w:val="007F4E6E"/>
    <w:rsid w:val="00804AC6"/>
    <w:rsid w:val="00820C1B"/>
    <w:rsid w:val="008350D7"/>
    <w:rsid w:val="00835CE6"/>
    <w:rsid w:val="0084502D"/>
    <w:rsid w:val="00851CF5"/>
    <w:rsid w:val="00854DEE"/>
    <w:rsid w:val="008776BC"/>
    <w:rsid w:val="008B508A"/>
    <w:rsid w:val="008C7B47"/>
    <w:rsid w:val="008D7EE3"/>
    <w:rsid w:val="008E0ED0"/>
    <w:rsid w:val="008E120A"/>
    <w:rsid w:val="008E4621"/>
    <w:rsid w:val="00900F3D"/>
    <w:rsid w:val="009020A8"/>
    <w:rsid w:val="0090529E"/>
    <w:rsid w:val="00907A11"/>
    <w:rsid w:val="00911F36"/>
    <w:rsid w:val="00917D5A"/>
    <w:rsid w:val="009238E9"/>
    <w:rsid w:val="009254E8"/>
    <w:rsid w:val="00945C51"/>
    <w:rsid w:val="00985BE6"/>
    <w:rsid w:val="009948CE"/>
    <w:rsid w:val="009969E6"/>
    <w:rsid w:val="009A1282"/>
    <w:rsid w:val="009D0DC2"/>
    <w:rsid w:val="009E572D"/>
    <w:rsid w:val="009F722D"/>
    <w:rsid w:val="009F7ACB"/>
    <w:rsid w:val="00A055FC"/>
    <w:rsid w:val="00A4054D"/>
    <w:rsid w:val="00A41A92"/>
    <w:rsid w:val="00A7460C"/>
    <w:rsid w:val="00AA4464"/>
    <w:rsid w:val="00AB42C1"/>
    <w:rsid w:val="00AC0467"/>
    <w:rsid w:val="00AC1A78"/>
    <w:rsid w:val="00AF0919"/>
    <w:rsid w:val="00B06759"/>
    <w:rsid w:val="00B17045"/>
    <w:rsid w:val="00B2028B"/>
    <w:rsid w:val="00B27E01"/>
    <w:rsid w:val="00B34415"/>
    <w:rsid w:val="00B51270"/>
    <w:rsid w:val="00B51C69"/>
    <w:rsid w:val="00B5662C"/>
    <w:rsid w:val="00B7731A"/>
    <w:rsid w:val="00B90605"/>
    <w:rsid w:val="00B9419F"/>
    <w:rsid w:val="00BA3542"/>
    <w:rsid w:val="00BD346F"/>
    <w:rsid w:val="00BD3A70"/>
    <w:rsid w:val="00C035AB"/>
    <w:rsid w:val="00C104C0"/>
    <w:rsid w:val="00C1073E"/>
    <w:rsid w:val="00C11CC4"/>
    <w:rsid w:val="00C16524"/>
    <w:rsid w:val="00C4522B"/>
    <w:rsid w:val="00C45B2A"/>
    <w:rsid w:val="00C5419B"/>
    <w:rsid w:val="00C55CC6"/>
    <w:rsid w:val="00C629A7"/>
    <w:rsid w:val="00C76ABE"/>
    <w:rsid w:val="00C87201"/>
    <w:rsid w:val="00C91191"/>
    <w:rsid w:val="00CA3B81"/>
    <w:rsid w:val="00CA6020"/>
    <w:rsid w:val="00CB4FCC"/>
    <w:rsid w:val="00D04B05"/>
    <w:rsid w:val="00D3567D"/>
    <w:rsid w:val="00D37A67"/>
    <w:rsid w:val="00D41939"/>
    <w:rsid w:val="00D517E9"/>
    <w:rsid w:val="00D53F55"/>
    <w:rsid w:val="00D5759B"/>
    <w:rsid w:val="00D654D3"/>
    <w:rsid w:val="00D842A2"/>
    <w:rsid w:val="00D90CE1"/>
    <w:rsid w:val="00D94EF4"/>
    <w:rsid w:val="00DA404E"/>
    <w:rsid w:val="00DA4520"/>
    <w:rsid w:val="00DA6652"/>
    <w:rsid w:val="00DB0D00"/>
    <w:rsid w:val="00DC3293"/>
    <w:rsid w:val="00DC64FC"/>
    <w:rsid w:val="00DD3428"/>
    <w:rsid w:val="00DD5EFA"/>
    <w:rsid w:val="00DD6197"/>
    <w:rsid w:val="00DD7344"/>
    <w:rsid w:val="00DF7142"/>
    <w:rsid w:val="00DF792C"/>
    <w:rsid w:val="00E076D9"/>
    <w:rsid w:val="00E11D82"/>
    <w:rsid w:val="00E16B90"/>
    <w:rsid w:val="00E20B98"/>
    <w:rsid w:val="00E2600B"/>
    <w:rsid w:val="00E419B3"/>
    <w:rsid w:val="00E5068D"/>
    <w:rsid w:val="00E53DB8"/>
    <w:rsid w:val="00E5754B"/>
    <w:rsid w:val="00E66E11"/>
    <w:rsid w:val="00E734A2"/>
    <w:rsid w:val="00E76803"/>
    <w:rsid w:val="00E87825"/>
    <w:rsid w:val="00E8789D"/>
    <w:rsid w:val="00E910C0"/>
    <w:rsid w:val="00E92CC4"/>
    <w:rsid w:val="00E979FC"/>
    <w:rsid w:val="00EC23EA"/>
    <w:rsid w:val="00EC7A17"/>
    <w:rsid w:val="00EE522E"/>
    <w:rsid w:val="00EE53EC"/>
    <w:rsid w:val="00F0794E"/>
    <w:rsid w:val="00F152CE"/>
    <w:rsid w:val="00F15441"/>
    <w:rsid w:val="00F17145"/>
    <w:rsid w:val="00F2057D"/>
    <w:rsid w:val="00F252F7"/>
    <w:rsid w:val="00F2737D"/>
    <w:rsid w:val="00F44B7C"/>
    <w:rsid w:val="00F450FE"/>
    <w:rsid w:val="00F5427A"/>
    <w:rsid w:val="00F6023B"/>
    <w:rsid w:val="00F61E5F"/>
    <w:rsid w:val="00F6343D"/>
    <w:rsid w:val="00F71863"/>
    <w:rsid w:val="00F82C77"/>
    <w:rsid w:val="00F82D32"/>
    <w:rsid w:val="00F86888"/>
    <w:rsid w:val="00FA5DC4"/>
    <w:rsid w:val="00FA6B00"/>
    <w:rsid w:val="00FB7374"/>
    <w:rsid w:val="00FC7840"/>
    <w:rsid w:val="00FD643B"/>
    <w:rsid w:val="00FD6BDC"/>
    <w:rsid w:val="00FE7F0D"/>
    <w:rsid w:val="00FF727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A11"/>
    <w:pPr>
      <w:ind w:left="720"/>
      <w:contextualSpacing/>
    </w:pPr>
  </w:style>
  <w:style w:type="character" w:customStyle="1" w:styleId="section-title-11">
    <w:name w:val="section-title-11"/>
    <w:basedOn w:val="DefaultParagraphFont"/>
    <w:rsid w:val="003B2B27"/>
    <w:rPr>
      <w:b/>
      <w:bCs/>
      <w:color w:val="003366"/>
      <w:sz w:val="24"/>
      <w:szCs w:val="24"/>
    </w:rPr>
  </w:style>
  <w:style w:type="character" w:styleId="Hyperlink">
    <w:name w:val="Hyperlink"/>
    <w:basedOn w:val="DefaultParagraphFont"/>
    <w:uiPriority w:val="99"/>
    <w:semiHidden/>
    <w:unhideWhenUsed/>
    <w:rsid w:val="003B2B27"/>
    <w:rPr>
      <w:strike w:val="0"/>
      <w:dstrike w:val="0"/>
      <w:color w:val="0560A6"/>
      <w:u w:val="none"/>
      <w:effect w:val="none"/>
    </w:rPr>
  </w:style>
  <w:style w:type="character" w:customStyle="1" w:styleId="text2">
    <w:name w:val="text2"/>
    <w:basedOn w:val="DefaultParagraphFont"/>
    <w:rsid w:val="00CA3B81"/>
    <w:rPr>
      <w:rFonts w:ascii="Arial" w:hAnsi="Arial" w:cs="Arial" w:hint="default"/>
      <w:color w:val="000000"/>
      <w:sz w:val="24"/>
      <w:szCs w:val="24"/>
    </w:rPr>
  </w:style>
  <w:style w:type="character" w:customStyle="1" w:styleId="table-caption">
    <w:name w:val="table-caption"/>
    <w:basedOn w:val="DefaultParagraphFont"/>
    <w:rsid w:val="00CA3B81"/>
  </w:style>
  <w:style w:type="character" w:customStyle="1" w:styleId="util">
    <w:name w:val="util"/>
    <w:basedOn w:val="DefaultParagraphFont"/>
    <w:rsid w:val="00CA3B81"/>
  </w:style>
  <w:style w:type="character" w:customStyle="1" w:styleId="section-title-41">
    <w:name w:val="section-title-41"/>
    <w:basedOn w:val="DefaultParagraphFont"/>
    <w:rsid w:val="00786F84"/>
    <w:rPr>
      <w:b w:val="0"/>
      <w:bCs w:val="0"/>
      <w:i/>
      <w:iCs/>
      <w:color w:val="0066CC"/>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7A11"/>
    <w:pPr>
      <w:ind w:left="720"/>
      <w:contextualSpacing/>
    </w:pPr>
  </w:style>
  <w:style w:type="character" w:customStyle="1" w:styleId="section-title-11">
    <w:name w:val="section-title-11"/>
    <w:basedOn w:val="DefaultParagraphFont"/>
    <w:rsid w:val="003B2B27"/>
    <w:rPr>
      <w:b/>
      <w:bCs/>
      <w:color w:val="003366"/>
      <w:sz w:val="24"/>
      <w:szCs w:val="24"/>
    </w:rPr>
  </w:style>
  <w:style w:type="character" w:styleId="Hyperlink">
    <w:name w:val="Hyperlink"/>
    <w:basedOn w:val="DefaultParagraphFont"/>
    <w:uiPriority w:val="99"/>
    <w:semiHidden/>
    <w:unhideWhenUsed/>
    <w:rsid w:val="003B2B27"/>
    <w:rPr>
      <w:strike w:val="0"/>
      <w:dstrike w:val="0"/>
      <w:color w:val="0560A6"/>
      <w:u w:val="none"/>
      <w:effect w:val="none"/>
    </w:rPr>
  </w:style>
  <w:style w:type="character" w:customStyle="1" w:styleId="text2">
    <w:name w:val="text2"/>
    <w:basedOn w:val="DefaultParagraphFont"/>
    <w:rsid w:val="00CA3B81"/>
    <w:rPr>
      <w:rFonts w:ascii="Arial" w:hAnsi="Arial" w:cs="Arial" w:hint="default"/>
      <w:color w:val="000000"/>
      <w:sz w:val="24"/>
      <w:szCs w:val="24"/>
    </w:rPr>
  </w:style>
  <w:style w:type="character" w:customStyle="1" w:styleId="table-caption">
    <w:name w:val="table-caption"/>
    <w:basedOn w:val="DefaultParagraphFont"/>
    <w:rsid w:val="00CA3B81"/>
  </w:style>
  <w:style w:type="character" w:customStyle="1" w:styleId="util">
    <w:name w:val="util"/>
    <w:basedOn w:val="DefaultParagraphFont"/>
    <w:rsid w:val="00CA3B81"/>
  </w:style>
  <w:style w:type="character" w:customStyle="1" w:styleId="section-title-41">
    <w:name w:val="section-title-41"/>
    <w:basedOn w:val="DefaultParagraphFont"/>
    <w:rsid w:val="00786F84"/>
    <w:rPr>
      <w:b w:val="0"/>
      <w:bCs w:val="0"/>
      <w:i/>
      <w:iCs/>
      <w:color w:val="0066CC"/>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1585">
      <w:bodyDiv w:val="1"/>
      <w:marLeft w:val="0"/>
      <w:marRight w:val="0"/>
      <w:marTop w:val="0"/>
      <w:marBottom w:val="0"/>
      <w:divBdr>
        <w:top w:val="none" w:sz="0" w:space="0" w:color="auto"/>
        <w:left w:val="none" w:sz="0" w:space="0" w:color="auto"/>
        <w:bottom w:val="none" w:sz="0" w:space="0" w:color="auto"/>
        <w:right w:val="none" w:sz="0" w:space="0" w:color="auto"/>
      </w:divBdr>
      <w:divsChild>
        <w:div w:id="1479883093">
          <w:marLeft w:val="0"/>
          <w:marRight w:val="0"/>
          <w:marTop w:val="0"/>
          <w:marBottom w:val="0"/>
          <w:divBdr>
            <w:top w:val="none" w:sz="0" w:space="0" w:color="auto"/>
            <w:left w:val="none" w:sz="0" w:space="0" w:color="auto"/>
            <w:bottom w:val="none" w:sz="0" w:space="0" w:color="auto"/>
            <w:right w:val="none" w:sz="0" w:space="0" w:color="auto"/>
          </w:divBdr>
          <w:divsChild>
            <w:div w:id="188682500">
              <w:marLeft w:val="0"/>
              <w:marRight w:val="0"/>
              <w:marTop w:val="0"/>
              <w:marBottom w:val="0"/>
              <w:divBdr>
                <w:top w:val="none" w:sz="0" w:space="0" w:color="auto"/>
                <w:left w:val="single" w:sz="6" w:space="14" w:color="999999"/>
                <w:bottom w:val="none" w:sz="0" w:space="0" w:color="auto"/>
                <w:right w:val="none" w:sz="0" w:space="0" w:color="auto"/>
              </w:divBdr>
              <w:divsChild>
                <w:div w:id="476534920">
                  <w:marLeft w:val="0"/>
                  <w:marRight w:val="0"/>
                  <w:marTop w:val="0"/>
                  <w:marBottom w:val="0"/>
                  <w:divBdr>
                    <w:top w:val="none" w:sz="0" w:space="0" w:color="auto"/>
                    <w:left w:val="none" w:sz="0" w:space="0" w:color="auto"/>
                    <w:bottom w:val="none" w:sz="0" w:space="0" w:color="auto"/>
                    <w:right w:val="none" w:sz="0" w:space="0" w:color="auto"/>
                  </w:divBdr>
                  <w:divsChild>
                    <w:div w:id="203306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58265">
      <w:bodyDiv w:val="1"/>
      <w:marLeft w:val="0"/>
      <w:marRight w:val="0"/>
      <w:marTop w:val="0"/>
      <w:marBottom w:val="0"/>
      <w:divBdr>
        <w:top w:val="none" w:sz="0" w:space="0" w:color="auto"/>
        <w:left w:val="none" w:sz="0" w:space="0" w:color="auto"/>
        <w:bottom w:val="none" w:sz="0" w:space="0" w:color="auto"/>
        <w:right w:val="none" w:sz="0" w:space="0" w:color="auto"/>
      </w:divBdr>
      <w:divsChild>
        <w:div w:id="1958288323">
          <w:marLeft w:val="0"/>
          <w:marRight w:val="0"/>
          <w:marTop w:val="0"/>
          <w:marBottom w:val="0"/>
          <w:divBdr>
            <w:top w:val="none" w:sz="0" w:space="0" w:color="auto"/>
            <w:left w:val="none" w:sz="0" w:space="0" w:color="auto"/>
            <w:bottom w:val="none" w:sz="0" w:space="0" w:color="auto"/>
            <w:right w:val="none" w:sz="0" w:space="0" w:color="auto"/>
          </w:divBdr>
          <w:divsChild>
            <w:div w:id="1541212230">
              <w:marLeft w:val="0"/>
              <w:marRight w:val="0"/>
              <w:marTop w:val="0"/>
              <w:marBottom w:val="0"/>
              <w:divBdr>
                <w:top w:val="none" w:sz="0" w:space="0" w:color="auto"/>
                <w:left w:val="single" w:sz="6" w:space="14" w:color="999999"/>
                <w:bottom w:val="none" w:sz="0" w:space="0" w:color="auto"/>
                <w:right w:val="none" w:sz="0" w:space="0" w:color="auto"/>
              </w:divBdr>
              <w:divsChild>
                <w:div w:id="1340159402">
                  <w:marLeft w:val="0"/>
                  <w:marRight w:val="0"/>
                  <w:marTop w:val="0"/>
                  <w:marBottom w:val="0"/>
                  <w:divBdr>
                    <w:top w:val="none" w:sz="0" w:space="0" w:color="auto"/>
                    <w:left w:val="none" w:sz="0" w:space="0" w:color="auto"/>
                    <w:bottom w:val="none" w:sz="0" w:space="0" w:color="auto"/>
                    <w:right w:val="none" w:sz="0" w:space="0" w:color="auto"/>
                  </w:divBdr>
                  <w:divsChild>
                    <w:div w:id="205873264">
                      <w:marLeft w:val="0"/>
                      <w:marRight w:val="0"/>
                      <w:marTop w:val="0"/>
                      <w:marBottom w:val="0"/>
                      <w:divBdr>
                        <w:top w:val="none" w:sz="0" w:space="0" w:color="auto"/>
                        <w:left w:val="none" w:sz="0" w:space="0" w:color="auto"/>
                        <w:bottom w:val="none" w:sz="0" w:space="0" w:color="auto"/>
                        <w:right w:val="none" w:sz="0" w:space="0" w:color="auto"/>
                      </w:divBdr>
                    </w:div>
                    <w:div w:id="1136993788">
                      <w:marLeft w:val="0"/>
                      <w:marRight w:val="0"/>
                      <w:marTop w:val="0"/>
                      <w:marBottom w:val="0"/>
                      <w:divBdr>
                        <w:top w:val="none" w:sz="0" w:space="0" w:color="auto"/>
                        <w:left w:val="none" w:sz="0" w:space="0" w:color="auto"/>
                        <w:bottom w:val="none" w:sz="0" w:space="0" w:color="auto"/>
                        <w:right w:val="none" w:sz="0" w:space="0" w:color="auto"/>
                      </w:divBdr>
                    </w:div>
                    <w:div w:id="131190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558359">
      <w:bodyDiv w:val="1"/>
      <w:marLeft w:val="0"/>
      <w:marRight w:val="0"/>
      <w:marTop w:val="0"/>
      <w:marBottom w:val="0"/>
      <w:divBdr>
        <w:top w:val="none" w:sz="0" w:space="0" w:color="auto"/>
        <w:left w:val="none" w:sz="0" w:space="0" w:color="auto"/>
        <w:bottom w:val="none" w:sz="0" w:space="0" w:color="auto"/>
        <w:right w:val="none" w:sz="0" w:space="0" w:color="auto"/>
      </w:divBdr>
      <w:divsChild>
        <w:div w:id="1558973250">
          <w:marLeft w:val="0"/>
          <w:marRight w:val="0"/>
          <w:marTop w:val="0"/>
          <w:marBottom w:val="0"/>
          <w:divBdr>
            <w:top w:val="none" w:sz="0" w:space="0" w:color="auto"/>
            <w:left w:val="none" w:sz="0" w:space="0" w:color="auto"/>
            <w:bottom w:val="none" w:sz="0" w:space="0" w:color="auto"/>
            <w:right w:val="none" w:sz="0" w:space="0" w:color="auto"/>
          </w:divBdr>
          <w:divsChild>
            <w:div w:id="1711879758">
              <w:marLeft w:val="0"/>
              <w:marRight w:val="0"/>
              <w:marTop w:val="0"/>
              <w:marBottom w:val="0"/>
              <w:divBdr>
                <w:top w:val="none" w:sz="0" w:space="0" w:color="auto"/>
                <w:left w:val="single" w:sz="6" w:space="14" w:color="999999"/>
                <w:bottom w:val="none" w:sz="0" w:space="0" w:color="auto"/>
                <w:right w:val="none" w:sz="0" w:space="0" w:color="auto"/>
              </w:divBdr>
              <w:divsChild>
                <w:div w:id="2668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expertconsultbook.com/expertconsult/b/linkTo?type=bookPage&amp;isbn=978-1-4557-3322-4&amp;eid=4-u1.0-B978-1-4557-3322-4..00018-1--f0090&amp;appID=NG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xpertconsultbook.com/expertconsult/b/linkTo?type=bookPage&amp;isbn=978-1-4557-3322-4&amp;eid=4-u1.0-B978-1-4557-3322-4..00018-1--tfn0010&amp;appID=NG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7</Pages>
  <Words>2181</Words>
  <Characters>12436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dc:creator>
  <cp:lastModifiedBy>val</cp:lastModifiedBy>
  <cp:revision>40</cp:revision>
  <dcterms:created xsi:type="dcterms:W3CDTF">2013-05-27T15:59:00Z</dcterms:created>
  <dcterms:modified xsi:type="dcterms:W3CDTF">2013-05-27T17:35:00Z</dcterms:modified>
</cp:coreProperties>
</file>