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BCA" w:rsidRDefault="005D5BCA">
      <w:r>
        <w:rPr>
          <w:noProof/>
        </w:rPr>
        <w:drawing>
          <wp:inline distT="0" distB="0" distL="0" distR="0">
            <wp:extent cx="7222452" cy="96111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32551"/>
                    <a:stretch/>
                  </pic:blipFill>
                  <pic:spPr bwMode="auto">
                    <a:xfrm>
                      <a:off x="0" y="0"/>
                      <a:ext cx="7223760" cy="961288"/>
                    </a:xfrm>
                    <a:prstGeom prst="rect">
                      <a:avLst/>
                    </a:prstGeom>
                    <a:noFill/>
                    <a:ln>
                      <a:noFill/>
                    </a:ln>
                    <a:extLst>
                      <a:ext uri="{53640926-AAD7-44d8-BBD7-CCE9431645EC}">
                        <a14:shadowObscured xmlns:a14="http://schemas.microsoft.com/office/drawing/2010/main"/>
                      </a:ext>
                    </a:extLst>
                  </pic:spPr>
                </pic:pic>
              </a:graphicData>
            </a:graphic>
          </wp:inline>
        </w:drawing>
      </w:r>
      <w:r w:rsidRPr="005D5BCA">
        <w:t xml:space="preserve"> </w:t>
      </w:r>
      <w:r>
        <w:rPr>
          <w:noProof/>
        </w:rPr>
        <w:drawing>
          <wp:inline distT="0" distB="0" distL="0" distR="0">
            <wp:extent cx="7222452" cy="192157"/>
            <wp:effectExtent l="0" t="0" r="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6515"/>
                    <a:stretch/>
                  </pic:blipFill>
                  <pic:spPr bwMode="auto">
                    <a:xfrm>
                      <a:off x="0" y="0"/>
                      <a:ext cx="7223760" cy="192192"/>
                    </a:xfrm>
                    <a:prstGeom prst="rect">
                      <a:avLst/>
                    </a:prstGeom>
                    <a:noFill/>
                    <a:ln>
                      <a:noFill/>
                    </a:ln>
                    <a:extLst>
                      <a:ext uri="{53640926-AAD7-44d8-BBD7-CCE9431645EC}">
                        <a14:shadowObscured xmlns:a14="http://schemas.microsoft.com/office/drawing/2010/main"/>
                      </a:ext>
                    </a:extLst>
                  </pic:spPr>
                </pic:pic>
              </a:graphicData>
            </a:graphic>
          </wp:inline>
        </w:drawing>
      </w:r>
    </w:p>
    <w:p w:rsidR="005D5BCA" w:rsidRDefault="005D5BCA" w:rsidP="005D5BCA">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 xml:space="preserve">Background </w:t>
      </w:r>
    </w:p>
    <w:p w:rsidR="005D5BCA" w:rsidRPr="005D5BCA" w:rsidRDefault="005D5BCA" w:rsidP="005D5BCA">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 xml:space="preserve">In current international guidelines, </w:t>
      </w:r>
      <w:proofErr w:type="spellStart"/>
      <w:r>
        <w:rPr>
          <w:rFonts w:ascii="Times New Roman" w:hAnsi="Times New Roman" w:cs="Times New Roman"/>
          <w:color w:val="000000"/>
          <w:sz w:val="20"/>
          <w:szCs w:val="20"/>
        </w:rPr>
        <w:t>intraaortic</w:t>
      </w:r>
      <w:proofErr w:type="spellEnd"/>
      <w:r>
        <w:rPr>
          <w:rFonts w:ascii="Times New Roman" w:hAnsi="Times New Roman" w:cs="Times New Roman"/>
          <w:color w:val="000000"/>
          <w:sz w:val="20"/>
          <w:szCs w:val="20"/>
        </w:rPr>
        <w:t xml:space="preserve"> balloon </w:t>
      </w:r>
      <w:proofErr w:type="spellStart"/>
      <w:r>
        <w:rPr>
          <w:rFonts w:ascii="Times New Roman" w:hAnsi="Times New Roman" w:cs="Times New Roman"/>
          <w:color w:val="000000"/>
          <w:sz w:val="20"/>
          <w:szCs w:val="20"/>
        </w:rPr>
        <w:t>counterpulsation</w:t>
      </w:r>
      <w:proofErr w:type="spellEnd"/>
      <w:r>
        <w:rPr>
          <w:rFonts w:ascii="Times New Roman" w:hAnsi="Times New Roman" w:cs="Times New Roman"/>
          <w:color w:val="000000"/>
          <w:sz w:val="20"/>
          <w:szCs w:val="20"/>
        </w:rPr>
        <w:t xml:space="preserve"> is considered to be a class I treatment for cardiogenic shock complicating acute myocardial infarction. However, evidence is based mainly on registry data, and there is a paucity of randomized clinical trials.</w:t>
      </w:r>
    </w:p>
    <w:p w:rsidR="005D5BCA" w:rsidRDefault="005D5BCA" w:rsidP="005D5BCA">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rsid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In this randomized, prospective, open-label, multicenter trial, we randomly assigned 600 patients with cardiogenic shock complicating acute myocardial infarction to </w:t>
      </w:r>
      <w:proofErr w:type="spellStart"/>
      <w:r>
        <w:rPr>
          <w:rFonts w:ascii="Times New Roman" w:hAnsi="Times New Roman" w:cs="Times New Roman"/>
          <w:color w:val="000000"/>
          <w:sz w:val="20"/>
          <w:szCs w:val="20"/>
        </w:rPr>
        <w:t>intraaortic</w:t>
      </w:r>
      <w:proofErr w:type="spellEnd"/>
      <w:r>
        <w:rPr>
          <w:rFonts w:ascii="Times New Roman" w:hAnsi="Times New Roman" w:cs="Times New Roman"/>
          <w:color w:val="000000"/>
          <w:sz w:val="20"/>
          <w:szCs w:val="20"/>
        </w:rPr>
        <w:t xml:space="preserve"> balloon </w:t>
      </w:r>
      <w:proofErr w:type="spellStart"/>
      <w:r>
        <w:rPr>
          <w:rFonts w:ascii="Times New Roman" w:hAnsi="Times New Roman" w:cs="Times New Roman"/>
          <w:color w:val="000000"/>
          <w:sz w:val="20"/>
          <w:szCs w:val="20"/>
        </w:rPr>
        <w:t>counterpulsation</w:t>
      </w:r>
      <w:proofErr w:type="spellEnd"/>
      <w:r>
        <w:rPr>
          <w:rFonts w:ascii="Times New Roman" w:hAnsi="Times New Roman" w:cs="Times New Roman"/>
          <w:color w:val="000000"/>
          <w:sz w:val="20"/>
          <w:szCs w:val="20"/>
        </w:rPr>
        <w:t xml:space="preserve"> (IABP group, 301 patients) or no </w:t>
      </w:r>
      <w:proofErr w:type="spellStart"/>
      <w:r>
        <w:rPr>
          <w:rFonts w:ascii="Times New Roman" w:hAnsi="Times New Roman" w:cs="Times New Roman"/>
          <w:color w:val="000000"/>
          <w:sz w:val="20"/>
          <w:szCs w:val="20"/>
        </w:rPr>
        <w:t>intraaortic</w:t>
      </w:r>
      <w:proofErr w:type="spellEnd"/>
      <w:r>
        <w:rPr>
          <w:rFonts w:ascii="Times New Roman" w:hAnsi="Times New Roman" w:cs="Times New Roman"/>
          <w:color w:val="000000"/>
          <w:sz w:val="20"/>
          <w:szCs w:val="20"/>
        </w:rPr>
        <w:t xml:space="preserve"> balloon </w:t>
      </w:r>
      <w:proofErr w:type="spellStart"/>
      <w:r>
        <w:rPr>
          <w:rFonts w:ascii="Times New Roman" w:hAnsi="Times New Roman" w:cs="Times New Roman"/>
          <w:color w:val="000000"/>
          <w:sz w:val="20"/>
          <w:szCs w:val="20"/>
        </w:rPr>
        <w:t>counterpulsation</w:t>
      </w:r>
      <w:proofErr w:type="spellEnd"/>
      <w:r>
        <w:rPr>
          <w:rFonts w:ascii="Times New Roman" w:hAnsi="Times New Roman" w:cs="Times New Roman"/>
          <w:color w:val="000000"/>
          <w:sz w:val="20"/>
          <w:szCs w:val="20"/>
        </w:rPr>
        <w:t xml:space="preserve"> (control group, 299 patients). All patients were expected to undergo early revascularization (by means of percutaneous coronary intervention or bypass surgery) and to receive the best available medical therapy. The primary efficacy end point was 30-day all-cause mortality. Safety assessments included major bleeding, peripheral ischemic complications, sepsis, and stroke.</w:t>
      </w:r>
    </w:p>
    <w:p w:rsidR="005D5BCA" w:rsidRDefault="005D5BCA" w:rsidP="005D5BCA">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rsid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 total of 300 patients in the IABP group and 298 in the control group were included in the analysis of the primary end point. At 30 days, 119 patients in the IABP group (39.7%) and 123 patients in the control group (41.3%) had died (relative risk with IABP, 0.96; 95% confidence interval, 0.79 to 1.17; P = 0.69). There were no significant differences in secondary end points or in process-of-care measures, including the time to hemodynamic stabilization, the length of stay in the intensive care unit, serum lactate levels, the dose and duration of catecholamine therapy, and renal function. The IABP group and the control group did not differ significantly with respect to the rates of major bleeding (3.3% and 4.4%, respectively; P = 0.51), peripheral ischemic complications (4.3% and 3.4%, P = 0.53), sepsis (15.7% and 20.5%, P = 0.15), and stroke (0.7% and 1.7%, P = 0.28).</w:t>
      </w:r>
    </w:p>
    <w:p w:rsidR="005D5BCA" w:rsidRDefault="005D5BCA" w:rsidP="005D5BCA">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rsidR="005D5BCA" w:rsidRP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The use of </w:t>
      </w:r>
      <w:proofErr w:type="spellStart"/>
      <w:r>
        <w:rPr>
          <w:rFonts w:ascii="Times New Roman" w:hAnsi="Times New Roman" w:cs="Times New Roman"/>
          <w:color w:val="000000"/>
          <w:sz w:val="20"/>
          <w:szCs w:val="20"/>
        </w:rPr>
        <w:t>intraaortic</w:t>
      </w:r>
      <w:proofErr w:type="spellEnd"/>
      <w:r>
        <w:rPr>
          <w:rFonts w:ascii="Times New Roman" w:hAnsi="Times New Roman" w:cs="Times New Roman"/>
          <w:color w:val="000000"/>
          <w:sz w:val="20"/>
          <w:szCs w:val="20"/>
        </w:rPr>
        <w:t xml:space="preserve"> balloon </w:t>
      </w:r>
      <w:proofErr w:type="spellStart"/>
      <w:r>
        <w:rPr>
          <w:rFonts w:ascii="Times New Roman" w:hAnsi="Times New Roman" w:cs="Times New Roman"/>
          <w:color w:val="000000"/>
          <w:sz w:val="20"/>
          <w:szCs w:val="20"/>
        </w:rPr>
        <w:t>counterpulsation</w:t>
      </w:r>
      <w:proofErr w:type="spellEnd"/>
      <w:r>
        <w:rPr>
          <w:rFonts w:ascii="Times New Roman" w:hAnsi="Times New Roman" w:cs="Times New Roman"/>
          <w:color w:val="000000"/>
          <w:sz w:val="20"/>
          <w:szCs w:val="20"/>
        </w:rPr>
        <w:t xml:space="preserve"> did not significantly reduce 30-day mortality in patients with cardiogenic shock complicating acute myocardial infarction for </w:t>
      </w:r>
      <w:proofErr w:type="gramStart"/>
      <w:r>
        <w:rPr>
          <w:rFonts w:ascii="Times New Roman" w:hAnsi="Times New Roman" w:cs="Times New Roman"/>
          <w:color w:val="000000"/>
          <w:sz w:val="20"/>
          <w:szCs w:val="20"/>
        </w:rPr>
        <w:t>whom</w:t>
      </w:r>
      <w:proofErr w:type="gramEnd"/>
      <w:r>
        <w:rPr>
          <w:rFonts w:ascii="Times New Roman" w:hAnsi="Times New Roman" w:cs="Times New Roman"/>
          <w:color w:val="000000"/>
          <w:sz w:val="20"/>
          <w:szCs w:val="20"/>
        </w:rPr>
        <w:t xml:space="preserve"> an early revascularization strategy was planned.</w:t>
      </w:r>
    </w:p>
    <w:p w:rsidR="006555A8"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Key Points</w:t>
      </w:r>
    </w:p>
    <w:p w:rsidR="005D5BCA" w:rsidRDefault="0032250C" w:rsidP="005D5BCA">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Use of the balloon did not reduce 30 day mortality nor infer benefit in subgroup analysis or secondary endpoint (except SAPS score on days 2 and 3)</w:t>
      </w:r>
      <w:bookmarkStart w:id="0" w:name="_GoBack"/>
      <w:bookmarkEnd w:id="0"/>
    </w:p>
    <w:p w:rsidR="0032250C" w:rsidRDefault="0032250C" w:rsidP="005D5BCA">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There was no increased stroke, bleeding, sepsis or peripheral ischemic complications in either group-considered safe</w:t>
      </w:r>
    </w:p>
    <w:p w:rsidR="005D5BCA" w:rsidRDefault="005D5BCA" w:rsidP="005D5BCA">
      <w:pPr>
        <w:widowControl w:val="0"/>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t>Questions</w:t>
      </w:r>
    </w:p>
    <w:p w:rsidR="005D5BCA" w:rsidRPr="0032250C" w:rsidRDefault="0032250C" w:rsidP="005D5BCA">
      <w:pPr>
        <w:pStyle w:val="ListParagraph"/>
        <w:widowControl w:val="0"/>
        <w:numPr>
          <w:ilvl w:val="0"/>
          <w:numId w:val="2"/>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 xml:space="preserve">The purported action of </w:t>
      </w:r>
      <w:proofErr w:type="spellStart"/>
      <w:r>
        <w:rPr>
          <w:rFonts w:ascii="Times New Roman" w:hAnsi="Times New Roman" w:cs="Times New Roman"/>
          <w:color w:val="000000"/>
          <w:sz w:val="20"/>
          <w:szCs w:val="20"/>
        </w:rPr>
        <w:t>intraaortic</w:t>
      </w:r>
      <w:proofErr w:type="spellEnd"/>
      <w:r>
        <w:rPr>
          <w:rFonts w:ascii="Times New Roman" w:hAnsi="Times New Roman" w:cs="Times New Roman"/>
          <w:color w:val="000000"/>
          <w:sz w:val="20"/>
          <w:szCs w:val="20"/>
        </w:rPr>
        <w:t xml:space="preserve"> balloon </w:t>
      </w:r>
      <w:proofErr w:type="spellStart"/>
      <w:r>
        <w:rPr>
          <w:rFonts w:ascii="Times New Roman" w:hAnsi="Times New Roman" w:cs="Times New Roman"/>
          <w:color w:val="000000"/>
          <w:sz w:val="20"/>
          <w:szCs w:val="20"/>
        </w:rPr>
        <w:t>counterpulsation</w:t>
      </w:r>
      <w:proofErr w:type="spellEnd"/>
      <w:r>
        <w:rPr>
          <w:rFonts w:ascii="Times New Roman" w:hAnsi="Times New Roman" w:cs="Times New Roman"/>
          <w:color w:val="000000"/>
          <w:sz w:val="20"/>
          <w:szCs w:val="20"/>
        </w:rPr>
        <w:t xml:space="preserve"> is</w:t>
      </w:r>
    </w:p>
    <w:p w:rsidR="0032250C" w:rsidRPr="0032250C" w:rsidRDefault="0032250C" w:rsidP="0032250C">
      <w:pPr>
        <w:pStyle w:val="ListParagraph"/>
        <w:widowControl w:val="0"/>
        <w:numPr>
          <w:ilvl w:val="1"/>
          <w:numId w:val="2"/>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Improved preload</w:t>
      </w:r>
    </w:p>
    <w:p w:rsidR="0032250C" w:rsidRPr="0032250C" w:rsidRDefault="0032250C" w:rsidP="0032250C">
      <w:pPr>
        <w:pStyle w:val="ListParagraph"/>
        <w:widowControl w:val="0"/>
        <w:numPr>
          <w:ilvl w:val="1"/>
          <w:numId w:val="2"/>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Improved contractility</w:t>
      </w:r>
    </w:p>
    <w:p w:rsidR="0032250C" w:rsidRPr="0032250C" w:rsidRDefault="0032250C" w:rsidP="0032250C">
      <w:pPr>
        <w:pStyle w:val="ListParagraph"/>
        <w:widowControl w:val="0"/>
        <w:numPr>
          <w:ilvl w:val="1"/>
          <w:numId w:val="2"/>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Reduced afterload</w:t>
      </w:r>
    </w:p>
    <w:p w:rsidR="0032250C" w:rsidRPr="005D5BCA" w:rsidRDefault="0032250C" w:rsidP="0032250C">
      <w:pPr>
        <w:pStyle w:val="ListParagraph"/>
        <w:widowControl w:val="0"/>
        <w:numPr>
          <w:ilvl w:val="1"/>
          <w:numId w:val="2"/>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Reduced myocardial oxygen demand</w:t>
      </w:r>
    </w:p>
    <w:p w:rsidR="005D5BCA" w:rsidRPr="005D5BCA" w:rsidRDefault="0032250C" w:rsidP="005D5BCA">
      <w:pPr>
        <w:pStyle w:val="ListParagraph"/>
        <w:widowControl w:val="0"/>
        <w:numPr>
          <w:ilvl w:val="0"/>
          <w:numId w:val="2"/>
        </w:numPr>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color w:val="000000"/>
          <w:sz w:val="20"/>
          <w:szCs w:val="20"/>
        </w:rPr>
        <w:t>T/F-the application of hypothermia has been shown to reduce 30 day mortality in patients with cardiogenic shock in myocardial infarction</w:t>
      </w:r>
    </w:p>
    <w:p w:rsidR="005D5BCA" w:rsidRDefault="005D5BCA" w:rsidP="005D5BCA">
      <w:pPr>
        <w:widowControl w:val="0"/>
        <w:autoSpaceDE w:val="0"/>
        <w:autoSpaceDN w:val="0"/>
        <w:adjustRightInd w:val="0"/>
        <w:rPr>
          <w:rFonts w:ascii="Times New Roman" w:hAnsi="Times New Roman" w:cs="Times New Roman"/>
          <w:b/>
          <w:color w:val="000000"/>
          <w:sz w:val="20"/>
          <w:szCs w:val="20"/>
          <w:u w:val="single"/>
        </w:rPr>
      </w:pPr>
    </w:p>
    <w:p w:rsidR="005D5BCA" w:rsidRDefault="005D5BCA">
      <w:pPr>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br w:type="page"/>
      </w:r>
    </w:p>
    <w:p w:rsidR="005D5BCA" w:rsidRDefault="005D5BCA" w:rsidP="005D5BCA">
      <w:pPr>
        <w:widowControl w:val="0"/>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b/>
          <w:noProof/>
          <w:color w:val="000000"/>
          <w:sz w:val="20"/>
          <w:szCs w:val="20"/>
          <w:u w:val="single"/>
        </w:rPr>
        <w:lastRenderedPageBreak/>
        <w:drawing>
          <wp:inline distT="0" distB="0" distL="0" distR="0">
            <wp:extent cx="7223760" cy="168184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3760" cy="1681845"/>
                    </a:xfrm>
                    <a:prstGeom prst="rect">
                      <a:avLst/>
                    </a:prstGeom>
                    <a:noFill/>
                    <a:ln>
                      <a:noFill/>
                    </a:ln>
                  </pic:spPr>
                </pic:pic>
              </a:graphicData>
            </a:graphic>
          </wp:inline>
        </w:drawing>
      </w:r>
      <w:r>
        <w:rPr>
          <w:noProof/>
        </w:rPr>
        <w:drawing>
          <wp:inline distT="0" distB="0" distL="0" distR="0" wp14:anchorId="7F1AFBCA" wp14:editId="493A67C6">
            <wp:extent cx="7222452" cy="192157"/>
            <wp:effectExtent l="0" t="0" r="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6515"/>
                    <a:stretch/>
                  </pic:blipFill>
                  <pic:spPr bwMode="auto">
                    <a:xfrm>
                      <a:off x="0" y="0"/>
                      <a:ext cx="7223760" cy="192192"/>
                    </a:xfrm>
                    <a:prstGeom prst="rect">
                      <a:avLst/>
                    </a:prstGeom>
                    <a:noFill/>
                    <a:ln>
                      <a:noFill/>
                    </a:ln>
                    <a:extLst>
                      <a:ext uri="{53640926-AAD7-44d8-BBD7-CCE9431645EC}">
                        <a14:shadowObscured xmlns:a14="http://schemas.microsoft.com/office/drawing/2010/main"/>
                      </a:ext>
                    </a:extLst>
                  </pic:spPr>
                </pic:pic>
              </a:graphicData>
            </a:graphic>
          </wp:inline>
        </w:drawing>
      </w:r>
    </w:p>
    <w:p w:rsidR="005D5BCA" w:rsidRDefault="005D5BCA" w:rsidP="005D5BCA">
      <w:pPr>
        <w:widowControl w:val="0"/>
        <w:autoSpaceDE w:val="0"/>
        <w:autoSpaceDN w:val="0"/>
        <w:adjustRightInd w:val="0"/>
        <w:rPr>
          <w:rFonts w:ascii="Times New Roman" w:hAnsi="Times New Roman" w:cs="Times New Roman"/>
          <w:color w:val="FF0000"/>
          <w:sz w:val="18"/>
          <w:szCs w:val="18"/>
        </w:rPr>
      </w:pPr>
      <w:r>
        <w:rPr>
          <w:rFonts w:ascii="Times New Roman" w:hAnsi="Times New Roman" w:cs="Times New Roman"/>
          <w:color w:val="FF0000"/>
          <w:sz w:val="18"/>
          <w:szCs w:val="18"/>
        </w:rPr>
        <w:t>Background</w:t>
      </w:r>
    </w:p>
    <w:p w:rsid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There is debate about the value of assessing levels of C-reactive protein (CRP) and other biomarkers of inflammation for the prediction of first cardiovascular events.</w:t>
      </w:r>
    </w:p>
    <w:p w:rsidR="005D5BCA" w:rsidRDefault="005D5BCA" w:rsidP="005D5BCA">
      <w:pPr>
        <w:widowControl w:val="0"/>
        <w:autoSpaceDE w:val="0"/>
        <w:autoSpaceDN w:val="0"/>
        <w:adjustRightInd w:val="0"/>
        <w:rPr>
          <w:rFonts w:ascii="Times New Roman" w:hAnsi="Times New Roman" w:cs="Times New Roman"/>
          <w:color w:val="FF0000"/>
          <w:sz w:val="18"/>
          <w:szCs w:val="18"/>
        </w:rPr>
      </w:pPr>
      <w:r>
        <w:rPr>
          <w:rFonts w:ascii="Times New Roman" w:hAnsi="Times New Roman" w:cs="Times New Roman"/>
          <w:color w:val="FF0000"/>
          <w:sz w:val="18"/>
          <w:szCs w:val="18"/>
        </w:rPr>
        <w:t>Methods</w:t>
      </w:r>
    </w:p>
    <w:p w:rsid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We analyzed data from 52 prospective studies that included 246,669 participants without a history of cardiovascular disease to investigate the value of adding CRP or fibrinogen levels to conventional risk factors for the prediction of cardiovascular risk. We calculated measures of discrimination and reclassification during </w:t>
      </w:r>
      <w:proofErr w:type="spellStart"/>
      <w:r>
        <w:rPr>
          <w:rFonts w:ascii="Times New Roman" w:hAnsi="Times New Roman" w:cs="Times New Roman"/>
          <w:color w:val="000000"/>
          <w:sz w:val="20"/>
          <w:szCs w:val="20"/>
        </w:rPr>
        <w:t>followup</w:t>
      </w:r>
      <w:proofErr w:type="spellEnd"/>
      <w:r>
        <w:rPr>
          <w:rFonts w:ascii="Times New Roman" w:hAnsi="Times New Roman" w:cs="Times New Roman"/>
          <w:color w:val="000000"/>
          <w:sz w:val="20"/>
          <w:szCs w:val="20"/>
        </w:rPr>
        <w:t xml:space="preserve"> and modeled the clinical implications of initiation of statin therapy after the assessment of CRP or fibrinogen.</w:t>
      </w:r>
    </w:p>
    <w:p w:rsidR="005D5BCA" w:rsidRDefault="005D5BCA" w:rsidP="005D5BCA">
      <w:pPr>
        <w:widowControl w:val="0"/>
        <w:autoSpaceDE w:val="0"/>
        <w:autoSpaceDN w:val="0"/>
        <w:adjustRightInd w:val="0"/>
        <w:rPr>
          <w:rFonts w:ascii="Times New Roman" w:hAnsi="Times New Roman" w:cs="Times New Roman"/>
          <w:color w:val="FF0000"/>
          <w:sz w:val="18"/>
          <w:szCs w:val="18"/>
        </w:rPr>
      </w:pPr>
      <w:r>
        <w:rPr>
          <w:rFonts w:ascii="Times New Roman" w:hAnsi="Times New Roman" w:cs="Times New Roman"/>
          <w:color w:val="FF0000"/>
          <w:sz w:val="18"/>
          <w:szCs w:val="18"/>
        </w:rPr>
        <w:t>Results</w:t>
      </w:r>
    </w:p>
    <w:p w:rsid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The addition of information on high-density lipoprotein cholesterol to a prognostic model for cardiovascular disease that included age, sex, smoking status, blood pressure, history of diabetes, and total cholesterol level increased the C-index, a measure of risk discrimination, by 0.0050. The further addition to this model of information on CRP or fibrinogen increased the C-index by 0.0039 and 0.0027, respectively (P&lt;0.001), and yielded a net reclassification improvement of 1.52% and 0.83%, respectively, for the predicted 10-year risk categories of “low” (&lt;10%), “intermediate” (10% to &lt;20%), and “high” (≥20%) </w:t>
      </w:r>
      <w:proofErr w:type="gramStart"/>
      <w:r>
        <w:rPr>
          <w:rFonts w:ascii="Times New Roman" w:hAnsi="Times New Roman" w:cs="Times New Roman"/>
          <w:color w:val="000000"/>
          <w:sz w:val="20"/>
          <w:szCs w:val="20"/>
        </w:rPr>
        <w:t>(P&lt;0.02 for both comparisons).</w:t>
      </w:r>
      <w:proofErr w:type="gramEnd"/>
      <w:r>
        <w:rPr>
          <w:rFonts w:ascii="Times New Roman" w:hAnsi="Times New Roman" w:cs="Times New Roman"/>
          <w:color w:val="000000"/>
          <w:sz w:val="20"/>
          <w:szCs w:val="20"/>
        </w:rPr>
        <w:t xml:space="preserve"> We estimated that among 100,000 adults 40 years of age or older, 15,025 persons would initially be classified as being at intermediate risk for a cardiovascular event if conventional risk factors alone were used to calculate risk. Assuming that statin therapy would be initiated in accordance with Adult Treatment Panel III guidelines (i.e., for persons with a predicted risk of ≥20% and for those with certain other risk factors, such as diabetes, irrespective of their 10-year predicted risk), additional targeted assessment of CRP or fibrinogen levels in the 13,199 remaining participants at intermediate risk could help prevent approximately 30 additional cardiovascular events over the course of 10 years.</w:t>
      </w:r>
    </w:p>
    <w:p w:rsidR="005D5BCA" w:rsidRDefault="005D5BCA" w:rsidP="005D5BCA">
      <w:pPr>
        <w:widowControl w:val="0"/>
        <w:autoSpaceDE w:val="0"/>
        <w:autoSpaceDN w:val="0"/>
        <w:adjustRightInd w:val="0"/>
        <w:rPr>
          <w:rFonts w:ascii="Times New Roman" w:hAnsi="Times New Roman" w:cs="Times New Roman"/>
          <w:color w:val="FF0000"/>
          <w:sz w:val="18"/>
          <w:szCs w:val="18"/>
        </w:rPr>
      </w:pPr>
      <w:r>
        <w:rPr>
          <w:rFonts w:ascii="Times New Roman" w:hAnsi="Times New Roman" w:cs="Times New Roman"/>
          <w:color w:val="FF0000"/>
          <w:sz w:val="18"/>
          <w:szCs w:val="18"/>
        </w:rPr>
        <w:t>Conclusions</w:t>
      </w:r>
    </w:p>
    <w:p w:rsidR="005D5BCA" w:rsidRPr="005D5BCA" w:rsidRDefault="005D5BCA" w:rsidP="005D5BC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 a study of people without known cardiovascular disease, we estimated that under current treatment guidelines, assessment of the CRP or fibrinogen level in people at intermediate risk for a cardiovascular event could help prevent one additional event over a period of 10 years for every 400 to 500 people screened.</w:t>
      </w:r>
    </w:p>
    <w:p w:rsidR="005D5BCA" w:rsidRDefault="005D5BCA" w:rsidP="005D5BCA">
      <w:pPr>
        <w:rPr>
          <w:rFonts w:ascii="Times New Roman" w:hAnsi="Times New Roman" w:cs="Times New Roman"/>
          <w:sz w:val="20"/>
          <w:szCs w:val="20"/>
        </w:rPr>
      </w:pPr>
      <w:r>
        <w:rPr>
          <w:rFonts w:ascii="Times New Roman" w:hAnsi="Times New Roman" w:cs="Times New Roman"/>
          <w:b/>
          <w:sz w:val="20"/>
          <w:szCs w:val="20"/>
          <w:u w:val="single"/>
        </w:rPr>
        <w:t>Key Points</w:t>
      </w:r>
    </w:p>
    <w:p w:rsidR="005D5BCA" w:rsidRDefault="00BF12F1" w:rsidP="005D5BC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Targeted assessment of CRP and fibrinogen would reclassify individuals from low risk to intermediate risk and qualify them for statin therapy</w:t>
      </w:r>
    </w:p>
    <w:p w:rsidR="00BF12F1" w:rsidRDefault="00BF12F1" w:rsidP="00BF12F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This would prevent 30 and 27 cardiac events, respectively over a period of 10 years</w:t>
      </w:r>
    </w:p>
    <w:p w:rsidR="00BF12F1" w:rsidRDefault="00BF12F1" w:rsidP="00BF12F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Analysis of both does not provide benefit over measurement of each individually</w:t>
      </w:r>
    </w:p>
    <w:p w:rsidR="005D5BCA" w:rsidRDefault="005D5BCA" w:rsidP="005D5BCA">
      <w:pPr>
        <w:rPr>
          <w:rFonts w:ascii="Times New Roman" w:hAnsi="Times New Roman" w:cs="Times New Roman"/>
          <w:sz w:val="20"/>
          <w:szCs w:val="20"/>
        </w:rPr>
      </w:pPr>
      <w:r>
        <w:rPr>
          <w:rFonts w:ascii="Times New Roman" w:hAnsi="Times New Roman" w:cs="Times New Roman"/>
          <w:b/>
          <w:sz w:val="20"/>
          <w:szCs w:val="20"/>
          <w:u w:val="single"/>
        </w:rPr>
        <w:t>Questions</w:t>
      </w:r>
    </w:p>
    <w:p w:rsidR="005D5BCA" w:rsidRDefault="005D5BCA" w:rsidP="005D5BC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CRP and Fibrinogen are utilized as biomarkers of cardiac events because</w:t>
      </w:r>
    </w:p>
    <w:p w:rsidR="005D5BCA" w:rsidRDefault="005D5BCA" w:rsidP="005D5BCA">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are easily measured</w:t>
      </w:r>
    </w:p>
    <w:p w:rsidR="005D5BCA" w:rsidRDefault="005D5BCA" w:rsidP="005D5BCA">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are acute phase reactants</w:t>
      </w:r>
    </w:p>
    <w:p w:rsidR="005D5BCA" w:rsidRDefault="005D5BCA" w:rsidP="005D5BCA">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are inexpensive to test</w:t>
      </w:r>
    </w:p>
    <w:p w:rsidR="005D5BCA" w:rsidRDefault="005D5BCA" w:rsidP="005D5BCA">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Results are available quickly</w:t>
      </w:r>
    </w:p>
    <w:p w:rsidR="00BF12F1" w:rsidRDefault="00BF12F1" w:rsidP="00BF12F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purported utility of biomarker measurement in the patients in this study was that</w:t>
      </w:r>
    </w:p>
    <w:p w:rsidR="00BF12F1" w:rsidRDefault="00BF12F1" w:rsidP="00BF12F1">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would be reclassified into a higher risk group</w:t>
      </w:r>
    </w:p>
    <w:p w:rsidR="00BF12F1" w:rsidRDefault="00BF12F1" w:rsidP="00BF12F1">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would have additional biomarker measurements performed</w:t>
      </w:r>
    </w:p>
    <w:p w:rsidR="00BF12F1" w:rsidRDefault="00BF12F1" w:rsidP="00BF12F1">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would have cardiac ultrasound performed</w:t>
      </w:r>
    </w:p>
    <w:p w:rsidR="00BF12F1" w:rsidRPr="005D5BCA" w:rsidRDefault="00BF12F1" w:rsidP="00BF12F1">
      <w:pPr>
        <w:pStyle w:val="ListParagraph"/>
        <w:numPr>
          <w:ilvl w:val="1"/>
          <w:numId w:val="3"/>
        </w:numPr>
        <w:rPr>
          <w:rFonts w:ascii="Times New Roman" w:hAnsi="Times New Roman" w:cs="Times New Roman"/>
          <w:sz w:val="20"/>
          <w:szCs w:val="20"/>
        </w:rPr>
      </w:pPr>
      <w:r>
        <w:rPr>
          <w:rFonts w:ascii="Times New Roman" w:hAnsi="Times New Roman" w:cs="Times New Roman"/>
          <w:sz w:val="20"/>
          <w:szCs w:val="20"/>
        </w:rPr>
        <w:t>They would have less frequent bloodwork performed</w:t>
      </w:r>
    </w:p>
    <w:sectPr w:rsidR="00BF12F1" w:rsidRPr="005D5BCA" w:rsidSect="005D5BCA">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5FC7"/>
    <w:multiLevelType w:val="hybridMultilevel"/>
    <w:tmpl w:val="2050F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4572B3"/>
    <w:multiLevelType w:val="hybridMultilevel"/>
    <w:tmpl w:val="F9A82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D354CF"/>
    <w:multiLevelType w:val="hybridMultilevel"/>
    <w:tmpl w:val="8C6EF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BCA"/>
    <w:rsid w:val="000B5845"/>
    <w:rsid w:val="0032250C"/>
    <w:rsid w:val="005D5BCA"/>
    <w:rsid w:val="006555A8"/>
    <w:rsid w:val="00BF12F1"/>
    <w:rsid w:val="00D278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63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B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5BCA"/>
    <w:rPr>
      <w:rFonts w:ascii="Lucida Grande" w:hAnsi="Lucida Grande" w:cs="Lucida Grande"/>
      <w:sz w:val="18"/>
      <w:szCs w:val="18"/>
    </w:rPr>
  </w:style>
  <w:style w:type="paragraph" w:styleId="ListParagraph">
    <w:name w:val="List Paragraph"/>
    <w:basedOn w:val="Normal"/>
    <w:uiPriority w:val="34"/>
    <w:qFormat/>
    <w:rsid w:val="005D5BC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B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5BCA"/>
    <w:rPr>
      <w:rFonts w:ascii="Lucida Grande" w:hAnsi="Lucida Grande" w:cs="Lucida Grande"/>
      <w:sz w:val="18"/>
      <w:szCs w:val="18"/>
    </w:rPr>
  </w:style>
  <w:style w:type="paragraph" w:styleId="ListParagraph">
    <w:name w:val="List Paragraph"/>
    <w:basedOn w:val="Normal"/>
    <w:uiPriority w:val="34"/>
    <w:qFormat/>
    <w:rsid w:val="005D5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866</Words>
  <Characters>4937</Characters>
  <Application>Microsoft Macintosh Word</Application>
  <DocSecurity>0</DocSecurity>
  <Lines>41</Lines>
  <Paragraphs>11</Paragraphs>
  <ScaleCrop>false</ScaleCrop>
  <Company>Animal Medical Center</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1</cp:revision>
  <dcterms:created xsi:type="dcterms:W3CDTF">2012-10-28T19:59:00Z</dcterms:created>
  <dcterms:modified xsi:type="dcterms:W3CDTF">2012-10-28T20:35:00Z</dcterms:modified>
</cp:coreProperties>
</file>