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0F0F8" w14:textId="77777777" w:rsidR="00156460" w:rsidRDefault="00156460"/>
    <w:p w14:paraId="6FA95114" w14:textId="77777777" w:rsidR="00156460" w:rsidRDefault="00156460"/>
    <w:p w14:paraId="4D985730" w14:textId="77777777" w:rsidR="00156460" w:rsidRDefault="00156460"/>
    <w:p w14:paraId="6855AE11" w14:textId="77777777" w:rsidR="00156460" w:rsidRDefault="00156460">
      <w:r w:rsidRPr="00156460">
        <w:rPr>
          <w:noProof/>
        </w:rPr>
        <w:drawing>
          <wp:anchor distT="0" distB="0" distL="114300" distR="114300" simplePos="0" relativeHeight="251659264" behindDoc="0" locked="0" layoutInCell="1" allowOverlap="1" wp14:anchorId="440F55D3" wp14:editId="1B5C6B67">
            <wp:simplePos x="0" y="0"/>
            <wp:positionH relativeFrom="column">
              <wp:posOffset>1828800</wp:posOffset>
            </wp:positionH>
            <wp:positionV relativeFrom="paragraph">
              <wp:posOffset>149860</wp:posOffset>
            </wp:positionV>
            <wp:extent cx="3351530" cy="147955"/>
            <wp:effectExtent l="0" t="0" r="127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30" cy="14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03B604" w14:textId="77777777" w:rsidR="00156460" w:rsidRDefault="00156460"/>
    <w:p w14:paraId="3B6A8A40" w14:textId="77777777" w:rsidR="00156460" w:rsidRDefault="00156460"/>
    <w:p w14:paraId="01468814" w14:textId="77777777" w:rsidR="00156460" w:rsidRDefault="00156460"/>
    <w:p w14:paraId="09DF1E0B" w14:textId="77777777" w:rsidR="00156460" w:rsidRDefault="00156460"/>
    <w:p w14:paraId="4F903701" w14:textId="77777777" w:rsidR="00156460" w:rsidRDefault="00156460"/>
    <w:p w14:paraId="6A9B10BE" w14:textId="77777777" w:rsidR="00156460" w:rsidRDefault="00156460"/>
    <w:p w14:paraId="59DE366B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EE1D24"/>
          <w:sz w:val="18"/>
          <w:szCs w:val="18"/>
        </w:rPr>
      </w:pPr>
      <w:r>
        <w:rPr>
          <w:rFonts w:ascii="Times New Roman" w:hAnsi="Times New Roman" w:cs="Times New Roman"/>
          <w:color w:val="EE1D24"/>
          <w:sz w:val="18"/>
          <w:szCs w:val="18"/>
        </w:rPr>
        <w:t>BACKGROUND</w:t>
      </w:r>
    </w:p>
    <w:p w14:paraId="3CDA8834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Little is known about the long-term outcomes in elderly survivors of in-hospital cardiac arrest. We determined rates of long-term survival and readmission among survivors of in-hospital cardiac arrest and examined whether these outcomes differed according to demographic characteristics and neurologic status at discharge.</w:t>
      </w:r>
    </w:p>
    <w:p w14:paraId="26A80ADC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EE1D24"/>
          <w:sz w:val="18"/>
          <w:szCs w:val="18"/>
        </w:rPr>
      </w:pPr>
      <w:r>
        <w:rPr>
          <w:rFonts w:ascii="Times New Roman" w:hAnsi="Times New Roman" w:cs="Times New Roman"/>
          <w:color w:val="EE1D24"/>
          <w:sz w:val="18"/>
          <w:szCs w:val="18"/>
        </w:rPr>
        <w:t>METHODS</w:t>
      </w:r>
    </w:p>
    <w:p w14:paraId="17B556D7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We linked data from a national registry of inpatient cardiac arrests with Medicare files and identified 6972 adults, 65 years of age or older, who were discharged from the hospital after surviving an in-hospital cardiac arrest between 2000 and 2008. Predictors of 1-year survival and of readmission to the hospital were examined.</w:t>
      </w:r>
    </w:p>
    <w:p w14:paraId="22D1436F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EE1D24"/>
          <w:sz w:val="18"/>
          <w:szCs w:val="18"/>
        </w:rPr>
      </w:pPr>
      <w:r>
        <w:rPr>
          <w:rFonts w:ascii="Times New Roman" w:hAnsi="Times New Roman" w:cs="Times New Roman"/>
          <w:color w:val="EE1D24"/>
          <w:sz w:val="18"/>
          <w:szCs w:val="18"/>
        </w:rPr>
        <w:t>RESULTS</w:t>
      </w:r>
    </w:p>
    <w:p w14:paraId="5114BE2F" w14:textId="77777777" w:rsidR="00156460" w:rsidRP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EE1D24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One year after hospital discharge, 58.5% of the patients were alive, and 34.4% had not been readmitted to the hospital. The risk-adjusted rate of 1-year survival was lower among older patients than among younger patients (63.7%, 58.6%, and 49.7% among patients 65 to 74, 75 to 84, and ≥85 years of age, respectively; P&lt;0.001), among men than among women (58.6% vs. 60.9%, P = 0.03), and among black patients than among white patients (52.5% vs. 60.4%, P = 0.001). The risk-adjusted rate of 1-year survival was 72.8% among patients with mild or no neurologic disability at discharge, as compared with 61.1% among patients with moderate neurologic disability, 42.2% among those with severe neurologic disability, and 10.2% among those in a coma or vegetative state (P&lt;0.001 for all comparisons). Moreover, 1-year readmission rates were higher among patients who were black, those who were women, and those who had substantial neurologic disability (P&lt;0.05 for all comparisons). These differences in survival and readmission rates persisted at 2 years. At 3 years, the rate of survival among survivors of in-hospital cardiac arrest was similar to that of patients who had been hospitalized with heart failure and were discharged alive (43.5% and 44.9%, respectively; risk ratio, 0.98; 95% confidence interval, 0.95 to 1.02; P = 0.35).</w:t>
      </w:r>
    </w:p>
    <w:p w14:paraId="23D0E825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EE1D24"/>
          <w:sz w:val="18"/>
          <w:szCs w:val="18"/>
        </w:rPr>
      </w:pPr>
      <w:r>
        <w:rPr>
          <w:rFonts w:ascii="Times New Roman" w:hAnsi="Times New Roman" w:cs="Times New Roman"/>
          <w:color w:val="EE1D24"/>
          <w:sz w:val="18"/>
          <w:szCs w:val="18"/>
        </w:rPr>
        <w:t>CONCLUSIONS</w:t>
      </w:r>
    </w:p>
    <w:p w14:paraId="20668978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Among elderly survivors of in-hospital cardiac arrest, nearly 60% were alive at 1 year, and the rate of 3-year survival was similar to that among patients with heart failure. Survival and readmission rates differed according to the demographic characteristics of the patients and neurologic status at discharge.</w:t>
      </w:r>
    </w:p>
    <w:p w14:paraId="18B472A6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5D9F0AAB" w14:textId="77777777" w:rsidR="006555A8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910989" wp14:editId="2E27B2A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847080" cy="17881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080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0"/>
          <w:szCs w:val="20"/>
        </w:rPr>
        <w:t>KEY POINTS</w:t>
      </w:r>
    </w:p>
    <w:p w14:paraId="39691D16" w14:textId="49C39B0F" w:rsidR="00156460" w:rsidRDefault="00741180" w:rsidP="0015646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Older patients (&gt;75 years) were significantly less likely to live at 1 year post discharge</w:t>
      </w:r>
    </w:p>
    <w:p w14:paraId="4B565339" w14:textId="2024E10F" w:rsidR="00741180" w:rsidRDefault="00741180" w:rsidP="0015646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White patients and </w:t>
      </w:r>
      <w:r w:rsidR="00512ACC">
        <w:rPr>
          <w:rFonts w:ascii="Times New Roman" w:hAnsi="Times New Roman" w:cs="Times New Roman"/>
          <w:color w:val="000000"/>
          <w:sz w:val="20"/>
          <w:szCs w:val="20"/>
        </w:rPr>
        <w:t>wo</w:t>
      </w:r>
      <w:r>
        <w:rPr>
          <w:rFonts w:ascii="Times New Roman" w:hAnsi="Times New Roman" w:cs="Times New Roman"/>
          <w:color w:val="000000"/>
          <w:sz w:val="20"/>
          <w:szCs w:val="20"/>
        </w:rPr>
        <w:t>men were significantly more likely to live at 1 year post-discharge than black patients an</w:t>
      </w:r>
      <w:r w:rsidR="00512ACC">
        <w:rPr>
          <w:rFonts w:ascii="Times New Roman" w:hAnsi="Times New Roman" w:cs="Times New Roman"/>
          <w:color w:val="000000"/>
          <w:sz w:val="20"/>
          <w:szCs w:val="20"/>
        </w:rPr>
        <w:t xml:space="preserve">d </w:t>
      </w:r>
      <w:r>
        <w:rPr>
          <w:rFonts w:ascii="Times New Roman" w:hAnsi="Times New Roman" w:cs="Times New Roman"/>
          <w:color w:val="000000"/>
          <w:sz w:val="20"/>
          <w:szCs w:val="20"/>
        </w:rPr>
        <w:t>men</w:t>
      </w:r>
    </w:p>
    <w:p w14:paraId="324B8446" w14:textId="161E3099" w:rsidR="00741180" w:rsidRDefault="00741180" w:rsidP="0015646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As neurologic status deteriorates, they were significantly less likely to be alive at 1 year post-discharge</w:t>
      </w:r>
    </w:p>
    <w:p w14:paraId="1F3B15C8" w14:textId="38BF55F9" w:rsidR="00741180" w:rsidRDefault="00741180" w:rsidP="0015646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Diagnosis of ventricular fibrillation as the arrest rhythm was more likely to survive than any other diagnosis</w:t>
      </w:r>
    </w:p>
    <w:p w14:paraId="108D9C1A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23AA5362" w14:textId="77777777" w:rsidR="00156460" w:rsidRP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QUESTIONS</w:t>
      </w:r>
    </w:p>
    <w:p w14:paraId="584DAA72" w14:textId="364BD6F9" w:rsidR="00156460" w:rsidRDefault="00741180" w:rsidP="0015646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Patients are traditionally considered to have a good neurologic outcome if</w:t>
      </w:r>
    </w:p>
    <w:p w14:paraId="3180D3D8" w14:textId="46277D54" w:rsidR="00741180" w:rsidRPr="00741180" w:rsidRDefault="00741180" w:rsidP="00741180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741180">
        <w:rPr>
          <w:rFonts w:ascii="Times New Roman" w:hAnsi="Times New Roman" w:cs="Times New Roman"/>
          <w:i/>
          <w:color w:val="000000"/>
          <w:sz w:val="20"/>
          <w:szCs w:val="20"/>
        </w:rPr>
        <w:t>They signs are considered moderate or mild at discharge</w:t>
      </w:r>
    </w:p>
    <w:p w14:paraId="73EBE371" w14:textId="258F7EB4" w:rsidR="00741180" w:rsidRDefault="00741180" w:rsidP="00741180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They have the ability to walk at 180 days post discharge</w:t>
      </w:r>
    </w:p>
    <w:p w14:paraId="43260B62" w14:textId="355047C8" w:rsidR="00741180" w:rsidRDefault="00741180" w:rsidP="00741180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They have the ability to spontaneously ventilate at the time of discharge</w:t>
      </w:r>
    </w:p>
    <w:p w14:paraId="0B5ACBFC" w14:textId="7E00D541" w:rsidR="00741180" w:rsidRDefault="00741180" w:rsidP="00741180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They have the ability to respond to noxious but not visual stimulus at the time of discharge</w:t>
      </w:r>
    </w:p>
    <w:p w14:paraId="165F4532" w14:textId="652C3A81" w:rsidR="00512ACC" w:rsidRDefault="00512ACC" w:rsidP="00512AC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Of elderly patients surviving an in hospital arrest, what percent is expected to be alive at 2 years post-arrest?</w:t>
      </w:r>
    </w:p>
    <w:p w14:paraId="3C996E60" w14:textId="1D1D7E30" w:rsidR="00512ACC" w:rsidRDefault="00512ACC" w:rsidP="00512ACC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20%</w:t>
      </w:r>
    </w:p>
    <w:p w14:paraId="6CCD5AB3" w14:textId="0D8BB55A" w:rsidR="00512ACC" w:rsidRDefault="00512ACC" w:rsidP="00512ACC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30%</w:t>
      </w:r>
    </w:p>
    <w:p w14:paraId="0F7EC657" w14:textId="27260C63" w:rsidR="00512ACC" w:rsidRDefault="00512ACC" w:rsidP="00512ACC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40%</w:t>
      </w:r>
    </w:p>
    <w:p w14:paraId="5263AF65" w14:textId="7F152EB8" w:rsidR="00512ACC" w:rsidRPr="00512ACC" w:rsidRDefault="00512ACC" w:rsidP="00512ACC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512ACC">
        <w:rPr>
          <w:rFonts w:ascii="Times New Roman" w:hAnsi="Times New Roman" w:cs="Times New Roman"/>
          <w:i/>
          <w:color w:val="000000"/>
          <w:sz w:val="20"/>
          <w:szCs w:val="20"/>
        </w:rPr>
        <w:t>50%</w:t>
      </w:r>
      <w:bookmarkStart w:id="0" w:name="_GoBack"/>
      <w:bookmarkEnd w:id="0"/>
    </w:p>
    <w:p w14:paraId="3690BB12" w14:textId="77777777" w:rsidR="00156460" w:rsidRDefault="00156460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69656B57" w14:textId="77777777" w:rsidR="00156460" w:rsidRP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43FE4B86" wp14:editId="0DA421C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20385" cy="2230120"/>
            <wp:effectExtent l="0" t="0" r="0" b="508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385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D3E595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461B846F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28B4612E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2B00E6CC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6CAFCD4A" wp14:editId="2F638A78">
            <wp:simplePos x="0" y="0"/>
            <wp:positionH relativeFrom="column">
              <wp:posOffset>2057400</wp:posOffset>
            </wp:positionH>
            <wp:positionV relativeFrom="paragraph">
              <wp:posOffset>101600</wp:posOffset>
            </wp:positionV>
            <wp:extent cx="3117850" cy="165100"/>
            <wp:effectExtent l="0" t="0" r="6350" b="1270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2E5B7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705393DD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515C8530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656E5EAC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5632DD53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7861A81E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557B8779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7F092178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1C55E3BE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260EC046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1EF30583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6C274263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EE1D24"/>
          <w:sz w:val="18"/>
          <w:szCs w:val="18"/>
        </w:rPr>
      </w:pPr>
      <w:r>
        <w:rPr>
          <w:rFonts w:ascii="Times New Roman" w:hAnsi="Times New Roman" w:cs="Times New Roman"/>
          <w:color w:val="EE1D24"/>
          <w:sz w:val="18"/>
          <w:szCs w:val="18"/>
        </w:rPr>
        <w:t>Background</w:t>
      </w:r>
    </w:p>
    <w:p w14:paraId="392ABAF7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Patients with systolic heart failure and anemia have worse symptoms, functional capacity, and outcomes than those without anemia. We evaluated the effects of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darbepoetin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alfa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on clinical outcomes in patients with systolic heart failure and anemia.</w:t>
      </w:r>
    </w:p>
    <w:p w14:paraId="375357E5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EE1D24"/>
          <w:sz w:val="18"/>
          <w:szCs w:val="18"/>
        </w:rPr>
      </w:pPr>
      <w:r>
        <w:rPr>
          <w:rFonts w:ascii="Times New Roman" w:hAnsi="Times New Roman" w:cs="Times New Roman"/>
          <w:color w:val="EE1D24"/>
          <w:sz w:val="18"/>
          <w:szCs w:val="18"/>
        </w:rPr>
        <w:t>Methods</w:t>
      </w:r>
    </w:p>
    <w:p w14:paraId="135FAE95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In this randomized,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double-blind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trial, we assigned 2278 patients with systolic heart failure and mild-to-moderate anemia (hemoglobin level, 9.0 to 12.0 g per deciliter) to receive either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darbepoetin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alfa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(to achieve a hemoglobin target of 13 g per deciliter) or placebo. The primary outcome was a composite of death from any cause or hospitalization for worsening heart failure.</w:t>
      </w:r>
    </w:p>
    <w:p w14:paraId="58B93B0E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EE1D24"/>
          <w:sz w:val="18"/>
          <w:szCs w:val="18"/>
        </w:rPr>
      </w:pPr>
      <w:r>
        <w:rPr>
          <w:rFonts w:ascii="Times New Roman" w:hAnsi="Times New Roman" w:cs="Times New Roman"/>
          <w:color w:val="EE1D24"/>
          <w:sz w:val="18"/>
          <w:szCs w:val="18"/>
        </w:rPr>
        <w:t>Results</w:t>
      </w:r>
    </w:p>
    <w:p w14:paraId="551B7960" w14:textId="77777777" w:rsidR="00156460" w:rsidRP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EE1D24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The primary outcome occurred in 576 of 1136 patients (50.7%) in the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darbepoetin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alfa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group and 565 of 1142 patients (49.5%) in the placebo group (hazard ratio in the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darbepoetin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alfa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group, 1.01; 95% confidence interval, 0.90 to 1.13; P = 0.87). There was no significant between-group difference in any of the secondary outcomes. The neutral effect of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darbepoetin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alfa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was consistent across all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prespecified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subgroups. Fatal or nonfatal stroke occurred in 42 patients (3.7%) in the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darbepoetin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alfa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group and 31 patients (2.7%) in the placebo group (P = 0.23). Thromboembolic adverse events were reported in 153 patients (13.5%) in the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darbepoetin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alfa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group and 114 patients (10.0%) in the placebo group (P = 0.01). Cancer-related adverse events were similar in the two study groups.</w:t>
      </w:r>
    </w:p>
    <w:p w14:paraId="1A0C4A4B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EE1D24"/>
          <w:sz w:val="18"/>
          <w:szCs w:val="18"/>
        </w:rPr>
      </w:pPr>
      <w:r>
        <w:rPr>
          <w:rFonts w:ascii="Times New Roman" w:hAnsi="Times New Roman" w:cs="Times New Roman"/>
          <w:color w:val="EE1D24"/>
          <w:sz w:val="18"/>
          <w:szCs w:val="18"/>
        </w:rPr>
        <w:t>Conclusions</w:t>
      </w:r>
    </w:p>
    <w:p w14:paraId="648AE0BB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Treatment with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darbepoetin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alfa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did not improve clinical outcomes in patients with systolic heart failure and mild-to-moderate anemia. Our findings do not support the use of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darbepoetin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alfa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in these patients.</w:t>
      </w:r>
    </w:p>
    <w:p w14:paraId="3EDC5CB2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26DCEEAF" w14:textId="77777777" w:rsidR="00156460" w:rsidRP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KEY POINTS</w:t>
      </w:r>
    </w:p>
    <w:p w14:paraId="04BD7722" w14:textId="51AA1F50" w:rsidR="00156460" w:rsidRDefault="00680491" w:rsidP="0015646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Significantly more patients in the control group received a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nonstudy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dose of erythropoietin stimulation agent and a blood transfusion</w:t>
      </w:r>
    </w:p>
    <w:p w14:paraId="7D42D247" w14:textId="16902116" w:rsidR="00680491" w:rsidRDefault="00680491" w:rsidP="0015646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 difference was noted in all ca</w:t>
      </w:r>
      <w:r w:rsidR="006A322B">
        <w:rPr>
          <w:rFonts w:ascii="Times New Roman" w:hAnsi="Times New Roman" w:cs="Times New Roman"/>
          <w:color w:val="000000"/>
          <w:sz w:val="20"/>
          <w:szCs w:val="20"/>
        </w:rPr>
        <w:t>use mortality between the groups</w:t>
      </w:r>
    </w:p>
    <w:p w14:paraId="4CD7BB86" w14:textId="2B633A60" w:rsidR="006A322B" w:rsidRDefault="006A322B" w:rsidP="0015646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 significantly higher Kansas City Cardiomyopathy Questionnaire score was noted in the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darbe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group (that’s a good thing)</w:t>
      </w:r>
    </w:p>
    <w:p w14:paraId="33E32084" w14:textId="6BD258AB" w:rsidR="006A322B" w:rsidRDefault="006A322B" w:rsidP="0015646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Significantly more embolic/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thrombic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adverse events and septic shock were noted with the use of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darbepoietin</w:t>
      </w:r>
      <w:proofErr w:type="spellEnd"/>
    </w:p>
    <w:p w14:paraId="739018BB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7A11C5C6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QUESTIONS</w:t>
      </w:r>
    </w:p>
    <w:p w14:paraId="16DD4946" w14:textId="0E6E6547" w:rsidR="00156460" w:rsidRDefault="00680491" w:rsidP="0015646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The use of which of the following is associated with anemia in patients with systolic failure?</w:t>
      </w:r>
    </w:p>
    <w:p w14:paraId="6D5C712B" w14:textId="18DF9A92" w:rsidR="00680491" w:rsidRDefault="00680491" w:rsidP="00680491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Furosemide</w:t>
      </w:r>
    </w:p>
    <w:p w14:paraId="3C300293" w14:textId="1BCA7D8A" w:rsidR="00680491" w:rsidRPr="00680491" w:rsidRDefault="00680491" w:rsidP="00680491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680491">
        <w:rPr>
          <w:rFonts w:ascii="Times New Roman" w:hAnsi="Times New Roman" w:cs="Times New Roman"/>
          <w:i/>
          <w:color w:val="000000"/>
          <w:sz w:val="20"/>
          <w:szCs w:val="20"/>
        </w:rPr>
        <w:t>Benazepril</w:t>
      </w:r>
    </w:p>
    <w:p w14:paraId="55398C5C" w14:textId="01706C00" w:rsidR="00680491" w:rsidRDefault="00680491" w:rsidP="00680491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Levosimendan</w:t>
      </w:r>
      <w:proofErr w:type="spellEnd"/>
    </w:p>
    <w:p w14:paraId="423EE1FD" w14:textId="0346CFEA" w:rsidR="00680491" w:rsidRDefault="00680491" w:rsidP="00680491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Carvedilol</w:t>
      </w:r>
      <w:proofErr w:type="spellEnd"/>
    </w:p>
    <w:p w14:paraId="50EBDB3F" w14:textId="5EFDE444" w:rsidR="00680491" w:rsidRDefault="006A322B" w:rsidP="0068049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Which of the following events were noted significantly more frequently with the use of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darbepoietin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alfa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>?</w:t>
      </w:r>
    </w:p>
    <w:p w14:paraId="7FA08F1B" w14:textId="0D7C7695" w:rsidR="006A322B" w:rsidRDefault="006A322B" w:rsidP="006A322B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Death, any cause</w:t>
      </w:r>
    </w:p>
    <w:p w14:paraId="46C18110" w14:textId="08812F3D" w:rsidR="006A322B" w:rsidRPr="006A322B" w:rsidRDefault="006A322B" w:rsidP="006A322B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6A322B">
        <w:rPr>
          <w:rFonts w:ascii="Times New Roman" w:hAnsi="Times New Roman" w:cs="Times New Roman"/>
          <w:i/>
          <w:color w:val="000000"/>
          <w:sz w:val="20"/>
          <w:szCs w:val="20"/>
        </w:rPr>
        <w:t>Septic shock</w:t>
      </w:r>
    </w:p>
    <w:p w14:paraId="490CDCB9" w14:textId="37EEDAB0" w:rsidR="006A322B" w:rsidRDefault="006A322B" w:rsidP="006A322B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Unstable angina</w:t>
      </w:r>
    </w:p>
    <w:p w14:paraId="5496CACC" w14:textId="45D63BD0" w:rsidR="006A322B" w:rsidRPr="00156460" w:rsidRDefault="006A322B" w:rsidP="006A322B">
      <w:pPr>
        <w:pStyle w:val="ListParagraph"/>
        <w:widowControl w:val="0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Fatal stroke</w:t>
      </w:r>
    </w:p>
    <w:p w14:paraId="4250BE26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2E9B88BB" w14:textId="77777777" w:rsidR="00156460" w:rsidRDefault="00156460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1FD92801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68E07F6F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0785B3B3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2F4B7C7F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18C3D75E" wp14:editId="2C29E659">
            <wp:simplePos x="0" y="0"/>
            <wp:positionH relativeFrom="column">
              <wp:posOffset>2242820</wp:posOffset>
            </wp:positionH>
            <wp:positionV relativeFrom="paragraph">
              <wp:posOffset>121285</wp:posOffset>
            </wp:positionV>
            <wp:extent cx="2786380" cy="126365"/>
            <wp:effectExtent l="0" t="0" r="7620" b="63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12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F3DCE3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0F6DFEFB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09DBA93F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4AF882FE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3AC63173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6063E72F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EE1D24"/>
          <w:sz w:val="18"/>
          <w:szCs w:val="18"/>
        </w:rPr>
      </w:pPr>
      <w:r>
        <w:rPr>
          <w:rFonts w:ascii="Times New Roman" w:hAnsi="Times New Roman" w:cs="Times New Roman"/>
          <w:color w:val="EE1D24"/>
          <w:sz w:val="18"/>
          <w:szCs w:val="18"/>
        </w:rPr>
        <w:t>Background</w:t>
      </w:r>
    </w:p>
    <w:p w14:paraId="73A8F12E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In patients with ischemic stroke, endovascular treatment results in a higher rate of recanalization of the affected cerebral artery than systemic intravenous thrombolytic therapy. However, comparison of the clinical efficacy of the two approaches is needed.</w:t>
      </w:r>
    </w:p>
    <w:p w14:paraId="33395C43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EE1D24"/>
          <w:sz w:val="18"/>
          <w:szCs w:val="18"/>
        </w:rPr>
      </w:pPr>
      <w:r>
        <w:rPr>
          <w:rFonts w:ascii="Times New Roman" w:hAnsi="Times New Roman" w:cs="Times New Roman"/>
          <w:color w:val="EE1D24"/>
          <w:sz w:val="18"/>
          <w:szCs w:val="18"/>
        </w:rPr>
        <w:t>Methods</w:t>
      </w:r>
    </w:p>
    <w:p w14:paraId="3A953535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We randomly assigned 362 patients with acute ischemic stroke, within 4.5 hours after onset, to endovascular therapy (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intraarterial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thrombolysis with recombinant tissue plasminogen activator [t-PA], mechanical clot disruption or retrieval, or a combination of these approaches) or intravenous t-PA. Treatments were to be given as soon as possible after randomization. The primary outcome was survival free of disability (defined as a modified Rankin score of 0 or 1 on a scale of 0 to 6, with 0 indicating no symptoms, 1 no clinically significant disability despite symptoms, and 6 death) at 3 months.</w:t>
      </w:r>
    </w:p>
    <w:p w14:paraId="0926F4F2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EE1D24"/>
          <w:sz w:val="18"/>
          <w:szCs w:val="18"/>
        </w:rPr>
      </w:pPr>
      <w:r>
        <w:rPr>
          <w:rFonts w:ascii="Times New Roman" w:hAnsi="Times New Roman" w:cs="Times New Roman"/>
          <w:color w:val="EE1D24"/>
          <w:sz w:val="18"/>
          <w:szCs w:val="18"/>
        </w:rPr>
        <w:t>Results</w:t>
      </w:r>
    </w:p>
    <w:p w14:paraId="368F8E5A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 total of 181 patients were assigned to receive endovascular therapy, and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181 intravenous t-PA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>. The median time from stroke onset to the start of treatment was 3.75 hours for endovascular therapy and 2.75 hours for intravenous t-PA (P&lt;0.001). At 3 months, 55 patients in the endovascular-therapy group (30.4%) and 63 in the intravenous t-PA group (34.8%) were alive without disability (odds ratio adjusted for age, sex, stroke severity, and atrial fibrillation status at baseline, 0.71; 95% confidence interval, 0.44 to 1.14; P = 0.16). Fatal or nonfatal symptomatic intracranial hemorrhage within 7 days occurred in 6% of the patients in each group, and there were no significant differences between groups in the rates of other serious adverse events or the case fatality rate.</w:t>
      </w:r>
    </w:p>
    <w:p w14:paraId="3C54F381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EE1D24"/>
          <w:sz w:val="18"/>
          <w:szCs w:val="18"/>
        </w:rPr>
      </w:pPr>
      <w:r>
        <w:rPr>
          <w:rFonts w:ascii="Times New Roman" w:hAnsi="Times New Roman" w:cs="Times New Roman"/>
          <w:color w:val="EE1D24"/>
          <w:sz w:val="18"/>
          <w:szCs w:val="18"/>
        </w:rPr>
        <w:t>Conclusions</w:t>
      </w:r>
    </w:p>
    <w:p w14:paraId="220E696B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The results of this trial in patients with acute ischemic stroke indicate that endovascular therapy is not superior to standard treatment with intravenous t-PA.</w:t>
      </w:r>
    </w:p>
    <w:p w14:paraId="1DEEE146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70450521" w14:textId="77777777" w:rsidR="00156460" w:rsidRP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KEY POINTS</w:t>
      </w:r>
      <w:r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5E76BCD2" wp14:editId="0C36B1FD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705350" cy="1241425"/>
            <wp:effectExtent l="0" t="0" r="0" b="317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24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E2C6DD" w14:textId="77777777" w:rsidR="00156460" w:rsidRDefault="00E500C4" w:rsidP="0015646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No difference was noted in the survival at 90 days with minimal to no neurologic deficits between patients treated with endovascular therapy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vs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patients treated with systemic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tPA</w:t>
      </w:r>
      <w:proofErr w:type="spellEnd"/>
    </w:p>
    <w:p w14:paraId="70F3DA22" w14:textId="77777777" w:rsidR="00E500C4" w:rsidRDefault="00E500C4" w:rsidP="0015646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No difference between the groups with regards to secondary outcome measures</w:t>
      </w:r>
    </w:p>
    <w:p w14:paraId="56043FFD" w14:textId="77777777" w:rsidR="00E500C4" w:rsidRDefault="00E500C4" w:rsidP="0015646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Authors speculate that a treatment delay in the endovascular treatment group may account for the lack of superiority of this treatment</w:t>
      </w:r>
    </w:p>
    <w:p w14:paraId="7C17ADA4" w14:textId="77777777" w:rsidR="00E500C4" w:rsidRPr="00E500C4" w:rsidRDefault="00E500C4" w:rsidP="00E50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336D5986" w14:textId="77777777" w:rsidR="00156460" w:rsidRDefault="00156460" w:rsidP="0015646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QUESTIONS</w:t>
      </w:r>
    </w:p>
    <w:p w14:paraId="051047B8" w14:textId="77777777" w:rsidR="00156460" w:rsidRDefault="00D942DA" w:rsidP="000E4031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Please describe the difference between mechanical and pharmacologic thrombolysis</w:t>
      </w:r>
    </w:p>
    <w:p w14:paraId="5C9C0FBF" w14:textId="77777777" w:rsidR="00D942DA" w:rsidRDefault="00D942DA" w:rsidP="00D942DA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In mechanical they use a wire to facilitate disintegration, systems to capture and extract the thrombus, or crushing and aspirating the thrombus.  Pharmacologic is just administration of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</w:rPr>
        <w:t>tPa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in the vicinity of the thrombus</w:t>
      </w:r>
    </w:p>
    <w:p w14:paraId="6A14EB2D" w14:textId="77777777" w:rsidR="00D942DA" w:rsidRDefault="00E500C4" w:rsidP="00D942D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Which percent of stroke patients are expected to make a full recovery?</w:t>
      </w:r>
    </w:p>
    <w:p w14:paraId="3F8F008E" w14:textId="77777777" w:rsidR="00E500C4" w:rsidRDefault="00E500C4" w:rsidP="00E500C4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25%</w:t>
      </w:r>
    </w:p>
    <w:p w14:paraId="6C150DF1" w14:textId="77777777" w:rsidR="00E500C4" w:rsidRDefault="00E500C4" w:rsidP="00E500C4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35</w:t>
      </w:r>
    </w:p>
    <w:p w14:paraId="7EC4C5E4" w14:textId="77777777" w:rsidR="00E500C4" w:rsidRPr="00E500C4" w:rsidRDefault="00E500C4" w:rsidP="00E500C4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E500C4">
        <w:rPr>
          <w:rFonts w:ascii="Times New Roman" w:hAnsi="Times New Roman" w:cs="Times New Roman"/>
          <w:i/>
          <w:color w:val="000000"/>
          <w:sz w:val="20"/>
          <w:szCs w:val="20"/>
        </w:rPr>
        <w:t>50</w:t>
      </w:r>
    </w:p>
    <w:p w14:paraId="5DE8B908" w14:textId="77777777" w:rsidR="00E500C4" w:rsidRPr="00E500C4" w:rsidRDefault="00E500C4" w:rsidP="00E500C4">
      <w:pPr>
        <w:pStyle w:val="ListParagraph"/>
        <w:widowControl w:val="0"/>
        <w:numPr>
          <w:ilvl w:val="1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75</w:t>
      </w:r>
    </w:p>
    <w:sectPr w:rsidR="00E500C4" w:rsidRPr="00E500C4" w:rsidSect="00156460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3451B"/>
    <w:multiLevelType w:val="multilevel"/>
    <w:tmpl w:val="0409001D"/>
    <w:styleLink w:val="Condensed"/>
    <w:lvl w:ilvl="0"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E45A16"/>
    <w:multiLevelType w:val="hybridMultilevel"/>
    <w:tmpl w:val="8B363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F4116"/>
    <w:multiLevelType w:val="hybridMultilevel"/>
    <w:tmpl w:val="AA96EAF4"/>
    <w:lvl w:ilvl="0" w:tplc="4626B4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F845D2"/>
    <w:multiLevelType w:val="hybridMultilevel"/>
    <w:tmpl w:val="8B363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096F12"/>
    <w:multiLevelType w:val="multilevel"/>
    <w:tmpl w:val="0409001D"/>
    <w:numStyleLink w:val="Condensed"/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460"/>
    <w:rsid w:val="000B5845"/>
    <w:rsid w:val="000E4031"/>
    <w:rsid w:val="00156460"/>
    <w:rsid w:val="003C0C16"/>
    <w:rsid w:val="00512ACC"/>
    <w:rsid w:val="006555A8"/>
    <w:rsid w:val="00680491"/>
    <w:rsid w:val="006A322B"/>
    <w:rsid w:val="00741180"/>
    <w:rsid w:val="00D27818"/>
    <w:rsid w:val="00D942DA"/>
    <w:rsid w:val="00E500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5F7AE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ondensed">
    <w:name w:val="Condensed"/>
    <w:uiPriority w:val="99"/>
    <w:rsid w:val="003C0C16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646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460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564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ondensed">
    <w:name w:val="Condensed"/>
    <w:uiPriority w:val="99"/>
    <w:rsid w:val="003C0C16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646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460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56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1250</Words>
  <Characters>7128</Characters>
  <Application>Microsoft Macintosh Word</Application>
  <DocSecurity>0</DocSecurity>
  <Lines>59</Lines>
  <Paragraphs>16</Paragraphs>
  <ScaleCrop>false</ScaleCrop>
  <Company>Animal Medical Center</Company>
  <LinksUpToDate>false</LinksUpToDate>
  <CharactersWithSpaces>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4</cp:revision>
  <dcterms:created xsi:type="dcterms:W3CDTF">2013-03-31T08:22:00Z</dcterms:created>
  <dcterms:modified xsi:type="dcterms:W3CDTF">2013-04-01T00:06:00Z</dcterms:modified>
</cp:coreProperties>
</file>