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5A8" w:rsidRDefault="00DD1FD1" w:rsidP="00DD1FD1">
      <w:pPr>
        <w:widowControl w:val="0"/>
        <w:autoSpaceDE w:val="0"/>
        <w:autoSpaceDN w:val="0"/>
        <w:adjustRightInd w:val="0"/>
        <w:rPr>
          <w:rFonts w:ascii="Times New Roman" w:hAnsi="Times New Roman" w:cs="Times New Roman"/>
          <w:sz w:val="36"/>
          <w:szCs w:val="36"/>
        </w:rPr>
      </w:pPr>
      <w:r>
        <w:rPr>
          <w:rFonts w:ascii="Times New Roman" w:hAnsi="Times New Roman" w:cs="Times New Roman"/>
          <w:sz w:val="36"/>
          <w:szCs w:val="36"/>
        </w:rPr>
        <w:t>Early Surgery versus Conventional Treatment for Infective Endocarditis</w:t>
      </w:r>
    </w:p>
    <w:p w:rsidR="00DD1FD1" w:rsidRDefault="00DD1FD1" w:rsidP="00DD1FD1">
      <w:pPr>
        <w:widowControl w:val="0"/>
        <w:autoSpaceDE w:val="0"/>
        <w:autoSpaceDN w:val="0"/>
        <w:adjustRightInd w:val="0"/>
        <w:rPr>
          <w:rFonts w:ascii="Times New Roman" w:hAnsi="Times New Roman" w:cs="Times New Roman"/>
          <w:sz w:val="15"/>
          <w:szCs w:val="15"/>
        </w:rPr>
      </w:pPr>
      <w:r>
        <w:rPr>
          <w:rFonts w:ascii="Times New Roman" w:hAnsi="Times New Roman" w:cs="Times New Roman"/>
          <w:sz w:val="15"/>
          <w:szCs w:val="15"/>
        </w:rPr>
        <w:t xml:space="preserve">N </w:t>
      </w:r>
      <w:proofErr w:type="spellStart"/>
      <w:r>
        <w:rPr>
          <w:rFonts w:ascii="Times New Roman" w:hAnsi="Times New Roman" w:cs="Times New Roman"/>
          <w:sz w:val="15"/>
          <w:szCs w:val="15"/>
        </w:rPr>
        <w:t>Engl</w:t>
      </w:r>
      <w:proofErr w:type="spellEnd"/>
      <w:r>
        <w:rPr>
          <w:rFonts w:ascii="Times New Roman" w:hAnsi="Times New Roman" w:cs="Times New Roman"/>
          <w:sz w:val="15"/>
          <w:szCs w:val="15"/>
        </w:rPr>
        <w:t xml:space="preserve"> J Med 366</w:t>
      </w:r>
      <w:proofErr w:type="gramStart"/>
      <w:r>
        <w:rPr>
          <w:rFonts w:ascii="Times New Roman" w:hAnsi="Times New Roman" w:cs="Times New Roman"/>
          <w:sz w:val="15"/>
          <w:szCs w:val="15"/>
        </w:rPr>
        <w:t>;26</w:t>
      </w:r>
      <w:proofErr w:type="gramEnd"/>
      <w:r>
        <w:rPr>
          <w:rFonts w:ascii="Times New Roman" w:hAnsi="Times New Roman" w:cs="Times New Roman"/>
          <w:sz w:val="15"/>
          <w:szCs w:val="15"/>
        </w:rPr>
        <w:t xml:space="preserve"> </w:t>
      </w:r>
      <w:proofErr w:type="spellStart"/>
      <w:r>
        <w:rPr>
          <w:rFonts w:ascii="Times New Roman" w:hAnsi="Times New Roman" w:cs="Times New Roman"/>
          <w:sz w:val="15"/>
          <w:szCs w:val="15"/>
        </w:rPr>
        <w:t>june</w:t>
      </w:r>
      <w:proofErr w:type="spellEnd"/>
      <w:r>
        <w:rPr>
          <w:rFonts w:ascii="Times New Roman" w:hAnsi="Times New Roman" w:cs="Times New Roman"/>
          <w:sz w:val="15"/>
          <w:szCs w:val="15"/>
        </w:rPr>
        <w:t xml:space="preserve"> 28, 2012</w:t>
      </w:r>
    </w:p>
    <w:p w:rsidR="00DD1FD1" w:rsidRPr="00DD1FD1" w:rsidRDefault="00DD1FD1" w:rsidP="00DD1FD1">
      <w:pPr>
        <w:widowControl w:val="0"/>
        <w:autoSpaceDE w:val="0"/>
        <w:autoSpaceDN w:val="0"/>
        <w:adjustRightInd w:val="0"/>
        <w:rPr>
          <w:rFonts w:ascii="Times New Roman" w:hAnsi="Times New Roman" w:cs="Times New Roman"/>
          <w:color w:val="FF0000"/>
          <w:sz w:val="18"/>
          <w:szCs w:val="18"/>
        </w:rPr>
      </w:pPr>
      <w:r w:rsidRPr="00DD1FD1">
        <w:rPr>
          <w:rFonts w:ascii="Times New Roman" w:hAnsi="Times New Roman" w:cs="Times New Roman"/>
          <w:color w:val="FF0000"/>
          <w:sz w:val="18"/>
          <w:szCs w:val="18"/>
        </w:rPr>
        <w:t>BACKGROUND</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 timing and indications for surgical intervention to prevent systemic embolism in infective endocarditis remain controversial. We conducted a trial to compare clinical outcomes of early surgery and conventional treatment in patients with infective endocarditis.</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 We randomly assigned patients with left-sided infective endocarditis, severe valve disease, and large </w:t>
      </w:r>
      <w:proofErr w:type="spellStart"/>
      <w:r>
        <w:rPr>
          <w:rFonts w:ascii="Times New Roman" w:hAnsi="Times New Roman" w:cs="Times New Roman"/>
          <w:color w:val="000000"/>
          <w:sz w:val="20"/>
          <w:szCs w:val="20"/>
        </w:rPr>
        <w:t>vegetations</w:t>
      </w:r>
      <w:proofErr w:type="spellEnd"/>
      <w:r>
        <w:rPr>
          <w:rFonts w:ascii="Times New Roman" w:hAnsi="Times New Roman" w:cs="Times New Roman"/>
          <w:color w:val="000000"/>
          <w:sz w:val="20"/>
          <w:szCs w:val="20"/>
        </w:rPr>
        <w:t xml:space="preserve"> to early surgery (37 patients) or conventional treatment (39). The primary end point was a composite of in-hospital death and embolic events that occurred within 6 weeks after randomization.</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 All the patients assigned to the early-surgery group underwent valve surgery within 48 hours after randomization, whereas 30 patients (77%) in the conventional-treatment group underwent surgery during the initial hospitalization (27 patients) or during follow-up (3). The primary end point occurred in 1 patient (3%) in the </w:t>
      </w:r>
      <w:proofErr w:type="spellStart"/>
      <w:r>
        <w:rPr>
          <w:rFonts w:ascii="Times New Roman" w:hAnsi="Times New Roman" w:cs="Times New Roman"/>
          <w:color w:val="000000"/>
          <w:sz w:val="20"/>
          <w:szCs w:val="20"/>
        </w:rPr>
        <w:t>earlysurgery</w:t>
      </w:r>
      <w:proofErr w:type="spellEnd"/>
      <w:r>
        <w:rPr>
          <w:rFonts w:ascii="Times New Roman" w:hAnsi="Times New Roman" w:cs="Times New Roman"/>
          <w:color w:val="000000"/>
          <w:sz w:val="20"/>
          <w:szCs w:val="20"/>
        </w:rPr>
        <w:t xml:space="preserve"> group as compared with 9 (23%) in the conventional-treatment group (hazard ratio, 0.10; 95% confidence interval [CI], 0.01 to 0.82; P = 0.03). There was no significant difference in all-cause mortality at 6 months in the early-surgery and conventional-treatment groups (3% and 5%, respectively; hazard ratio, 0.51; 95% CI, 0.05 to 5.66; P = 0.59). The rate of the composite end point of death from any cause, embolic events, or recurrence of infective endocarditis at 6 months was 3% in the early-surgery group and 28% in the conventional-treatment group (hazard ratio, 0.08; 95% CI, 0.01 to 0.65; P = 0.02).</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 As compared with conventional treatment, early surgery in patients with infective endocarditis and large </w:t>
      </w:r>
      <w:proofErr w:type="spellStart"/>
      <w:r>
        <w:rPr>
          <w:rFonts w:ascii="Times New Roman" w:hAnsi="Times New Roman" w:cs="Times New Roman"/>
          <w:color w:val="000000"/>
          <w:sz w:val="20"/>
          <w:szCs w:val="20"/>
        </w:rPr>
        <w:t>vegetations</w:t>
      </w:r>
      <w:proofErr w:type="spellEnd"/>
      <w:r>
        <w:rPr>
          <w:rFonts w:ascii="Times New Roman" w:hAnsi="Times New Roman" w:cs="Times New Roman"/>
          <w:color w:val="000000"/>
          <w:sz w:val="20"/>
          <w:szCs w:val="20"/>
        </w:rPr>
        <w:t xml:space="preserve"> significantly reduced the composite end point of death from any cause and embolic events by effectively decreasing the risk of systemic</w:t>
      </w:r>
    </w:p>
    <w:p w:rsidR="00DD1FD1" w:rsidRDefault="00DD1FD1" w:rsidP="00DD1FD1">
      <w:pPr>
        <w:widowControl w:val="0"/>
        <w:autoSpaceDE w:val="0"/>
        <w:autoSpaceDN w:val="0"/>
        <w:adjustRightInd w:val="0"/>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embolism</w:t>
      </w:r>
      <w:proofErr w:type="gramEnd"/>
      <w:r>
        <w:rPr>
          <w:rFonts w:ascii="Times New Roman" w:hAnsi="Times New Roman" w:cs="Times New Roman"/>
          <w:color w:val="000000"/>
          <w:sz w:val="20"/>
          <w:szCs w:val="20"/>
        </w:rPr>
        <w:t>.</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KEY POINTS</w:t>
      </w:r>
    </w:p>
    <w:p w:rsidR="00DD1FD1" w:rsidRDefault="00DD1FD1" w:rsidP="00DD1FD1">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Significantly lower </w:t>
      </w:r>
      <w:proofErr w:type="spellStart"/>
      <w:r>
        <w:rPr>
          <w:rFonts w:ascii="Times New Roman" w:hAnsi="Times New Roman" w:cs="Times New Roman"/>
          <w:color w:val="000000"/>
          <w:sz w:val="20"/>
          <w:szCs w:val="20"/>
        </w:rPr>
        <w:t>inhospital</w:t>
      </w:r>
      <w:proofErr w:type="spellEnd"/>
      <w:r>
        <w:rPr>
          <w:rFonts w:ascii="Times New Roman" w:hAnsi="Times New Roman" w:cs="Times New Roman"/>
          <w:color w:val="000000"/>
          <w:sz w:val="20"/>
          <w:szCs w:val="20"/>
        </w:rPr>
        <w:t xml:space="preserve"> death with early surgery</w:t>
      </w:r>
    </w:p>
    <w:p w:rsidR="00DD1FD1" w:rsidRDefault="00DD1FD1" w:rsidP="00DD1FD1">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Significantly lower embolic events in early surgery group at 6 weeks</w:t>
      </w:r>
    </w:p>
    <w:p w:rsidR="00DD1FD1" w:rsidRDefault="00DD1FD1" w:rsidP="00DD1FD1">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No difference in all cause mortality at six months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QUESTIONS</w:t>
      </w:r>
    </w:p>
    <w:p w:rsidR="00DD1FD1" w:rsidRDefault="00DD1FD1" w:rsidP="00DD1FD1">
      <w:pPr>
        <w:pStyle w:val="ListParagraph"/>
        <w:widowControl w:val="0"/>
        <w:numPr>
          <w:ilvl w:val="0"/>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Cerebral embolism occurs in up to ___ percent of IE cases in humans</w:t>
      </w:r>
    </w:p>
    <w:p w:rsidR="00DD1FD1" w:rsidRDefault="00DD1FD1" w:rsidP="00DD1FD1">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45</w:t>
      </w:r>
    </w:p>
    <w:p w:rsidR="00DD1FD1" w:rsidRDefault="00DD1FD1" w:rsidP="00DD1FD1">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35</w:t>
      </w:r>
    </w:p>
    <w:p w:rsidR="00DD1FD1" w:rsidRPr="00DD1FD1" w:rsidRDefault="00DD1FD1" w:rsidP="00DD1FD1">
      <w:pPr>
        <w:pStyle w:val="ListParagraph"/>
        <w:widowControl w:val="0"/>
        <w:numPr>
          <w:ilvl w:val="1"/>
          <w:numId w:val="2"/>
        </w:numPr>
        <w:autoSpaceDE w:val="0"/>
        <w:autoSpaceDN w:val="0"/>
        <w:adjustRightInd w:val="0"/>
        <w:rPr>
          <w:rFonts w:ascii="Times New Roman" w:hAnsi="Times New Roman" w:cs="Times New Roman"/>
          <w:i/>
          <w:color w:val="000000"/>
          <w:sz w:val="20"/>
          <w:szCs w:val="20"/>
        </w:rPr>
      </w:pPr>
      <w:r w:rsidRPr="00DD1FD1">
        <w:rPr>
          <w:rFonts w:ascii="Times New Roman" w:hAnsi="Times New Roman" w:cs="Times New Roman"/>
          <w:i/>
          <w:color w:val="000000"/>
          <w:sz w:val="20"/>
          <w:szCs w:val="20"/>
        </w:rPr>
        <w:t>65</w:t>
      </w:r>
    </w:p>
    <w:p w:rsidR="00DD1FD1" w:rsidRDefault="00DD1FD1" w:rsidP="00DD1FD1">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75</w:t>
      </w:r>
    </w:p>
    <w:p w:rsidR="00DD1FD1" w:rsidRDefault="00DD1FD1" w:rsidP="00DD1FD1">
      <w:pPr>
        <w:pStyle w:val="ListParagraph"/>
        <w:widowControl w:val="0"/>
        <w:numPr>
          <w:ilvl w:val="0"/>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Conflicting recommendations currently exist for surgical management of IE, wherein European society of cardiologists recommend early surgery if large </w:t>
      </w:r>
      <w:proofErr w:type="spellStart"/>
      <w:r>
        <w:rPr>
          <w:rFonts w:ascii="Times New Roman" w:hAnsi="Times New Roman" w:cs="Times New Roman"/>
          <w:color w:val="000000"/>
          <w:sz w:val="20"/>
          <w:szCs w:val="20"/>
        </w:rPr>
        <w:t>vegitations</w:t>
      </w:r>
      <w:proofErr w:type="spellEnd"/>
      <w:r>
        <w:rPr>
          <w:rFonts w:ascii="Times New Roman" w:hAnsi="Times New Roman" w:cs="Times New Roman"/>
          <w:color w:val="000000"/>
          <w:sz w:val="20"/>
          <w:szCs w:val="20"/>
        </w:rPr>
        <w:t xml:space="preserve"> are present, what does the AHA recommend?</w:t>
      </w:r>
    </w:p>
    <w:p w:rsidR="00DD1FD1" w:rsidRDefault="00DD1FD1" w:rsidP="00DD1FD1">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Only early surgery with beta hemolytic strep lesions</w:t>
      </w:r>
    </w:p>
    <w:p w:rsidR="00DD1FD1" w:rsidRPr="00DD1FD1" w:rsidRDefault="00DD1FD1" w:rsidP="00DD1FD1">
      <w:pPr>
        <w:pStyle w:val="ListParagraph"/>
        <w:widowControl w:val="0"/>
        <w:numPr>
          <w:ilvl w:val="1"/>
          <w:numId w:val="2"/>
        </w:numPr>
        <w:autoSpaceDE w:val="0"/>
        <w:autoSpaceDN w:val="0"/>
        <w:adjustRightInd w:val="0"/>
        <w:rPr>
          <w:rFonts w:ascii="Times New Roman" w:hAnsi="Times New Roman" w:cs="Times New Roman"/>
          <w:i/>
          <w:color w:val="000000"/>
          <w:sz w:val="20"/>
          <w:szCs w:val="20"/>
        </w:rPr>
      </w:pPr>
      <w:r w:rsidRPr="00DD1FD1">
        <w:rPr>
          <w:rFonts w:ascii="Times New Roman" w:hAnsi="Times New Roman" w:cs="Times New Roman"/>
          <w:i/>
          <w:color w:val="000000"/>
          <w:sz w:val="20"/>
          <w:szCs w:val="20"/>
        </w:rPr>
        <w:t xml:space="preserve">Early surgery only if recurrent embolisms or persistent </w:t>
      </w:r>
      <w:proofErr w:type="spellStart"/>
      <w:r w:rsidRPr="00DD1FD1">
        <w:rPr>
          <w:rFonts w:ascii="Times New Roman" w:hAnsi="Times New Roman" w:cs="Times New Roman"/>
          <w:i/>
          <w:color w:val="000000"/>
          <w:sz w:val="20"/>
          <w:szCs w:val="20"/>
        </w:rPr>
        <w:t>vegetations</w:t>
      </w:r>
      <w:proofErr w:type="spellEnd"/>
    </w:p>
    <w:p w:rsidR="00DD1FD1" w:rsidRDefault="00DD1FD1" w:rsidP="00DD1FD1">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Early surgery when evidence of cerebral embolism first presents</w:t>
      </w:r>
    </w:p>
    <w:p w:rsidR="00DD1FD1" w:rsidRDefault="00DD1FD1" w:rsidP="00DD1FD1">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Early surgery if significantly low R time on TEG</w:t>
      </w:r>
    </w:p>
    <w:p w:rsidR="00DD1FD1" w:rsidRDefault="00DD1FD1">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rsidR="00DD1FD1" w:rsidRDefault="00DD1FD1" w:rsidP="00DD1FD1">
      <w:pPr>
        <w:widowControl w:val="0"/>
        <w:autoSpaceDE w:val="0"/>
        <w:autoSpaceDN w:val="0"/>
        <w:adjustRightInd w:val="0"/>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Hypoglycemia and Risk of Death in Critically Ill Patients </w:t>
      </w:r>
    </w:p>
    <w:p w:rsidR="00DD1FD1" w:rsidRDefault="00DD1FD1" w:rsidP="00DD1FD1">
      <w:pPr>
        <w:widowControl w:val="0"/>
        <w:autoSpaceDE w:val="0"/>
        <w:autoSpaceDN w:val="0"/>
        <w:adjustRightInd w:val="0"/>
        <w:rPr>
          <w:rFonts w:ascii="Times New Roman" w:hAnsi="Times New Roman" w:cs="Times New Roman"/>
          <w:color w:val="77797B"/>
          <w:sz w:val="20"/>
          <w:szCs w:val="20"/>
        </w:rPr>
      </w:pPr>
      <w:r>
        <w:rPr>
          <w:rFonts w:ascii="Times New Roman" w:hAnsi="Times New Roman" w:cs="Times New Roman"/>
          <w:color w:val="77797B"/>
          <w:sz w:val="20"/>
          <w:szCs w:val="20"/>
        </w:rPr>
        <w:t>The NICE-SUGAR Study Investigators</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rsidR="00DD1FD1" w:rsidRP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Whether hypoglycemia leads to death in critically ill patients is unclear.</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We examined the associations between moderate and severe hypoglycemia (blood glucose, 41 to 70 mg per deciliter [2.3 to 3.9 mmol per liter] and ≤40 mg per deciliter [2.2 mmol per liter], respectively) and death among 6026 critically ill patients in intensive care units (ICUs). Patients were randomly assigned to intensive or conventional glucose control. We used Cox regression analysis with adjustment for treatment assignment and for baseline and </w:t>
      </w:r>
      <w:proofErr w:type="spellStart"/>
      <w:r>
        <w:rPr>
          <w:rFonts w:ascii="Times New Roman" w:hAnsi="Times New Roman" w:cs="Times New Roman"/>
          <w:color w:val="000000"/>
          <w:sz w:val="20"/>
          <w:szCs w:val="20"/>
        </w:rPr>
        <w:t>postrandomization</w:t>
      </w:r>
      <w:proofErr w:type="spellEnd"/>
      <w:r>
        <w:rPr>
          <w:rFonts w:ascii="Times New Roman" w:hAnsi="Times New Roman" w:cs="Times New Roman"/>
          <w:color w:val="000000"/>
          <w:sz w:val="20"/>
          <w:szCs w:val="20"/>
        </w:rPr>
        <w:t xml:space="preserve"> covariates.</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Follow-up data were available for 6026 patients: 2714 (45.0%) had moderate hypoglycemia, 2237 of whom (82.4%) were in the intensive-control group (i.e., 74.2% of the 3013 patients in the group), and 223 patients (3.7%) had severe hypoglycemia, 208 of whom (93.3%) were in the intensive-control group (i.e., 6.9% of the patients in this group). Of the 3089 patients who did not have hypoglycemia, 726 (23.5%) died, as compared with 774 of the 2714 with moderate hypoglycemia (28.5%) and 79 of the 223 with severe hypoglycemia (35.4%). The adjusted hazard ratios for death among patients with moderate or severe hypoglycemia, as compared with those without hypoglycemia, were 1.41 (95% confidence interval [CI], 1.21 to 1.62; P&lt;0.001) and 2.10 (95% CI, 1.59 to 2.77; P&lt;0.001), respectively. The association with death was increased among patients who had moderate hypoglycemia on more than 1 day (&gt;1 day vs. 1 day, P = 0.01), those who died from distributive (</w:t>
      </w:r>
      <w:proofErr w:type="spellStart"/>
      <w:r>
        <w:rPr>
          <w:rFonts w:ascii="Times New Roman" w:hAnsi="Times New Roman" w:cs="Times New Roman"/>
          <w:color w:val="000000"/>
          <w:sz w:val="20"/>
          <w:szCs w:val="20"/>
        </w:rPr>
        <w:t>vasodilated</w:t>
      </w:r>
      <w:proofErr w:type="spellEnd"/>
      <w:r>
        <w:rPr>
          <w:rFonts w:ascii="Times New Roman" w:hAnsi="Times New Roman" w:cs="Times New Roman"/>
          <w:color w:val="000000"/>
          <w:sz w:val="20"/>
          <w:szCs w:val="20"/>
        </w:rPr>
        <w:t>) shock (P&lt;0.001), and those who had severe hypoglycemia in the absence of insulin treatment (hazard ratio, 3.84; 95% CI, 2.37 to 6.23; P&lt;0.001).</w:t>
      </w:r>
    </w:p>
    <w:p w:rsidR="00DD1FD1" w:rsidRDefault="00DD1FD1" w:rsidP="00DD1FD1">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rsidR="00DD1FD1" w:rsidRDefault="00DD1FD1" w:rsidP="00DD1FD1">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 critically ill patients, intensive glucose control leads to moderate and severe hypoglycemia, both of which are associated with an increased risk of death. The association exhibits a dose–response relationship and is strongest for death from distributive shock. However, these data cannot prove a causal relationship.</w:t>
      </w:r>
    </w:p>
    <w:p w:rsidR="00DD1FD1" w:rsidRDefault="00DD1FD1" w:rsidP="00DD1FD1">
      <w:pPr>
        <w:widowControl w:val="0"/>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t>KEY POINTS</w:t>
      </w:r>
    </w:p>
    <w:p w:rsidR="00DD1FD1" w:rsidRPr="009140AF" w:rsidRDefault="008D2EEF" w:rsidP="00DD1FD1">
      <w:pPr>
        <w:pStyle w:val="ListParagraph"/>
        <w:widowControl w:val="0"/>
        <w:numPr>
          <w:ilvl w:val="0"/>
          <w:numId w:val="3"/>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 xml:space="preserve">Post hoc analysis of the NICE SUGAR study attempting to find a causal relationship between increased death and </w:t>
      </w:r>
      <w:r w:rsidR="009140AF">
        <w:rPr>
          <w:rFonts w:ascii="Times New Roman" w:hAnsi="Times New Roman" w:cs="Times New Roman"/>
          <w:color w:val="000000"/>
          <w:sz w:val="20"/>
          <w:szCs w:val="20"/>
        </w:rPr>
        <w:t>hypoglycemia</w:t>
      </w:r>
    </w:p>
    <w:p w:rsidR="009140AF" w:rsidRPr="009140AF" w:rsidRDefault="009140AF" w:rsidP="00DD1FD1">
      <w:pPr>
        <w:pStyle w:val="ListParagraph"/>
        <w:widowControl w:val="0"/>
        <w:numPr>
          <w:ilvl w:val="0"/>
          <w:numId w:val="3"/>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Significantly more likely to die if you have spontaneous hypoglycemia than insulin co-therapy</w:t>
      </w:r>
    </w:p>
    <w:p w:rsidR="009140AF" w:rsidRDefault="009140AF" w:rsidP="00DD1FD1">
      <w:pPr>
        <w:pStyle w:val="ListParagraph"/>
        <w:widowControl w:val="0"/>
        <w:numPr>
          <w:ilvl w:val="0"/>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Found increased risk of death with hypoglycemia, particularly in distributive shock</w:t>
      </w:r>
    </w:p>
    <w:p w:rsidR="009140AF" w:rsidRDefault="009140AF">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rsidR="009140AF" w:rsidRPr="009140AF" w:rsidRDefault="009140AF" w:rsidP="009140AF">
      <w:pPr>
        <w:widowControl w:val="0"/>
        <w:autoSpaceDE w:val="0"/>
        <w:autoSpaceDN w:val="0"/>
        <w:adjustRightInd w:val="0"/>
        <w:rPr>
          <w:rFonts w:ascii="Times New Roman" w:hAnsi="Times New Roman" w:cs="Times New Roman"/>
          <w:sz w:val="36"/>
          <w:szCs w:val="36"/>
        </w:rPr>
      </w:pPr>
      <w:r>
        <w:rPr>
          <w:rFonts w:ascii="Times New Roman" w:hAnsi="Times New Roman" w:cs="Times New Roman"/>
          <w:sz w:val="36"/>
          <w:szCs w:val="36"/>
        </w:rPr>
        <w:t>Pulmonary Arterial Enlargement and Acute Exacerbations of COPD</w:t>
      </w:r>
    </w:p>
    <w:p w:rsidR="009140AF" w:rsidRDefault="009140AF" w:rsidP="009140AF">
      <w:pPr>
        <w:widowControl w:val="0"/>
        <w:autoSpaceDE w:val="0"/>
        <w:autoSpaceDN w:val="0"/>
        <w:adjustRightInd w:val="0"/>
        <w:rPr>
          <w:rFonts w:ascii="Times New Roman" w:hAnsi="Times New Roman" w:cs="Times New Roman"/>
          <w:sz w:val="15"/>
          <w:szCs w:val="15"/>
        </w:rPr>
      </w:pPr>
      <w:r>
        <w:rPr>
          <w:rFonts w:ascii="Times New Roman" w:hAnsi="Times New Roman" w:cs="Times New Roman"/>
          <w:sz w:val="15"/>
          <w:szCs w:val="15"/>
        </w:rPr>
        <w:t>NEJM 367</w:t>
      </w:r>
      <w:proofErr w:type="gramStart"/>
      <w:r>
        <w:rPr>
          <w:rFonts w:ascii="Times New Roman" w:hAnsi="Times New Roman" w:cs="Times New Roman"/>
          <w:sz w:val="15"/>
          <w:szCs w:val="15"/>
        </w:rPr>
        <w:t>;10</w:t>
      </w:r>
      <w:proofErr w:type="gramEnd"/>
      <w:r>
        <w:rPr>
          <w:rFonts w:ascii="Times New Roman" w:hAnsi="Times New Roman" w:cs="Times New Roman"/>
          <w:sz w:val="15"/>
          <w:szCs w:val="15"/>
        </w:rPr>
        <w:t xml:space="preserve"> September 6, 2012</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Exacerbations of chronic obstructive pulmonary disease (COPD) are associated with accelerated loss of lung function and death. Identification of patients at risk for these events, particularly those requiring hospitalization, is of major importance. Severe pulmonary hypertension is an important complication of advanced COPD and predicts acute exacerbations, though pulmonary vascular abnormalities also occur early in the course of the disease. We hypothesized that a computed tomographic (CT) metric of pulmonary vascular disease (pulmonary artery enlargement, as determined by a ratio of the diameter of the pulmonary artery to the diameter of the aorta [PA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of &gt;1) would be associated with severe COPD exacerbations.</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rsidR="009140AF" w:rsidRP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We conducted a multicenter, observational trial that enrolled current and former smokers with COPD. We determined the association between a 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of more than 1 and a history at enrollment of severe exacerbations requiring hospitalization and then examined the usefulness of the ratio as a predictor of these events in a longitudinal follow-up of this cohort, as well as in an external validation cohort. We used logistic-regression and zero-inflated negative binomial regression analyses and adjusted for known risk factors for exacerbation.</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Multivariate logistic-regression analysis showed a significant association between a 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of more than 1 and a history of severe exacerbations at the time of enrollment in the trial (odds ratio, 4.78; 95% confidence interval [CI], 3.43 to 6.65; P&lt;0.001). A 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of more than 1 was also independently associated with an increased risk of future severe exacerbations in both the trial cohort (odds ratio, 3.44; 95% CI, 2.78 to 4.25; P&lt;0.001) and the external validation cohort (odds ratio, 2.80; 95% CI, 2.11 to 3.71; P&lt;0.001). In both cohorts, among all the variables analyzed, a 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of more than 1 had the strongest association with severe exacerbations.</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Pulmonary artery enlargement (a 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of &gt;1), as detected by CT, was associated with severe exacerbations of COPD.</w:t>
      </w:r>
    </w:p>
    <w:p w:rsidR="009140AF" w:rsidRDefault="00FD1BBD">
      <w:pPr>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t>KEY POINTS</w:t>
      </w:r>
    </w:p>
    <w:p w:rsidR="00FD1BBD" w:rsidRDefault="00FD1BBD" w:rsidP="00FD1BBD">
      <w:pPr>
        <w:pStyle w:val="ListParagraph"/>
        <w:numPr>
          <w:ilvl w:val="0"/>
          <w:numId w:val="7"/>
        </w:numPr>
        <w:rPr>
          <w:rFonts w:ascii="Times New Roman" w:hAnsi="Times New Roman" w:cs="Times New Roman"/>
          <w:color w:val="000000"/>
          <w:sz w:val="20"/>
          <w:szCs w:val="20"/>
        </w:rPr>
      </w:pPr>
      <w:r>
        <w:rPr>
          <w:rFonts w:ascii="Times New Roman" w:hAnsi="Times New Roman" w:cs="Times New Roman"/>
          <w:color w:val="000000"/>
          <w:sz w:val="20"/>
          <w:szCs w:val="20"/>
        </w:rPr>
        <w:t>PA</w:t>
      </w:r>
      <w:proofErr w:type="gramStart"/>
      <w:r>
        <w:rPr>
          <w:rFonts w:ascii="Times New Roman" w:hAnsi="Times New Roman" w:cs="Times New Roman"/>
          <w:color w:val="000000"/>
          <w:sz w:val="20"/>
          <w:szCs w:val="20"/>
        </w:rPr>
        <w:t>:A</w:t>
      </w:r>
      <w:proofErr w:type="gramEnd"/>
      <w:r>
        <w:rPr>
          <w:rFonts w:ascii="Times New Roman" w:hAnsi="Times New Roman" w:cs="Times New Roman"/>
          <w:color w:val="000000"/>
          <w:sz w:val="20"/>
          <w:szCs w:val="20"/>
        </w:rPr>
        <w:t xml:space="preserve"> ratio &gt; 1 was associated with future exacerbations of COPD</w:t>
      </w:r>
      <w:r w:rsidR="001C7D25">
        <w:rPr>
          <w:rFonts w:ascii="Times New Roman" w:hAnsi="Times New Roman" w:cs="Times New Roman"/>
          <w:color w:val="000000"/>
          <w:sz w:val="20"/>
          <w:szCs w:val="20"/>
        </w:rPr>
        <w:t>, female sex, black ethnicity, higher BMI, higher asthma rates, congestive heart failure, thromboembolic disease, sleep apnea, GERD, use of supplemental oxygen, poorer lung function, and more severe pulmonary symptoms</w:t>
      </w:r>
    </w:p>
    <w:p w:rsidR="001C7D25" w:rsidRPr="001C7D25" w:rsidRDefault="001C7D25" w:rsidP="001C7D25">
      <w:pPr>
        <w:ind w:left="360"/>
        <w:rPr>
          <w:rFonts w:ascii="Times New Roman" w:hAnsi="Times New Roman" w:cs="Times New Roman"/>
          <w:color w:val="000000"/>
          <w:sz w:val="20"/>
          <w:szCs w:val="20"/>
        </w:rPr>
      </w:pPr>
    </w:p>
    <w:p w:rsidR="00FD1BBD" w:rsidRDefault="00FD1BBD">
      <w:pPr>
        <w:rPr>
          <w:rFonts w:ascii="Times New Roman" w:hAnsi="Times New Roman" w:cs="Times New Roman"/>
          <w:color w:val="000000"/>
          <w:sz w:val="20"/>
          <w:szCs w:val="20"/>
        </w:rPr>
      </w:pPr>
    </w:p>
    <w:p w:rsidR="001C7D25" w:rsidRDefault="001C7D25">
      <w:pPr>
        <w:rPr>
          <w:rFonts w:ascii="Times New Roman" w:hAnsi="Times New Roman" w:cs="Times New Roman"/>
          <w:sz w:val="36"/>
          <w:szCs w:val="36"/>
        </w:rPr>
      </w:pPr>
      <w:r>
        <w:rPr>
          <w:rFonts w:ascii="Times New Roman" w:hAnsi="Times New Roman" w:cs="Times New Roman"/>
          <w:sz w:val="36"/>
          <w:szCs w:val="36"/>
        </w:rPr>
        <w:br w:type="page"/>
      </w:r>
    </w:p>
    <w:p w:rsidR="009140AF" w:rsidRDefault="009140AF" w:rsidP="009140AF">
      <w:pPr>
        <w:widowControl w:val="0"/>
        <w:autoSpaceDE w:val="0"/>
        <w:autoSpaceDN w:val="0"/>
        <w:adjustRightInd w:val="0"/>
        <w:rPr>
          <w:rFonts w:ascii="Times New Roman" w:hAnsi="Times New Roman" w:cs="Times New Roman"/>
          <w:sz w:val="15"/>
          <w:szCs w:val="15"/>
        </w:rPr>
      </w:pPr>
      <w:r>
        <w:rPr>
          <w:rFonts w:ascii="Times New Roman" w:hAnsi="Times New Roman" w:cs="Times New Roman"/>
          <w:sz w:val="36"/>
          <w:szCs w:val="36"/>
        </w:rPr>
        <w:t xml:space="preserve">Effects of </w:t>
      </w:r>
      <w:proofErr w:type="spellStart"/>
      <w:r>
        <w:rPr>
          <w:rFonts w:ascii="Times New Roman" w:hAnsi="Times New Roman" w:cs="Times New Roman"/>
          <w:sz w:val="36"/>
          <w:szCs w:val="36"/>
        </w:rPr>
        <w:t>Clopidogrel</w:t>
      </w:r>
      <w:proofErr w:type="spellEnd"/>
      <w:r>
        <w:rPr>
          <w:rFonts w:ascii="Times New Roman" w:hAnsi="Times New Roman" w:cs="Times New Roman"/>
          <w:sz w:val="36"/>
          <w:szCs w:val="36"/>
        </w:rPr>
        <w:t xml:space="preserve"> Added to Aspirin in Patients w/ Recent Lacunar </w:t>
      </w:r>
      <w:proofErr w:type="spellStart"/>
      <w:r>
        <w:rPr>
          <w:rFonts w:ascii="Times New Roman" w:hAnsi="Times New Roman" w:cs="Times New Roman"/>
          <w:sz w:val="36"/>
          <w:szCs w:val="36"/>
        </w:rPr>
        <w:t>Stroke</w:t>
      </w:r>
      <w:r>
        <w:rPr>
          <w:rFonts w:ascii="Times New Roman" w:hAnsi="Times New Roman" w:cs="Times New Roman"/>
          <w:sz w:val="15"/>
          <w:szCs w:val="15"/>
        </w:rPr>
        <w:t>n</w:t>
      </w:r>
      <w:proofErr w:type="spellEnd"/>
      <w:r>
        <w:rPr>
          <w:rFonts w:ascii="Times New Roman" w:hAnsi="Times New Roman" w:cs="Times New Roman"/>
          <w:sz w:val="15"/>
          <w:szCs w:val="15"/>
        </w:rPr>
        <w:t xml:space="preserve"> NEJM 367</w:t>
      </w:r>
      <w:proofErr w:type="gramStart"/>
      <w:r>
        <w:rPr>
          <w:rFonts w:ascii="Times New Roman" w:hAnsi="Times New Roman" w:cs="Times New Roman"/>
          <w:sz w:val="15"/>
          <w:szCs w:val="15"/>
        </w:rPr>
        <w:t>;9</w:t>
      </w:r>
      <w:proofErr w:type="gramEnd"/>
      <w:r>
        <w:rPr>
          <w:rFonts w:ascii="Times New Roman" w:hAnsi="Times New Roman" w:cs="Times New Roman"/>
          <w:sz w:val="15"/>
          <w:szCs w:val="15"/>
        </w:rPr>
        <w:t xml:space="preserve"> August 30, 2012</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Lacunar infarcts are a frequent type of stroke caused mainly by cerebral small-vessel disease. The effectiveness of antiplatelet therapy for secondary prevention has not been defined.</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We conducted a </w:t>
      </w:r>
      <w:proofErr w:type="gramStart"/>
      <w:r>
        <w:rPr>
          <w:rFonts w:ascii="Times New Roman" w:hAnsi="Times New Roman" w:cs="Times New Roman"/>
          <w:color w:val="000000"/>
          <w:sz w:val="20"/>
          <w:szCs w:val="20"/>
        </w:rPr>
        <w:t>double-blind</w:t>
      </w:r>
      <w:proofErr w:type="gramEnd"/>
      <w:r>
        <w:rPr>
          <w:rFonts w:ascii="Times New Roman" w:hAnsi="Times New Roman" w:cs="Times New Roman"/>
          <w:color w:val="000000"/>
          <w:sz w:val="20"/>
          <w:szCs w:val="20"/>
        </w:rPr>
        <w:t xml:space="preserve">, multicenter trial involving 3020 patients with recent symptomatic lacunar infarcts identified by magnetic resonance imaging. Patients were randomly assigned to receive 75 mg of </w:t>
      </w:r>
      <w:proofErr w:type="spellStart"/>
      <w:r>
        <w:rPr>
          <w:rFonts w:ascii="Times New Roman" w:hAnsi="Times New Roman" w:cs="Times New Roman"/>
          <w:color w:val="000000"/>
          <w:sz w:val="20"/>
          <w:szCs w:val="20"/>
        </w:rPr>
        <w:t>clopidogrel</w:t>
      </w:r>
      <w:proofErr w:type="spellEnd"/>
      <w:r>
        <w:rPr>
          <w:rFonts w:ascii="Times New Roman" w:hAnsi="Times New Roman" w:cs="Times New Roman"/>
          <w:color w:val="000000"/>
          <w:sz w:val="20"/>
          <w:szCs w:val="20"/>
        </w:rPr>
        <w:t xml:space="preserve"> or placebo daily; patients in both groups received 325 mg of aspirin daily. The primary outcome was any recurrent stroke, including ischemic stroke and intracranial hemorrhage.</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rsidR="009140AF" w:rsidRP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 xml:space="preserve">The participants had a mean age of 63 years, and 63% were men. After a mean follow-up of 3.4 years, the risk of recurrent stroke was not significantly reduced with aspirin and </w:t>
      </w:r>
      <w:proofErr w:type="spellStart"/>
      <w:r>
        <w:rPr>
          <w:rFonts w:ascii="Times New Roman" w:hAnsi="Times New Roman" w:cs="Times New Roman"/>
          <w:color w:val="000000"/>
          <w:sz w:val="20"/>
          <w:szCs w:val="20"/>
        </w:rPr>
        <w:t>clopidogrel</w:t>
      </w:r>
      <w:proofErr w:type="spellEnd"/>
      <w:r>
        <w:rPr>
          <w:rFonts w:ascii="Times New Roman" w:hAnsi="Times New Roman" w:cs="Times New Roman"/>
          <w:color w:val="000000"/>
          <w:sz w:val="20"/>
          <w:szCs w:val="20"/>
        </w:rPr>
        <w:t xml:space="preserve"> (dual antiplatelet therapy) (125 strokes; rate, 2.5% per year) as compared with aspirin alone (138 strokes, 2.7% per year) (hazard ratio, 0.92; 95% confidence interval [CI], 0.72 to 1.16), nor was the risk of recurrent ischemic stroke (hazard ratio, 0.82; 95% CI, 0.63 to 1.09) or disabling or fatal stroke (hazard ratio, 1.06; 95% CI, 0.69 to 1.64). The risk of major hemorrhage was almost doubled with dual antiplatelet therapy (105 hemorrhages, 2.1% per year) as compared with aspirin alone (56, 1.1% per year) (hazard ratio, 1.97; 95% CI, 1.41 to 2.71; P&lt;0.001). Among classifiable recurrent ischemic strokes, 71% (133 of 187) were lacunar strokes. </w:t>
      </w:r>
      <w:proofErr w:type="spellStart"/>
      <w:r>
        <w:rPr>
          <w:rFonts w:ascii="Times New Roman" w:hAnsi="Times New Roman" w:cs="Times New Roman"/>
          <w:color w:val="000000"/>
          <w:sz w:val="20"/>
          <w:szCs w:val="20"/>
        </w:rPr>
        <w:t>Allcause</w:t>
      </w:r>
      <w:proofErr w:type="spellEnd"/>
      <w:r>
        <w:rPr>
          <w:rFonts w:ascii="Times New Roman" w:hAnsi="Times New Roman" w:cs="Times New Roman"/>
          <w:color w:val="000000"/>
          <w:sz w:val="20"/>
          <w:szCs w:val="20"/>
        </w:rPr>
        <w:t xml:space="preserve"> mortality was increased among patients assigned to receive dual antiplatelet therapy (77 deaths in the group receiving aspirin alone vs. 113 in the group receiving dual antiplatelet therapy) (hazard ratio, 1.52; 95% CI, 1.14 to 2.04; P = 0.004); this difference was not accounted for by fatal hemorrhages (9 in the group receiving dual antiplatelet therapy vs. 4 in the group receiving aspirin alone).</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Among patients with recent lacunar strokes, the addition of </w:t>
      </w:r>
      <w:proofErr w:type="spellStart"/>
      <w:r>
        <w:rPr>
          <w:rFonts w:ascii="Times New Roman" w:hAnsi="Times New Roman" w:cs="Times New Roman"/>
          <w:color w:val="000000"/>
          <w:sz w:val="20"/>
          <w:szCs w:val="20"/>
        </w:rPr>
        <w:t>clopidogrel</w:t>
      </w:r>
      <w:proofErr w:type="spellEnd"/>
      <w:r>
        <w:rPr>
          <w:rFonts w:ascii="Times New Roman" w:hAnsi="Times New Roman" w:cs="Times New Roman"/>
          <w:color w:val="000000"/>
          <w:sz w:val="20"/>
          <w:szCs w:val="20"/>
        </w:rPr>
        <w:t xml:space="preserve"> to aspirin did not significantly reduce the risk of recurrent stroke and did significantly increase the risk of bleeding and death.</w:t>
      </w:r>
    </w:p>
    <w:p w:rsidR="002E7AA3" w:rsidRDefault="002E7AA3">
      <w:pPr>
        <w:rPr>
          <w:rFonts w:ascii="Times New Roman" w:hAnsi="Times New Roman" w:cs="Times New Roman"/>
          <w:color w:val="000000"/>
          <w:sz w:val="20"/>
          <w:szCs w:val="20"/>
        </w:rPr>
      </w:pPr>
      <w:r>
        <w:rPr>
          <w:rFonts w:ascii="Times New Roman" w:hAnsi="Times New Roman" w:cs="Times New Roman"/>
          <w:b/>
          <w:color w:val="000000"/>
          <w:sz w:val="20"/>
          <w:szCs w:val="20"/>
          <w:u w:val="single"/>
        </w:rPr>
        <w:t>KEY POINTS</w:t>
      </w:r>
    </w:p>
    <w:p w:rsidR="009140AF" w:rsidRDefault="00AE1ACE" w:rsidP="002E7AA3">
      <w:pPr>
        <w:pStyle w:val="ListParagraph"/>
        <w:numPr>
          <w:ilvl w:val="0"/>
          <w:numId w:val="6"/>
        </w:numPr>
        <w:ind w:left="720"/>
        <w:rPr>
          <w:rFonts w:ascii="Times New Roman" w:hAnsi="Times New Roman" w:cs="Times New Roman"/>
          <w:color w:val="000000"/>
          <w:sz w:val="20"/>
          <w:szCs w:val="20"/>
        </w:rPr>
      </w:pPr>
      <w:r>
        <w:rPr>
          <w:rFonts w:ascii="Times New Roman" w:hAnsi="Times New Roman" w:cs="Times New Roman"/>
          <w:color w:val="000000"/>
          <w:sz w:val="20"/>
          <w:szCs w:val="20"/>
        </w:rPr>
        <w:t>Dual platelet therapy increases risk of death and had no significant reduction in the risk of recurrent stroke when compared to aspirin therapy alone</w:t>
      </w:r>
    </w:p>
    <w:p w:rsidR="00AE1ACE" w:rsidRPr="002E7AA3" w:rsidRDefault="00AE1ACE" w:rsidP="002E7AA3">
      <w:pPr>
        <w:pStyle w:val="ListParagraph"/>
        <w:numPr>
          <w:ilvl w:val="0"/>
          <w:numId w:val="6"/>
        </w:numPr>
        <w:ind w:left="72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Nonsignificant</w:t>
      </w:r>
      <w:proofErr w:type="spellEnd"/>
      <w:r>
        <w:rPr>
          <w:rFonts w:ascii="Times New Roman" w:hAnsi="Times New Roman" w:cs="Times New Roman"/>
          <w:color w:val="000000"/>
          <w:sz w:val="20"/>
          <w:szCs w:val="20"/>
        </w:rPr>
        <w:t xml:space="preserve"> decrease of risk of ischemic event was offset by a </w:t>
      </w:r>
      <w:proofErr w:type="spellStart"/>
      <w:r>
        <w:rPr>
          <w:rFonts w:ascii="Times New Roman" w:hAnsi="Times New Roman" w:cs="Times New Roman"/>
          <w:color w:val="000000"/>
          <w:sz w:val="20"/>
          <w:szCs w:val="20"/>
        </w:rPr>
        <w:t>nonsignificant</w:t>
      </w:r>
      <w:proofErr w:type="spellEnd"/>
      <w:r>
        <w:rPr>
          <w:rFonts w:ascii="Times New Roman" w:hAnsi="Times New Roman" w:cs="Times New Roman"/>
          <w:color w:val="000000"/>
          <w:sz w:val="20"/>
          <w:szCs w:val="20"/>
        </w:rPr>
        <w:t xml:space="preserve"> increase in risk of cerebral hemorrhage</w:t>
      </w:r>
      <w:bookmarkStart w:id="0" w:name="_GoBack"/>
      <w:bookmarkEnd w:id="0"/>
    </w:p>
    <w:p w:rsidR="001C7D25" w:rsidRDefault="001C7D25">
      <w:pPr>
        <w:rPr>
          <w:rFonts w:ascii="Times New Roman" w:hAnsi="Times New Roman" w:cs="Times New Roman"/>
          <w:sz w:val="36"/>
          <w:szCs w:val="36"/>
        </w:rPr>
      </w:pPr>
      <w:r>
        <w:rPr>
          <w:rFonts w:ascii="Times New Roman" w:hAnsi="Times New Roman" w:cs="Times New Roman"/>
          <w:sz w:val="36"/>
          <w:szCs w:val="36"/>
        </w:rPr>
        <w:br w:type="page"/>
      </w:r>
    </w:p>
    <w:p w:rsidR="009140AF" w:rsidRDefault="009140AF" w:rsidP="009140AF">
      <w:pPr>
        <w:widowControl w:val="0"/>
        <w:autoSpaceDE w:val="0"/>
        <w:autoSpaceDN w:val="0"/>
        <w:adjustRightInd w:val="0"/>
        <w:rPr>
          <w:rFonts w:ascii="Times New Roman" w:hAnsi="Times New Roman" w:cs="Times New Roman"/>
          <w:sz w:val="36"/>
          <w:szCs w:val="36"/>
        </w:rPr>
      </w:pPr>
      <w:proofErr w:type="spellStart"/>
      <w:r>
        <w:rPr>
          <w:rFonts w:ascii="Times New Roman" w:hAnsi="Times New Roman" w:cs="Times New Roman"/>
          <w:sz w:val="36"/>
          <w:szCs w:val="36"/>
        </w:rPr>
        <w:t>Hydroxyethyl</w:t>
      </w:r>
      <w:proofErr w:type="spellEnd"/>
      <w:r>
        <w:rPr>
          <w:rFonts w:ascii="Times New Roman" w:hAnsi="Times New Roman" w:cs="Times New Roman"/>
          <w:sz w:val="36"/>
          <w:szCs w:val="36"/>
        </w:rPr>
        <w:t xml:space="preserve"> Starch 130/0.42 versus Ringer’s Acetate in Severe Sepsis</w:t>
      </w:r>
    </w:p>
    <w:p w:rsidR="009140AF" w:rsidRDefault="009140AF" w:rsidP="009140AF">
      <w:pPr>
        <w:widowControl w:val="0"/>
        <w:autoSpaceDE w:val="0"/>
        <w:autoSpaceDN w:val="0"/>
        <w:adjustRightInd w:val="0"/>
        <w:rPr>
          <w:rFonts w:ascii="Times New Roman" w:hAnsi="Times New Roman" w:cs="Times New Roman"/>
          <w:sz w:val="15"/>
          <w:szCs w:val="15"/>
        </w:rPr>
      </w:pPr>
      <w:r>
        <w:rPr>
          <w:rFonts w:ascii="Times New Roman" w:hAnsi="Times New Roman" w:cs="Times New Roman"/>
          <w:sz w:val="15"/>
          <w:szCs w:val="15"/>
        </w:rPr>
        <w:t>NEJM 367</w:t>
      </w:r>
      <w:proofErr w:type="gramStart"/>
      <w:r>
        <w:rPr>
          <w:rFonts w:ascii="Times New Roman" w:hAnsi="Times New Roman" w:cs="Times New Roman"/>
          <w:sz w:val="15"/>
          <w:szCs w:val="15"/>
        </w:rPr>
        <w:t>;2</w:t>
      </w:r>
      <w:proofErr w:type="gramEnd"/>
      <w:r>
        <w:rPr>
          <w:rFonts w:ascii="Times New Roman" w:hAnsi="Times New Roman" w:cs="Times New Roman"/>
          <w:sz w:val="15"/>
          <w:szCs w:val="15"/>
        </w:rPr>
        <w:t xml:space="preserve"> July 12, 2012</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rsidR="009140AF" w:rsidRDefault="009140AF" w:rsidP="009140AF">
      <w:pPr>
        <w:widowControl w:val="0"/>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Hydroxyethyl</w:t>
      </w:r>
      <w:proofErr w:type="spellEnd"/>
      <w:r>
        <w:rPr>
          <w:rFonts w:ascii="Times New Roman" w:hAnsi="Times New Roman" w:cs="Times New Roman"/>
          <w:color w:val="000000"/>
          <w:sz w:val="20"/>
          <w:szCs w:val="20"/>
        </w:rPr>
        <w:t xml:space="preserve"> starch (HES) is widely used for fluid resuscitation in intensive care units (ICUs), but its safety and efficacy have not been established in patients with severe sepsis.</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 this multicenter, parallel-group, blinded trial, we randomly assigned patients with severe sepsis to fluid resuscitation in the ICU with either 6% HES 130/0.42 (</w:t>
      </w:r>
      <w:proofErr w:type="spellStart"/>
      <w:r>
        <w:rPr>
          <w:rFonts w:ascii="Times New Roman" w:hAnsi="Times New Roman" w:cs="Times New Roman"/>
          <w:color w:val="000000"/>
          <w:sz w:val="20"/>
          <w:szCs w:val="20"/>
        </w:rPr>
        <w:t>Tetraspan</w:t>
      </w:r>
      <w:proofErr w:type="spellEnd"/>
      <w:r>
        <w:rPr>
          <w:rFonts w:ascii="Times New Roman" w:hAnsi="Times New Roman" w:cs="Times New Roman"/>
          <w:color w:val="000000"/>
          <w:sz w:val="20"/>
          <w:szCs w:val="20"/>
        </w:rPr>
        <w:t>) or Ringer’s acetate at a dose of up to 33 ml per kilogram of ideal body weight per day. The primary outcome measure was either death or end-stage kidney failure (dependence on dialysis) at 90 days after randomization.</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Of the 804 patients who underwent randomization, 798 were included in the modified intention-to-treat population. The two intervention groups had similar baseline characteristics. At 90 days after randomization, 201 of 398 patients (51%) assigned to HES 130/0.42 had died, as compared with 172 of 400 patients (43%) assigned to Ringer’s acetate (relative risk, 1.17; 95% confidence interval [CI], 1.01 to 1.36; P = 0.03); 1 patient in each group had end-stage kidney failure. In the 90-day period, 87 patients (22%) assigned to HES 130/0.42 were treated with renal-replacement therapy versus 65 patients (16%) assigned to Ringer’s acetate (relative risk, 1.35; 95% CI, 1.01 to 1.80; P = 0.04), and 38 patients (10%) and 25 patients (6%), respectively, had severe bleeding (relative risk, 1.52; 95% CI, 0.94 to 2.48; P = 0.09). The results were supported by multivariate analyses, with adjustment for known risk factors for death or acute kidney injury at baseline.</w:t>
      </w:r>
    </w:p>
    <w:p w:rsidR="009140AF" w:rsidRDefault="009140AF" w:rsidP="009140AF">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rsidR="009140AF" w:rsidRDefault="009140AF"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Patients with severe sepsis assigned to fluid resuscitation with HES 130/0.42 had an increased risk of death at day 90 and were more likely to require renal-replacement therapy, as compared with those receiving Ringer’s acetate.</w:t>
      </w:r>
    </w:p>
    <w:p w:rsidR="00AD7260" w:rsidRDefault="00AD7260" w:rsidP="009140A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KEY POINTS</w:t>
      </w:r>
    </w:p>
    <w:p w:rsidR="00AD7260" w:rsidRDefault="00AD7260" w:rsidP="00AD7260">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Significantly higher death and dependence on dialysis in patients receiving HES compared to ringers acetate</w:t>
      </w:r>
    </w:p>
    <w:p w:rsidR="00AD7260" w:rsidRDefault="00AD7260" w:rsidP="00AD7260">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More use of RRT, severe bleeding, and less days alive w/out RRT in HES group compared to ringers acetate</w:t>
      </w:r>
    </w:p>
    <w:p w:rsidR="00AD7260" w:rsidRDefault="00AD7260" w:rsidP="00AD7260">
      <w:pPr>
        <w:widowControl w:val="0"/>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t>QUESTIONS</w:t>
      </w:r>
    </w:p>
    <w:p w:rsidR="00AD7260" w:rsidRDefault="00AD7260" w:rsidP="00AD7260">
      <w:pPr>
        <w:pStyle w:val="ListParagraph"/>
        <w:widowControl w:val="0"/>
        <w:numPr>
          <w:ilvl w:val="0"/>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Substitution ratio in regards to colloid solutions refers to </w:t>
      </w:r>
    </w:p>
    <w:p w:rsidR="00AD7260" w:rsidRDefault="00AD7260" w:rsidP="00AD7260">
      <w:pPr>
        <w:pStyle w:val="ListParagraph"/>
        <w:widowControl w:val="0"/>
        <w:numPr>
          <w:ilvl w:val="1"/>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The number of sodium ions per </w:t>
      </w:r>
      <w:proofErr w:type="spellStart"/>
      <w:r>
        <w:rPr>
          <w:rFonts w:ascii="Times New Roman" w:hAnsi="Times New Roman" w:cs="Times New Roman"/>
          <w:color w:val="000000"/>
          <w:sz w:val="20"/>
          <w:szCs w:val="20"/>
        </w:rPr>
        <w:t>hydroxyethyl</w:t>
      </w:r>
      <w:proofErr w:type="spellEnd"/>
      <w:r>
        <w:rPr>
          <w:rFonts w:ascii="Times New Roman" w:hAnsi="Times New Roman" w:cs="Times New Roman"/>
          <w:color w:val="000000"/>
          <w:sz w:val="20"/>
          <w:szCs w:val="20"/>
        </w:rPr>
        <w:t xml:space="preserve"> group</w:t>
      </w:r>
    </w:p>
    <w:p w:rsidR="00AD7260" w:rsidRPr="00AD7260" w:rsidRDefault="00AD7260" w:rsidP="00AD7260">
      <w:pPr>
        <w:pStyle w:val="ListParagraph"/>
        <w:widowControl w:val="0"/>
        <w:numPr>
          <w:ilvl w:val="1"/>
          <w:numId w:val="5"/>
        </w:numPr>
        <w:autoSpaceDE w:val="0"/>
        <w:autoSpaceDN w:val="0"/>
        <w:adjustRightInd w:val="0"/>
        <w:rPr>
          <w:rFonts w:ascii="Times New Roman" w:hAnsi="Times New Roman" w:cs="Times New Roman"/>
          <w:i/>
          <w:color w:val="000000"/>
          <w:sz w:val="20"/>
          <w:szCs w:val="20"/>
        </w:rPr>
      </w:pPr>
      <w:r w:rsidRPr="00AD7260">
        <w:rPr>
          <w:rFonts w:ascii="Times New Roman" w:hAnsi="Times New Roman" w:cs="Times New Roman"/>
          <w:i/>
          <w:color w:val="000000"/>
          <w:sz w:val="20"/>
          <w:szCs w:val="20"/>
        </w:rPr>
        <w:t xml:space="preserve">The number of </w:t>
      </w:r>
      <w:proofErr w:type="spellStart"/>
      <w:r w:rsidRPr="00AD7260">
        <w:rPr>
          <w:rFonts w:ascii="Times New Roman" w:hAnsi="Times New Roman" w:cs="Times New Roman"/>
          <w:i/>
          <w:color w:val="000000"/>
          <w:sz w:val="20"/>
          <w:szCs w:val="20"/>
        </w:rPr>
        <w:t>hydroxyethyl</w:t>
      </w:r>
      <w:proofErr w:type="spellEnd"/>
      <w:r w:rsidRPr="00AD7260">
        <w:rPr>
          <w:rFonts w:ascii="Times New Roman" w:hAnsi="Times New Roman" w:cs="Times New Roman"/>
          <w:i/>
          <w:color w:val="000000"/>
          <w:sz w:val="20"/>
          <w:szCs w:val="20"/>
        </w:rPr>
        <w:t xml:space="preserve"> groups per glucose molecule</w:t>
      </w:r>
    </w:p>
    <w:p w:rsidR="00AD7260" w:rsidRDefault="00AD7260" w:rsidP="00AD7260">
      <w:pPr>
        <w:pStyle w:val="ListParagraph"/>
        <w:widowControl w:val="0"/>
        <w:numPr>
          <w:ilvl w:val="1"/>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The number of </w:t>
      </w:r>
      <w:proofErr w:type="spellStart"/>
      <w:r>
        <w:rPr>
          <w:rFonts w:ascii="Times New Roman" w:hAnsi="Times New Roman" w:cs="Times New Roman"/>
          <w:color w:val="000000"/>
          <w:sz w:val="20"/>
          <w:szCs w:val="20"/>
        </w:rPr>
        <w:t>hydroxyethyl</w:t>
      </w:r>
      <w:proofErr w:type="spellEnd"/>
      <w:r>
        <w:rPr>
          <w:rFonts w:ascii="Times New Roman" w:hAnsi="Times New Roman" w:cs="Times New Roman"/>
          <w:color w:val="000000"/>
          <w:sz w:val="20"/>
          <w:szCs w:val="20"/>
        </w:rPr>
        <w:t xml:space="preserve"> groups per acetate ion</w:t>
      </w:r>
    </w:p>
    <w:p w:rsidR="00AD7260" w:rsidRDefault="00AD7260" w:rsidP="00AD7260">
      <w:pPr>
        <w:pStyle w:val="ListParagraph"/>
        <w:widowControl w:val="0"/>
        <w:numPr>
          <w:ilvl w:val="1"/>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 number of glucose molecules per sodium ion</w:t>
      </w:r>
    </w:p>
    <w:p w:rsidR="00AD7260" w:rsidRPr="00AD7260" w:rsidRDefault="00AD7260" w:rsidP="00AD7260">
      <w:pPr>
        <w:pStyle w:val="ListParagraph"/>
        <w:widowControl w:val="0"/>
        <w:numPr>
          <w:ilvl w:val="0"/>
          <w:numId w:val="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w:t>
      </w:r>
      <w:r w:rsidRPr="00AD7260">
        <w:rPr>
          <w:rFonts w:ascii="Times New Roman" w:hAnsi="Times New Roman" w:cs="Times New Roman"/>
          <w:i/>
          <w:color w:val="000000"/>
          <w:sz w:val="20"/>
          <w:szCs w:val="20"/>
        </w:rPr>
        <w:t>F</w:t>
      </w:r>
      <w:r>
        <w:rPr>
          <w:rFonts w:ascii="Times New Roman" w:hAnsi="Times New Roman" w:cs="Times New Roman"/>
          <w:color w:val="000000"/>
          <w:sz w:val="20"/>
          <w:szCs w:val="20"/>
        </w:rPr>
        <w:t xml:space="preserve"> Based on this study, the patients receiving HES compounds received significantly lower daily fluid volumes as compared to ringers acetate</w:t>
      </w:r>
    </w:p>
    <w:sectPr w:rsidR="00AD7260" w:rsidRPr="00AD7260" w:rsidSect="00DD1FD1">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C060C"/>
    <w:multiLevelType w:val="hybridMultilevel"/>
    <w:tmpl w:val="3D96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7A1A1E"/>
    <w:multiLevelType w:val="hybridMultilevel"/>
    <w:tmpl w:val="735A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2B5489"/>
    <w:multiLevelType w:val="hybridMultilevel"/>
    <w:tmpl w:val="C1AECE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4FD970F5"/>
    <w:multiLevelType w:val="hybridMultilevel"/>
    <w:tmpl w:val="774C1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7A11CC"/>
    <w:multiLevelType w:val="hybridMultilevel"/>
    <w:tmpl w:val="DF16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123219"/>
    <w:multiLevelType w:val="hybridMultilevel"/>
    <w:tmpl w:val="68EC7E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7C05B5"/>
    <w:multiLevelType w:val="hybridMultilevel"/>
    <w:tmpl w:val="23307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FD1"/>
    <w:rsid w:val="000B5845"/>
    <w:rsid w:val="001C7D25"/>
    <w:rsid w:val="002E7AA3"/>
    <w:rsid w:val="006555A8"/>
    <w:rsid w:val="008D2EEF"/>
    <w:rsid w:val="009140AF"/>
    <w:rsid w:val="00AD7260"/>
    <w:rsid w:val="00AE1ACE"/>
    <w:rsid w:val="00D27818"/>
    <w:rsid w:val="00DD1FD1"/>
    <w:rsid w:val="00FD1BB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63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FD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1878</Words>
  <Characters>10710</Characters>
  <Application>Microsoft Macintosh Word</Application>
  <DocSecurity>0</DocSecurity>
  <Lines>89</Lines>
  <Paragraphs>25</Paragraphs>
  <ScaleCrop>false</ScaleCrop>
  <Company>Animal Medical Center</Company>
  <LinksUpToDate>false</LinksUpToDate>
  <CharactersWithSpaces>12563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1</cp:revision>
  <dcterms:created xsi:type="dcterms:W3CDTF">2012-10-04T00:23:00Z</dcterms:created>
  <dcterms:modified xsi:type="dcterms:W3CDTF">2012-10-04T02:50:00Z</dcterms:modified>
</cp:coreProperties>
</file>