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597" w:rsidRDefault="007A4382">
      <w:r>
        <w:rPr>
          <w:noProof/>
        </w:rPr>
        <w:drawing>
          <wp:inline distT="0" distB="0" distL="0" distR="0">
            <wp:extent cx="7223760" cy="1383273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138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19675" cy="209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382" w:rsidRDefault="007A4382" w:rsidP="007A4382">
      <w:pPr>
        <w:autoSpaceDE w:val="0"/>
        <w:autoSpaceDN w:val="0"/>
        <w:adjustRightInd w:val="0"/>
        <w:spacing w:after="0" w:line="240" w:lineRule="auto"/>
        <w:rPr>
          <w:rFonts w:ascii="OTNEJMScalaSansSmallLFCap-Bold" w:hAnsi="OTNEJMScalaSansSmallLFCap-Bold" w:cs="OTNEJMScalaSansSmallLFCap-Bold"/>
          <w:b/>
          <w:bCs/>
          <w:color w:val="EE1D24"/>
          <w:sz w:val="18"/>
          <w:szCs w:val="18"/>
        </w:rPr>
      </w:pPr>
      <w:r>
        <w:rPr>
          <w:rFonts w:ascii="OTNEJMScalaSansSmallLFCap-Bold" w:hAnsi="OTNEJMScalaSansSmallLFCap-Bold" w:cs="OTNEJMScalaSansSmallLFCap-Bold"/>
          <w:b/>
          <w:bCs/>
          <w:color w:val="EE1D24"/>
          <w:sz w:val="18"/>
          <w:szCs w:val="18"/>
        </w:rPr>
        <w:t>Background</w:t>
      </w:r>
    </w:p>
    <w:p w:rsidR="007A4382" w:rsidRDefault="007A4382" w:rsidP="007A4382">
      <w:pPr>
        <w:autoSpaceDE w:val="0"/>
        <w:autoSpaceDN w:val="0"/>
        <w:adjustRightInd w:val="0"/>
        <w:spacing w:after="0" w:line="240" w:lineRule="auto"/>
        <w:rPr>
          <w:rFonts w:ascii="OTNEJMQuadraat" w:eastAsia="OTNEJMQuadraat" w:hAnsi="OTNEJMScalaSansSmallLFCap-Bold" w:cs="OTNEJMQuadraat"/>
          <w:color w:val="000000"/>
          <w:sz w:val="20"/>
          <w:szCs w:val="20"/>
        </w:rPr>
      </w:pP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The safety and efficacy of </w:t>
      </w:r>
      <w:proofErr w:type="spellStart"/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hydroxyethyl</w:t>
      </w:r>
      <w:proofErr w:type="spellEnd"/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 starch (HES) f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or fluid resuscitation have not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been fully evaluated, and adverse effects of HES on s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urvival and renal function have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been reported.</w:t>
      </w:r>
    </w:p>
    <w:p w:rsidR="007A4382" w:rsidRDefault="007A4382" w:rsidP="007A4382">
      <w:pPr>
        <w:autoSpaceDE w:val="0"/>
        <w:autoSpaceDN w:val="0"/>
        <w:adjustRightInd w:val="0"/>
        <w:spacing w:after="0" w:line="240" w:lineRule="auto"/>
        <w:rPr>
          <w:rFonts w:ascii="OTNEJMScalaSansSmallLFCap-Bold" w:hAnsi="OTNEJMScalaSansSmallLFCap-Bold" w:cs="OTNEJMScalaSansSmallLFCap-Bold"/>
          <w:b/>
          <w:bCs/>
          <w:color w:val="EE1D24"/>
          <w:sz w:val="18"/>
          <w:szCs w:val="18"/>
        </w:rPr>
      </w:pPr>
      <w:r>
        <w:rPr>
          <w:rFonts w:ascii="OTNEJMScalaSansSmallLFCap-Bold" w:hAnsi="OTNEJMScalaSansSmallLFCap-Bold" w:cs="OTNEJMScalaSansSmallLFCap-Bold"/>
          <w:b/>
          <w:bCs/>
          <w:color w:val="EE1D24"/>
          <w:sz w:val="18"/>
          <w:szCs w:val="18"/>
        </w:rPr>
        <w:t>Methods</w:t>
      </w:r>
    </w:p>
    <w:p w:rsidR="007A4382" w:rsidRDefault="007A4382" w:rsidP="007A4382">
      <w:pPr>
        <w:autoSpaceDE w:val="0"/>
        <w:autoSpaceDN w:val="0"/>
        <w:adjustRightInd w:val="0"/>
        <w:spacing w:after="0" w:line="240" w:lineRule="auto"/>
        <w:rPr>
          <w:rFonts w:ascii="OTNEJMQuadraat" w:eastAsia="OTNEJMQuadraat" w:hAnsi="OTNEJMScalaSansSmallLFCap-Bold" w:cs="OTNEJMQuadraat"/>
          <w:color w:val="000000"/>
          <w:sz w:val="20"/>
          <w:szCs w:val="20"/>
        </w:rPr>
      </w:pP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We randomly assigned 7000 patients who had bee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n admitted to an intensive care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unit (ICU) in a 1:1 ratio to receive either 6% HES wi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th a molecular weight of 130 </w:t>
      </w:r>
      <w:proofErr w:type="spellStart"/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kD</w:t>
      </w:r>
      <w:proofErr w:type="spellEnd"/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and a molar substitution ratio of 0.4 (130/0.4, </w:t>
      </w:r>
      <w:proofErr w:type="spellStart"/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Volu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ven</w:t>
      </w:r>
      <w:proofErr w:type="spellEnd"/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) in 0.9% sodium chloride or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0.9% sodium chloride (saline) for all fluid resuscitat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ion until ICU discharge, death,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or 90 days after randomization. The primary ou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tcome was death within 90 days.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Secondary outcomes included acute kidney injury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 and failure and treatment with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renal-replacement therapy.</w:t>
      </w:r>
    </w:p>
    <w:p w:rsidR="007A4382" w:rsidRDefault="007A4382" w:rsidP="007A4382">
      <w:pPr>
        <w:autoSpaceDE w:val="0"/>
        <w:autoSpaceDN w:val="0"/>
        <w:adjustRightInd w:val="0"/>
        <w:spacing w:after="0" w:line="240" w:lineRule="auto"/>
        <w:rPr>
          <w:rFonts w:ascii="OTNEJMScalaSansSmallLFCap-Bold" w:hAnsi="OTNEJMScalaSansSmallLFCap-Bold" w:cs="OTNEJMScalaSansSmallLFCap-Bold"/>
          <w:b/>
          <w:bCs/>
          <w:color w:val="EE1D24"/>
          <w:sz w:val="18"/>
          <w:szCs w:val="18"/>
        </w:rPr>
      </w:pPr>
      <w:r>
        <w:rPr>
          <w:rFonts w:ascii="OTNEJMScalaSansSmallLFCap-Bold" w:hAnsi="OTNEJMScalaSansSmallLFCap-Bold" w:cs="OTNEJMScalaSansSmallLFCap-Bold"/>
          <w:b/>
          <w:bCs/>
          <w:color w:val="EE1D24"/>
          <w:sz w:val="18"/>
          <w:szCs w:val="18"/>
        </w:rPr>
        <w:t>Results</w:t>
      </w:r>
    </w:p>
    <w:p w:rsidR="007A4382" w:rsidRDefault="007A4382" w:rsidP="007A4382">
      <w:pPr>
        <w:autoSpaceDE w:val="0"/>
        <w:autoSpaceDN w:val="0"/>
        <w:adjustRightInd w:val="0"/>
        <w:spacing w:after="0" w:line="240" w:lineRule="auto"/>
        <w:rPr>
          <w:rFonts w:ascii="OTNEJMQuadraat" w:eastAsia="OTNEJMQuadraat" w:hAnsi="OTNEJMScalaSansSmallLFCap-Bold" w:cs="OTNEJMQuadraat"/>
          <w:color w:val="000000"/>
          <w:sz w:val="20"/>
          <w:szCs w:val="20"/>
        </w:rPr>
      </w:pP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A total of 597 of 3315 patients (18.0%) in the HE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S group and 566 of 3336 (17.0%)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in the saline group died (relative risk in the HES group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, 1.06; 95% confidence interval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[CI], 0.96 to 1.18; P = 0.26). There was no significant difference in mort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ality in six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predefined subgroups. Renal-replacement therapy w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as used in 235 of 3352 patients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(7.0%) in the HES group and 196 of 3375 (5.8%) in t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he saline group (relative risk,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1.21; 95% CI, 1.00 to 1.45; P = 0.04). In the HES and saline groups, renal inju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ry occurred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in 34.6% and 38.0% of patients, respectively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 (P = 0.005), and renal failure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occurred in 10.4% and 9.2% of patients, respectively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 (P = 0.12). HES was associated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with significantly more adverse events (5.3% vs. 2.8%, P&lt;0.001).</w:t>
      </w:r>
    </w:p>
    <w:p w:rsidR="007A4382" w:rsidRDefault="007A4382" w:rsidP="007A4382">
      <w:pPr>
        <w:autoSpaceDE w:val="0"/>
        <w:autoSpaceDN w:val="0"/>
        <w:adjustRightInd w:val="0"/>
        <w:spacing w:after="0" w:line="240" w:lineRule="auto"/>
        <w:rPr>
          <w:rFonts w:ascii="OTNEJMScalaSansSmallLFCap-Bold" w:hAnsi="OTNEJMScalaSansSmallLFCap-Bold" w:cs="OTNEJMScalaSansSmallLFCap-Bold"/>
          <w:b/>
          <w:bCs/>
          <w:color w:val="EE1D24"/>
          <w:sz w:val="18"/>
          <w:szCs w:val="18"/>
        </w:rPr>
      </w:pPr>
      <w:r>
        <w:rPr>
          <w:rFonts w:ascii="OTNEJMScalaSansSmallLFCap-Bold" w:hAnsi="OTNEJMScalaSansSmallLFCap-Bold" w:cs="OTNEJMScalaSansSmallLFCap-Bold"/>
          <w:b/>
          <w:bCs/>
          <w:color w:val="EE1D24"/>
          <w:sz w:val="18"/>
          <w:szCs w:val="18"/>
        </w:rPr>
        <w:t>Conclusions</w:t>
      </w:r>
    </w:p>
    <w:p w:rsidR="007A4382" w:rsidRDefault="007A4382" w:rsidP="007A4382">
      <w:pPr>
        <w:autoSpaceDE w:val="0"/>
        <w:autoSpaceDN w:val="0"/>
        <w:adjustRightInd w:val="0"/>
        <w:spacing w:after="0" w:line="240" w:lineRule="auto"/>
        <w:rPr>
          <w:rFonts w:ascii="OTNEJMQuadraat" w:eastAsia="OTNEJMQuadraat" w:hAnsi="OTNEJMScalaSansSmallLFCap-Bold" w:cs="OTNEJMQuadraat"/>
          <w:color w:val="000000"/>
          <w:sz w:val="20"/>
          <w:szCs w:val="20"/>
        </w:rPr>
      </w:pP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In patients in the ICU, there was no significant differe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nce in 90-day mortality between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patients resuscitated with 6% HES (130/0.4) or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 saline. However, more patients </w:t>
      </w: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who received resuscitation with HES were treated with renal-replacement therapy.</w:t>
      </w:r>
    </w:p>
    <w:p w:rsidR="007A4382" w:rsidRDefault="007A4382" w:rsidP="007A4382">
      <w:pPr>
        <w:autoSpaceDE w:val="0"/>
        <w:autoSpaceDN w:val="0"/>
        <w:adjustRightInd w:val="0"/>
        <w:spacing w:after="0" w:line="240" w:lineRule="auto"/>
        <w:rPr>
          <w:rFonts w:ascii="OTNEJMQuadraat" w:eastAsia="OTNEJMQuadraat" w:hAnsi="OTNEJMScalaSansSmallLFCap-Bold" w:cs="OTNEJMQuadraat"/>
          <w:b/>
          <w:color w:val="000000"/>
          <w:sz w:val="20"/>
          <w:szCs w:val="20"/>
          <w:u w:val="single"/>
        </w:rPr>
      </w:pPr>
      <w:r>
        <w:rPr>
          <w:rFonts w:ascii="OTNEJMQuadraat" w:eastAsia="OTNEJMQuadraat" w:hAnsi="OTNEJMScalaSansSmallLFCap-Bold" w:cs="OTNEJMQuadraat"/>
          <w:b/>
          <w:color w:val="000000"/>
          <w:sz w:val="20"/>
          <w:szCs w:val="20"/>
          <w:u w:val="single"/>
        </w:rPr>
        <w:t>Key Points</w:t>
      </w:r>
    </w:p>
    <w:p w:rsidR="007A4382" w:rsidRDefault="007A4382" w:rsidP="007A43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OTNEJMQuadraat" w:eastAsia="OTNEJMQuadraat" w:hAnsi="OTNEJMScalaSansSmallLFCap-Bold" w:cs="OTNEJMQuadraat"/>
          <w:color w:val="000000"/>
          <w:sz w:val="20"/>
          <w:szCs w:val="20"/>
        </w:rPr>
      </w:pP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No difference between groups in 90 day </w:t>
      </w:r>
      <w:proofErr w:type="spellStart"/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all cause</w:t>
      </w:r>
      <w:proofErr w:type="spellEnd"/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 mortality or in subgroup analysis</w:t>
      </w:r>
    </w:p>
    <w:p w:rsidR="007A4382" w:rsidRDefault="007A4382" w:rsidP="007A43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OTNEJMQuadraat" w:eastAsia="OTNEJMQuadraat" w:hAnsi="OTNEJMScalaSansSmallLFCap-Bold" w:cs="OTNEJMQuadraat"/>
          <w:color w:val="000000"/>
          <w:sz w:val="20"/>
          <w:szCs w:val="20"/>
        </w:rPr>
      </w:pP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Higher incidence of renal replacement therapy in the </w:t>
      </w:r>
      <w:proofErr w:type="spellStart"/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hetastarch</w:t>
      </w:r>
      <w:proofErr w:type="spellEnd"/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 xml:space="preserve"> group</w:t>
      </w:r>
    </w:p>
    <w:p w:rsidR="007A4382" w:rsidRDefault="007A4382" w:rsidP="007A43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OTNEJMQuadraat" w:eastAsia="OTNEJMQuadraat" w:hAnsi="OTNEJMScalaSansSmallLFCap-Bold" w:cs="OTNEJMQuadraat"/>
          <w:color w:val="000000"/>
          <w:sz w:val="20"/>
          <w:szCs w:val="20"/>
        </w:rPr>
      </w:pP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Higher RIFLE-R and RIFLE-I scores with HES, but no difference in RIFLE-F scores between groups</w:t>
      </w:r>
    </w:p>
    <w:p w:rsidR="007A4382" w:rsidRPr="007A4382" w:rsidRDefault="007A4382" w:rsidP="007A43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OTNEJMQuadraat" w:eastAsia="OTNEJMQuadraat" w:hAnsi="OTNEJMScalaSansSmallLFCap-Bold" w:cs="OTNEJMQuadraat"/>
          <w:color w:val="000000"/>
          <w:sz w:val="20"/>
          <w:szCs w:val="20"/>
        </w:rPr>
      </w:pPr>
      <w:r>
        <w:rPr>
          <w:rFonts w:ascii="OTNEJMQuadraat" w:eastAsia="OTNEJMQuadraat" w:hAnsi="OTNEJMScalaSansSmallLFCap-Bold" w:cs="OTNEJMQuadraat"/>
          <w:color w:val="000000"/>
          <w:sz w:val="20"/>
          <w:szCs w:val="20"/>
        </w:rPr>
        <w:t>Lower risk of new cardiovascular failure with HES use, higher risk of new hepatic failure with HES use</w:t>
      </w:r>
      <w:bookmarkStart w:id="0" w:name="_GoBack"/>
      <w:bookmarkEnd w:id="0"/>
    </w:p>
    <w:sectPr w:rsidR="007A4382" w:rsidRPr="007A4382" w:rsidSect="007A4382">
      <w:pgSz w:w="12240" w:h="15840"/>
      <w:pgMar w:top="432" w:right="432" w:bottom="864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NEJMScalaSansSmallLFCap-Bold">
    <w:altName w:val="Arial"/>
    <w:panose1 w:val="00000000000000000000"/>
    <w:charset w:val="A3"/>
    <w:family w:val="swiss"/>
    <w:notTrueType/>
    <w:pitch w:val="default"/>
    <w:sig w:usb0="20000001" w:usb1="00000000" w:usb2="00000000" w:usb3="00000000" w:csb0="00000100" w:csb1="00000000"/>
  </w:font>
  <w:font w:name="OTNEJMQuadraat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4F48"/>
    <w:multiLevelType w:val="hybridMultilevel"/>
    <w:tmpl w:val="A6B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82"/>
    <w:rsid w:val="007A4382"/>
    <w:rsid w:val="00BA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3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43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3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4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1779</Characters>
  <Application>Microsoft Office Word</Application>
  <DocSecurity>0</DocSecurity>
  <Lines>14</Lines>
  <Paragraphs>4</Paragraphs>
  <ScaleCrop>false</ScaleCrop>
  <Company>Cornell Veterinary Medicine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1</cp:revision>
  <dcterms:created xsi:type="dcterms:W3CDTF">2012-12-05T07:47:00Z</dcterms:created>
  <dcterms:modified xsi:type="dcterms:W3CDTF">2012-12-05T07:55:00Z</dcterms:modified>
</cp:coreProperties>
</file>