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87091" w14:textId="77777777" w:rsidR="00D64D39" w:rsidRPr="002E185B" w:rsidRDefault="002578D4">
      <w:pPr>
        <w:rPr>
          <w:sz w:val="22"/>
          <w:szCs w:val="22"/>
        </w:rPr>
      </w:pPr>
      <w:bookmarkStart w:id="0" w:name="_GoBack"/>
      <w:bookmarkEnd w:id="0"/>
      <w:r w:rsidRPr="002E185B">
        <w:rPr>
          <w:sz w:val="22"/>
          <w:szCs w:val="22"/>
        </w:rPr>
        <w:t>Lit Review Oct 4, 2012</w:t>
      </w:r>
    </w:p>
    <w:p w14:paraId="13336377" w14:textId="77777777" w:rsidR="002578D4" w:rsidRPr="002E185B" w:rsidRDefault="002578D4">
      <w:pPr>
        <w:rPr>
          <w:sz w:val="22"/>
          <w:szCs w:val="22"/>
        </w:rPr>
      </w:pPr>
    </w:p>
    <w:p w14:paraId="357B7837" w14:textId="77777777" w:rsidR="002578D4" w:rsidRPr="002E185B" w:rsidRDefault="002578D4">
      <w:pPr>
        <w:rPr>
          <w:b/>
          <w:sz w:val="22"/>
          <w:szCs w:val="22"/>
        </w:rPr>
      </w:pPr>
      <w:r w:rsidRPr="002E185B">
        <w:rPr>
          <w:b/>
          <w:sz w:val="22"/>
          <w:szCs w:val="22"/>
        </w:rPr>
        <w:t>JVECC August 2012</w:t>
      </w:r>
    </w:p>
    <w:p w14:paraId="5CBFA15B" w14:textId="77777777" w:rsidR="002578D4" w:rsidRPr="002E185B" w:rsidRDefault="002578D4">
      <w:pPr>
        <w:rPr>
          <w:sz w:val="22"/>
          <w:szCs w:val="22"/>
        </w:rPr>
      </w:pPr>
    </w:p>
    <w:p w14:paraId="3E9E15EC" w14:textId="77777777" w:rsidR="002578D4" w:rsidRPr="002E185B" w:rsidRDefault="002578D4">
      <w:pPr>
        <w:rPr>
          <w:b/>
          <w:sz w:val="22"/>
          <w:szCs w:val="22"/>
          <w:u w:val="single"/>
        </w:rPr>
      </w:pPr>
      <w:r w:rsidRPr="002E185B">
        <w:rPr>
          <w:b/>
          <w:sz w:val="22"/>
          <w:szCs w:val="22"/>
          <w:u w:val="single"/>
        </w:rPr>
        <w:t>Retrospective evaluation of neurotoxic rattlesnake envenomation in dogs and cats: 34 cases (2005-2010)</w:t>
      </w:r>
    </w:p>
    <w:p w14:paraId="51BBCDDC" w14:textId="77777777" w:rsidR="002578D4" w:rsidRPr="002E185B" w:rsidRDefault="002578D4">
      <w:pPr>
        <w:rPr>
          <w:b/>
          <w:sz w:val="22"/>
          <w:szCs w:val="22"/>
          <w:u w:val="single"/>
        </w:rPr>
      </w:pPr>
    </w:p>
    <w:p w14:paraId="2CD54392" w14:textId="77777777" w:rsidR="002578D4" w:rsidRPr="002E185B" w:rsidRDefault="002578D4" w:rsidP="002578D4">
      <w:pPr>
        <w:widowControl w:val="0"/>
        <w:autoSpaceDE w:val="0"/>
        <w:autoSpaceDN w:val="0"/>
        <w:adjustRightInd w:val="0"/>
        <w:spacing w:after="240"/>
        <w:rPr>
          <w:rFonts w:cs="Times"/>
          <w:sz w:val="22"/>
          <w:szCs w:val="22"/>
        </w:rPr>
      </w:pPr>
      <w:r w:rsidRPr="002E185B">
        <w:rPr>
          <w:b/>
          <w:sz w:val="22"/>
          <w:szCs w:val="22"/>
        </w:rPr>
        <w:t>Authors:</w:t>
      </w:r>
      <w:r w:rsidRPr="002E185B">
        <w:rPr>
          <w:sz w:val="22"/>
          <w:szCs w:val="22"/>
        </w:rPr>
        <w:t xml:space="preserve"> </w:t>
      </w:r>
      <w:r w:rsidRPr="002E185B">
        <w:rPr>
          <w:rFonts w:cs="Palatino"/>
          <w:sz w:val="22"/>
          <w:szCs w:val="22"/>
        </w:rPr>
        <w:t>Tracy M. Julius, DVM; Monika K. Kaelble, DVM, DACVECC; Elizabeth B. Leech, MVB, MRCVS, DACVECC; Kimberly L. Boyle, DVM; Erika J. Strandberg, MS and Monica C. Clare, VMD, DACVECC</w:t>
      </w:r>
    </w:p>
    <w:p w14:paraId="0C8DF8EE" w14:textId="77777777" w:rsidR="002578D4" w:rsidRPr="002E185B" w:rsidRDefault="002578D4" w:rsidP="002578D4">
      <w:pPr>
        <w:widowControl w:val="0"/>
        <w:autoSpaceDE w:val="0"/>
        <w:autoSpaceDN w:val="0"/>
        <w:adjustRightInd w:val="0"/>
        <w:spacing w:after="240"/>
        <w:rPr>
          <w:rFonts w:cs="Palatino"/>
          <w:sz w:val="22"/>
          <w:szCs w:val="22"/>
        </w:rPr>
      </w:pPr>
      <w:r w:rsidRPr="002E185B">
        <w:rPr>
          <w:rFonts w:cs="Palatino"/>
          <w:b/>
          <w:bCs/>
          <w:sz w:val="22"/>
          <w:szCs w:val="22"/>
        </w:rPr>
        <w:t>Objective:</w:t>
      </w:r>
      <w:r w:rsidRPr="002E185B">
        <w:rPr>
          <w:rFonts w:cs="Palatino"/>
          <w:sz w:val="22"/>
          <w:szCs w:val="22"/>
        </w:rPr>
        <w:t xml:space="preserve"> To describe common physical examination findings, clinicopathologic changes, treatment, and outcome in patients with evidence of neurotoxicity secondary to rattlesnake envenomation</w:t>
      </w:r>
    </w:p>
    <w:p w14:paraId="3D93817A" w14:textId="77777777" w:rsidR="002578D4" w:rsidRPr="002E185B" w:rsidRDefault="002578D4" w:rsidP="002578D4">
      <w:pPr>
        <w:widowControl w:val="0"/>
        <w:autoSpaceDE w:val="0"/>
        <w:autoSpaceDN w:val="0"/>
        <w:adjustRightInd w:val="0"/>
        <w:spacing w:after="240"/>
        <w:rPr>
          <w:rFonts w:cs="Palatino"/>
          <w:sz w:val="22"/>
          <w:szCs w:val="22"/>
        </w:rPr>
      </w:pPr>
      <w:r w:rsidRPr="002E185B">
        <w:rPr>
          <w:rFonts w:cs="Palatino"/>
          <w:b/>
          <w:bCs/>
          <w:sz w:val="22"/>
          <w:szCs w:val="22"/>
        </w:rPr>
        <w:t>Design:</w:t>
      </w:r>
      <w:r w:rsidRPr="002E185B">
        <w:rPr>
          <w:rFonts w:cs="Palatino"/>
          <w:sz w:val="22"/>
          <w:szCs w:val="22"/>
        </w:rPr>
        <w:t xml:space="preserve"> Retrospective multicenter study (2005–2010); 3 private practice referral centers</w:t>
      </w:r>
    </w:p>
    <w:p w14:paraId="5EDAF5F1" w14:textId="77777777" w:rsidR="002578D4" w:rsidRPr="002E185B" w:rsidRDefault="002578D4" w:rsidP="002578D4">
      <w:pPr>
        <w:widowControl w:val="0"/>
        <w:autoSpaceDE w:val="0"/>
        <w:autoSpaceDN w:val="0"/>
        <w:adjustRightInd w:val="0"/>
        <w:spacing w:after="240"/>
        <w:rPr>
          <w:rFonts w:cs="Palatino"/>
          <w:sz w:val="22"/>
          <w:szCs w:val="22"/>
        </w:rPr>
      </w:pPr>
      <w:r w:rsidRPr="002E185B">
        <w:rPr>
          <w:rFonts w:cs="Palatino"/>
          <w:sz w:val="22"/>
          <w:szCs w:val="22"/>
        </w:rPr>
        <w:t>Recorded signalment, time from envenomation to presentation, physical exam findings, clin path findings, various treatments, serial neurologic assessments, duration of hospitalization, and outcome</w:t>
      </w:r>
    </w:p>
    <w:p w14:paraId="111A097A" w14:textId="77777777" w:rsidR="002578D4" w:rsidRPr="002E185B" w:rsidRDefault="002578D4" w:rsidP="002578D4">
      <w:pPr>
        <w:widowControl w:val="0"/>
        <w:autoSpaceDE w:val="0"/>
        <w:autoSpaceDN w:val="0"/>
        <w:adjustRightInd w:val="0"/>
        <w:spacing w:after="240"/>
        <w:rPr>
          <w:rFonts w:cs="Palatino"/>
          <w:sz w:val="22"/>
          <w:szCs w:val="22"/>
        </w:rPr>
      </w:pPr>
      <w:r w:rsidRPr="002E185B">
        <w:rPr>
          <w:rFonts w:cs="Palatino"/>
          <w:sz w:val="22"/>
          <w:szCs w:val="22"/>
        </w:rPr>
        <w:t>Signs of neurotoxicity were required for inclusion</w:t>
      </w:r>
    </w:p>
    <w:p w14:paraId="2EEA4884" w14:textId="77777777" w:rsidR="002578D4" w:rsidRPr="002E185B" w:rsidRDefault="002578D4" w:rsidP="002578D4">
      <w:pPr>
        <w:widowControl w:val="0"/>
        <w:autoSpaceDE w:val="0"/>
        <w:autoSpaceDN w:val="0"/>
        <w:adjustRightInd w:val="0"/>
        <w:spacing w:after="240"/>
        <w:rPr>
          <w:rFonts w:cs="Palatino"/>
          <w:sz w:val="22"/>
          <w:szCs w:val="22"/>
        </w:rPr>
      </w:pPr>
      <w:r w:rsidRPr="002E185B">
        <w:rPr>
          <w:rFonts w:cs="Palatino"/>
          <w:sz w:val="22"/>
          <w:szCs w:val="22"/>
        </w:rPr>
        <w:t xml:space="preserve">Both Polyvalent Immune Fab and Veterinary Approved (Crotalidae) Polyvalent antivenin were used </w:t>
      </w:r>
    </w:p>
    <w:p w14:paraId="6CECB675" w14:textId="77777777" w:rsidR="002578D4" w:rsidRPr="002E185B" w:rsidRDefault="002578D4" w:rsidP="002578D4">
      <w:pPr>
        <w:widowControl w:val="0"/>
        <w:autoSpaceDE w:val="0"/>
        <w:autoSpaceDN w:val="0"/>
        <w:adjustRightInd w:val="0"/>
        <w:spacing w:after="240"/>
        <w:rPr>
          <w:rFonts w:cs="Palatino"/>
          <w:b/>
          <w:sz w:val="22"/>
          <w:szCs w:val="22"/>
        </w:rPr>
      </w:pPr>
      <w:r w:rsidRPr="002E185B">
        <w:rPr>
          <w:rFonts w:cs="Palatino"/>
          <w:b/>
          <w:sz w:val="22"/>
          <w:szCs w:val="22"/>
        </w:rPr>
        <w:t xml:space="preserve">Results: </w:t>
      </w:r>
    </w:p>
    <w:p w14:paraId="5020A3C9" w14:textId="77777777" w:rsidR="002578D4" w:rsidRPr="002E185B" w:rsidRDefault="002578D4" w:rsidP="002578D4">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Incidence of neuro toxicity in this study 5.4%</w:t>
      </w:r>
    </w:p>
    <w:p w14:paraId="0F382479" w14:textId="77777777" w:rsidR="00EB4D1B" w:rsidRPr="002E185B" w:rsidRDefault="00EB4D1B" w:rsidP="002578D4">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11.8% of those that experienced neurotoxicity required PPV due to respiratory paralysis</w:t>
      </w:r>
    </w:p>
    <w:p w14:paraId="77DBF040" w14:textId="77777777" w:rsidR="00EB4D1B" w:rsidRPr="002E185B" w:rsidRDefault="00EB4D1B" w:rsidP="002578D4">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Overall mortality 17.6%</w:t>
      </w:r>
    </w:p>
    <w:p w14:paraId="4B9CAD3A" w14:textId="77777777" w:rsidR="002578D4" w:rsidRPr="002E185B" w:rsidRDefault="002578D4" w:rsidP="002578D4">
      <w:pPr>
        <w:pStyle w:val="ListParagraph"/>
        <w:widowControl w:val="0"/>
        <w:numPr>
          <w:ilvl w:val="0"/>
          <w:numId w:val="1"/>
        </w:numPr>
        <w:autoSpaceDE w:val="0"/>
        <w:autoSpaceDN w:val="0"/>
        <w:adjustRightInd w:val="0"/>
        <w:spacing w:after="240"/>
        <w:rPr>
          <w:rFonts w:cs="Times"/>
          <w:sz w:val="22"/>
          <w:szCs w:val="22"/>
        </w:rPr>
      </w:pPr>
      <w:r w:rsidRPr="002E185B">
        <w:rPr>
          <w:rFonts w:cs="Times"/>
          <w:sz w:val="22"/>
          <w:szCs w:val="22"/>
        </w:rPr>
        <w:t>No statistically significant difference between type of antivenin used or # of vials administered and neurologic status, length of hospitalization or survival</w:t>
      </w:r>
    </w:p>
    <w:p w14:paraId="54AE6C27" w14:textId="77777777" w:rsidR="00EB4D1B" w:rsidRPr="002E185B" w:rsidRDefault="00EB4D1B" w:rsidP="002578D4">
      <w:pPr>
        <w:pStyle w:val="ListParagraph"/>
        <w:widowControl w:val="0"/>
        <w:numPr>
          <w:ilvl w:val="0"/>
          <w:numId w:val="1"/>
        </w:numPr>
        <w:autoSpaceDE w:val="0"/>
        <w:autoSpaceDN w:val="0"/>
        <w:adjustRightInd w:val="0"/>
        <w:spacing w:after="240"/>
        <w:rPr>
          <w:rFonts w:cs="Times"/>
          <w:sz w:val="22"/>
          <w:szCs w:val="22"/>
        </w:rPr>
      </w:pPr>
      <w:r w:rsidRPr="002E185B">
        <w:rPr>
          <w:rFonts w:cs="Times"/>
          <w:sz w:val="22"/>
          <w:szCs w:val="22"/>
        </w:rPr>
        <w:t>Survival not significantly different between dogs and cats</w:t>
      </w:r>
    </w:p>
    <w:p w14:paraId="4277E517" w14:textId="77777777" w:rsidR="00EB4D1B" w:rsidRPr="002E185B" w:rsidRDefault="00EB4D1B" w:rsidP="002578D4">
      <w:pPr>
        <w:pStyle w:val="ListParagraph"/>
        <w:widowControl w:val="0"/>
        <w:numPr>
          <w:ilvl w:val="0"/>
          <w:numId w:val="1"/>
        </w:numPr>
        <w:autoSpaceDE w:val="0"/>
        <w:autoSpaceDN w:val="0"/>
        <w:adjustRightInd w:val="0"/>
        <w:spacing w:after="240"/>
        <w:rPr>
          <w:rFonts w:cs="Times"/>
          <w:sz w:val="22"/>
          <w:szCs w:val="22"/>
        </w:rPr>
      </w:pPr>
      <w:r w:rsidRPr="002E185B">
        <w:rPr>
          <w:rFonts w:cs="Times"/>
          <w:sz w:val="22"/>
          <w:szCs w:val="22"/>
        </w:rPr>
        <w:t xml:space="preserve">Cats had a significantly longer length of hospitalization </w:t>
      </w:r>
      <w:r w:rsidR="00555710" w:rsidRPr="002E185B">
        <w:rPr>
          <w:rFonts w:cs="Times"/>
          <w:sz w:val="22"/>
          <w:szCs w:val="22"/>
        </w:rPr>
        <w:t>than dogs (median 3.5days cats, 2days dogs)</w:t>
      </w:r>
    </w:p>
    <w:p w14:paraId="37D899E6" w14:textId="57F2B14E" w:rsidR="00E1260F" w:rsidRPr="002E185B" w:rsidRDefault="00E1260F" w:rsidP="002578D4">
      <w:pPr>
        <w:pStyle w:val="ListParagraph"/>
        <w:widowControl w:val="0"/>
        <w:numPr>
          <w:ilvl w:val="0"/>
          <w:numId w:val="1"/>
        </w:numPr>
        <w:autoSpaceDE w:val="0"/>
        <w:autoSpaceDN w:val="0"/>
        <w:adjustRightInd w:val="0"/>
        <w:spacing w:after="240"/>
        <w:rPr>
          <w:rFonts w:cs="Times"/>
          <w:sz w:val="22"/>
          <w:szCs w:val="22"/>
        </w:rPr>
      </w:pPr>
      <w:r w:rsidRPr="002E185B">
        <w:rPr>
          <w:rFonts w:cs="Times"/>
          <w:sz w:val="22"/>
          <w:szCs w:val="22"/>
        </w:rPr>
        <w:t>Hypokalemia frequently identified, but no association with length of hospitalization or survival</w:t>
      </w:r>
    </w:p>
    <w:p w14:paraId="0C9C83CB" w14:textId="77777777" w:rsidR="00555710" w:rsidRPr="002E185B" w:rsidRDefault="00555710" w:rsidP="00555710">
      <w:pPr>
        <w:widowControl w:val="0"/>
        <w:autoSpaceDE w:val="0"/>
        <w:autoSpaceDN w:val="0"/>
        <w:adjustRightInd w:val="0"/>
        <w:spacing w:after="240"/>
        <w:rPr>
          <w:rFonts w:cs="Palatino"/>
          <w:sz w:val="22"/>
          <w:szCs w:val="22"/>
        </w:rPr>
      </w:pPr>
      <w:r w:rsidRPr="002E185B">
        <w:rPr>
          <w:rFonts w:cs="Palatino"/>
          <w:b/>
          <w:bCs/>
          <w:sz w:val="22"/>
          <w:szCs w:val="22"/>
        </w:rPr>
        <w:t xml:space="preserve">Conclusion: </w:t>
      </w:r>
      <w:r w:rsidRPr="002E185B">
        <w:rPr>
          <w:rFonts w:cs="Palatino"/>
          <w:sz w:val="22"/>
          <w:szCs w:val="22"/>
        </w:rPr>
        <w:t>the incidence of neurotoxicity secondary to rattlesnake envenomation may be relatively low, patients can have rapid progression of their clinical signs and a higher mortality rate, necessitating timely and appropriate treatment. Patients treated for neurotoxicity secondary to envenomation appear to have a fair to good prognosis.</w:t>
      </w:r>
    </w:p>
    <w:p w14:paraId="1CA3B7E6" w14:textId="5E8BDA56" w:rsidR="00264206" w:rsidRPr="002E185B" w:rsidRDefault="00264206" w:rsidP="00555710">
      <w:pPr>
        <w:widowControl w:val="0"/>
        <w:autoSpaceDE w:val="0"/>
        <w:autoSpaceDN w:val="0"/>
        <w:adjustRightInd w:val="0"/>
        <w:spacing w:after="240"/>
        <w:rPr>
          <w:rFonts w:cs="Palatino"/>
          <w:b/>
          <w:sz w:val="22"/>
          <w:szCs w:val="22"/>
        </w:rPr>
      </w:pPr>
      <w:r w:rsidRPr="002E185B">
        <w:rPr>
          <w:rFonts w:cs="Palatino"/>
          <w:b/>
          <w:sz w:val="22"/>
          <w:szCs w:val="22"/>
        </w:rPr>
        <w:t>Other:</w:t>
      </w:r>
    </w:p>
    <w:p w14:paraId="69B5ED97" w14:textId="6FE8A46B" w:rsidR="00264206" w:rsidRPr="002E185B" w:rsidRDefault="00264206" w:rsidP="00264206">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Most common venomous snake bites in USA are from pit vipers (Crotalidae)</w:t>
      </w:r>
    </w:p>
    <w:p w14:paraId="064F57FD" w14:textId="0517E5D6" w:rsidR="00264206" w:rsidRPr="002E185B" w:rsidRDefault="00264206" w:rsidP="00264206">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 xml:space="preserve">Sequelae: local pain, swelling, ecchymoses, tissue necrosis, nausea, coagulopathy, increased vascular permeability. Less common </w:t>
      </w:r>
      <w:r w:rsidRPr="002E185B">
        <w:rPr>
          <w:rFonts w:cs="Palatino"/>
          <w:sz w:val="22"/>
          <w:szCs w:val="22"/>
        </w:rPr>
        <w:sym w:font="Wingdings" w:char="F0E0"/>
      </w:r>
      <w:r w:rsidRPr="002E185B">
        <w:rPr>
          <w:rFonts w:cs="Palatino"/>
          <w:sz w:val="22"/>
          <w:szCs w:val="22"/>
        </w:rPr>
        <w:t xml:space="preserve"> hypotension, cardiac arrhythmias, </w:t>
      </w:r>
      <w:r w:rsidRPr="002E185B">
        <w:rPr>
          <w:rFonts w:cs="Palatino"/>
          <w:sz w:val="22"/>
          <w:szCs w:val="22"/>
        </w:rPr>
        <w:lastRenderedPageBreak/>
        <w:t>CNS dysfunction, respiratory distress, death</w:t>
      </w:r>
    </w:p>
    <w:p w14:paraId="30BEF6B1" w14:textId="19DFF744" w:rsidR="008B603C" w:rsidRPr="002E185B" w:rsidRDefault="008B603C" w:rsidP="00264206">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Mojave toxin tends to result in most severe neurotoxicty effects; peptide with neurotropic effects</w:t>
      </w:r>
    </w:p>
    <w:p w14:paraId="290AAEC8" w14:textId="5172FA19" w:rsidR="008B603C" w:rsidRPr="002E185B" w:rsidRDefault="008B603C" w:rsidP="00264206">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ACP antivenin – preparation of serum globulins from horses</w:t>
      </w:r>
    </w:p>
    <w:p w14:paraId="2684D884" w14:textId="7032FBBB" w:rsidR="008B603C" w:rsidRPr="002E185B" w:rsidRDefault="008B603C" w:rsidP="00264206">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Veterinary ACP product:  reported to be effective against all species of North American rattle snakes; therapeutic failure against Mojave toxin reported</w:t>
      </w:r>
    </w:p>
    <w:p w14:paraId="3DDD5C84" w14:textId="79F20F47" w:rsidR="008B603C" w:rsidRPr="002E185B" w:rsidRDefault="008B603C" w:rsidP="00264206">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 xml:space="preserve">Crotalidae Polyvalent Immune Fab (ovine) </w:t>
      </w:r>
      <w:r w:rsidRPr="002E185B">
        <w:rPr>
          <w:rFonts w:cs="Palatino"/>
          <w:sz w:val="22"/>
          <w:szCs w:val="22"/>
        </w:rPr>
        <w:sym w:font="Wingdings" w:char="F0E0"/>
      </w:r>
      <w:r w:rsidRPr="002E185B">
        <w:rPr>
          <w:rFonts w:cs="Palatino"/>
          <w:sz w:val="22"/>
          <w:szCs w:val="22"/>
        </w:rPr>
        <w:t xml:space="preserve"> antibodies separated into Fab and Fc fragments; Fc fragments removed. </w:t>
      </w:r>
      <w:r w:rsidR="00E1260F" w:rsidRPr="002E185B">
        <w:rPr>
          <w:rFonts w:cs="Palatino"/>
          <w:sz w:val="22"/>
          <w:szCs w:val="22"/>
        </w:rPr>
        <w:t>Reportedly effective against 14 different Crotaline venoms. Reported to be 5 times more effective than the ACP product</w:t>
      </w:r>
    </w:p>
    <w:p w14:paraId="4634FD9B" w14:textId="18A37741" w:rsidR="00E1260F" w:rsidRPr="002E185B" w:rsidRDefault="00E1260F" w:rsidP="00264206">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Current literature reports rattle snake envenomation mortality rates 1-19%</w:t>
      </w:r>
    </w:p>
    <w:p w14:paraId="56410D2E" w14:textId="60264958" w:rsidR="00E1260F" w:rsidRPr="002E185B" w:rsidRDefault="00E1260F" w:rsidP="00264206">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 xml:space="preserve">In this study </w:t>
      </w:r>
      <w:r w:rsidRPr="002E185B">
        <w:rPr>
          <w:rFonts w:cs="Palatino"/>
          <w:sz w:val="22"/>
          <w:szCs w:val="22"/>
        </w:rPr>
        <w:sym w:font="Wingdings" w:char="F0E0"/>
      </w:r>
      <w:r w:rsidRPr="002E185B">
        <w:rPr>
          <w:rFonts w:cs="Palatino"/>
          <w:sz w:val="22"/>
          <w:szCs w:val="22"/>
        </w:rPr>
        <w:t xml:space="preserve"> no statistically significant relationship between survival and species, sex, age, body weight, or time of presentation</w:t>
      </w:r>
    </w:p>
    <w:p w14:paraId="1C2128DA" w14:textId="4535D112" w:rsidR="009C4736" w:rsidRPr="002E185B" w:rsidRDefault="009C4736" w:rsidP="009C4736">
      <w:pPr>
        <w:widowControl w:val="0"/>
        <w:autoSpaceDE w:val="0"/>
        <w:autoSpaceDN w:val="0"/>
        <w:adjustRightInd w:val="0"/>
        <w:spacing w:after="240"/>
        <w:rPr>
          <w:rFonts w:cs="Palatino"/>
          <w:b/>
          <w:sz w:val="22"/>
          <w:szCs w:val="22"/>
        </w:rPr>
      </w:pPr>
      <w:r w:rsidRPr="002E185B">
        <w:rPr>
          <w:rFonts w:cs="Palatino"/>
          <w:b/>
          <w:sz w:val="22"/>
          <w:szCs w:val="22"/>
        </w:rPr>
        <w:t>Questions:</w:t>
      </w:r>
    </w:p>
    <w:p w14:paraId="17196B4B" w14:textId="17DD67C8" w:rsidR="009C4736" w:rsidRPr="002E185B" w:rsidRDefault="009C4736" w:rsidP="009C4736">
      <w:pPr>
        <w:pStyle w:val="ListParagraph"/>
        <w:widowControl w:val="0"/>
        <w:numPr>
          <w:ilvl w:val="0"/>
          <w:numId w:val="5"/>
        </w:numPr>
        <w:autoSpaceDE w:val="0"/>
        <w:autoSpaceDN w:val="0"/>
        <w:adjustRightInd w:val="0"/>
        <w:spacing w:after="240"/>
        <w:rPr>
          <w:rFonts w:cs="Palatino"/>
          <w:sz w:val="22"/>
          <w:szCs w:val="22"/>
        </w:rPr>
      </w:pPr>
      <w:r w:rsidRPr="002E185B">
        <w:rPr>
          <w:rFonts w:cs="Palatino"/>
          <w:sz w:val="22"/>
          <w:szCs w:val="22"/>
        </w:rPr>
        <w:t>What is the toxin most often associated with neurotoxicty?</w:t>
      </w:r>
    </w:p>
    <w:p w14:paraId="3CA27B8D" w14:textId="0FABB4FC" w:rsidR="009C4736" w:rsidRPr="002E185B" w:rsidRDefault="009C4736" w:rsidP="009C4736">
      <w:pPr>
        <w:pStyle w:val="ListParagraph"/>
        <w:widowControl w:val="0"/>
        <w:numPr>
          <w:ilvl w:val="0"/>
          <w:numId w:val="5"/>
        </w:numPr>
        <w:autoSpaceDE w:val="0"/>
        <w:autoSpaceDN w:val="0"/>
        <w:adjustRightInd w:val="0"/>
        <w:spacing w:after="240"/>
        <w:rPr>
          <w:rFonts w:cs="Palatino"/>
          <w:sz w:val="22"/>
          <w:szCs w:val="22"/>
        </w:rPr>
      </w:pPr>
      <w:r w:rsidRPr="002E185B">
        <w:rPr>
          <w:rFonts w:cs="Palatino"/>
          <w:sz w:val="22"/>
          <w:szCs w:val="22"/>
        </w:rPr>
        <w:t xml:space="preserve">Name the two types of antivenin in this study and how they differ </w:t>
      </w:r>
    </w:p>
    <w:p w14:paraId="23E3345B" w14:textId="5E5C5296" w:rsidR="009C4736" w:rsidRPr="002E185B" w:rsidRDefault="009C4736" w:rsidP="009C4736">
      <w:pPr>
        <w:pStyle w:val="ListParagraph"/>
        <w:widowControl w:val="0"/>
        <w:numPr>
          <w:ilvl w:val="0"/>
          <w:numId w:val="5"/>
        </w:numPr>
        <w:autoSpaceDE w:val="0"/>
        <w:autoSpaceDN w:val="0"/>
        <w:adjustRightInd w:val="0"/>
        <w:spacing w:after="240"/>
        <w:rPr>
          <w:rFonts w:cs="Palatino"/>
          <w:sz w:val="22"/>
          <w:szCs w:val="22"/>
        </w:rPr>
      </w:pPr>
      <w:r w:rsidRPr="002E185B">
        <w:rPr>
          <w:rFonts w:cs="Palatino"/>
          <w:sz w:val="22"/>
          <w:szCs w:val="22"/>
        </w:rPr>
        <w:t>Did one antivenin prove to be more effective than the other in this study?</w:t>
      </w:r>
    </w:p>
    <w:p w14:paraId="494ACFA2" w14:textId="18D0A883" w:rsidR="009C4736" w:rsidRPr="002E185B" w:rsidRDefault="009C4736" w:rsidP="009C4736">
      <w:pPr>
        <w:pStyle w:val="ListParagraph"/>
        <w:widowControl w:val="0"/>
        <w:numPr>
          <w:ilvl w:val="0"/>
          <w:numId w:val="5"/>
        </w:numPr>
        <w:autoSpaceDE w:val="0"/>
        <w:autoSpaceDN w:val="0"/>
        <w:adjustRightInd w:val="0"/>
        <w:spacing w:after="240"/>
        <w:rPr>
          <w:rFonts w:cs="Palatino"/>
          <w:sz w:val="22"/>
          <w:szCs w:val="22"/>
        </w:rPr>
      </w:pPr>
      <w:r w:rsidRPr="002E185B">
        <w:rPr>
          <w:rFonts w:cs="Palatino"/>
          <w:sz w:val="22"/>
          <w:szCs w:val="22"/>
        </w:rPr>
        <w:t>What was the most common electrolyte abnormality encountered in this study?</w:t>
      </w:r>
    </w:p>
    <w:p w14:paraId="3BA68D1D" w14:textId="77777777" w:rsidR="008E57B7" w:rsidRPr="002E185B" w:rsidRDefault="008E57B7" w:rsidP="008E57B7">
      <w:pPr>
        <w:widowControl w:val="0"/>
        <w:autoSpaceDE w:val="0"/>
        <w:autoSpaceDN w:val="0"/>
        <w:adjustRightInd w:val="0"/>
        <w:spacing w:after="240"/>
        <w:rPr>
          <w:rFonts w:cs="Palatino"/>
          <w:sz w:val="22"/>
          <w:szCs w:val="22"/>
        </w:rPr>
      </w:pPr>
    </w:p>
    <w:p w14:paraId="2497A29D" w14:textId="77777777" w:rsidR="0050027B" w:rsidRPr="002E185B" w:rsidRDefault="0050027B" w:rsidP="008E57B7">
      <w:pPr>
        <w:widowControl w:val="0"/>
        <w:autoSpaceDE w:val="0"/>
        <w:autoSpaceDN w:val="0"/>
        <w:adjustRightInd w:val="0"/>
        <w:spacing w:after="240"/>
        <w:rPr>
          <w:rFonts w:cs="Palatino"/>
          <w:sz w:val="22"/>
          <w:szCs w:val="22"/>
        </w:rPr>
      </w:pPr>
    </w:p>
    <w:p w14:paraId="7CBA6665" w14:textId="77777777" w:rsidR="008E57B7" w:rsidRPr="002E185B" w:rsidRDefault="008E57B7" w:rsidP="008E57B7">
      <w:pPr>
        <w:widowControl w:val="0"/>
        <w:autoSpaceDE w:val="0"/>
        <w:autoSpaceDN w:val="0"/>
        <w:adjustRightInd w:val="0"/>
        <w:spacing w:after="240"/>
        <w:rPr>
          <w:rFonts w:cs="Times"/>
          <w:sz w:val="22"/>
          <w:szCs w:val="22"/>
          <w:u w:val="single"/>
        </w:rPr>
      </w:pPr>
      <w:r w:rsidRPr="002E185B">
        <w:rPr>
          <w:rFonts w:cs="Helvetica"/>
          <w:b/>
          <w:bCs/>
          <w:sz w:val="22"/>
          <w:szCs w:val="22"/>
          <w:u w:val="single"/>
        </w:rPr>
        <w:t>Early nutritional support is associated with decreased length of hospitalization in dogs with septic peritonitis: A retrospective study of 45 cases (2000–2009)</w:t>
      </w:r>
    </w:p>
    <w:p w14:paraId="64AF45AE" w14:textId="77777777" w:rsidR="00016B1C" w:rsidRPr="002E185B" w:rsidRDefault="008E57B7" w:rsidP="00016B1C">
      <w:pPr>
        <w:widowControl w:val="0"/>
        <w:autoSpaceDE w:val="0"/>
        <w:autoSpaceDN w:val="0"/>
        <w:adjustRightInd w:val="0"/>
        <w:spacing w:after="240"/>
        <w:rPr>
          <w:rFonts w:cs="Times"/>
          <w:sz w:val="22"/>
          <w:szCs w:val="22"/>
        </w:rPr>
      </w:pPr>
      <w:r w:rsidRPr="002E185B">
        <w:rPr>
          <w:rFonts w:cs="Palatino"/>
          <w:b/>
          <w:sz w:val="22"/>
          <w:szCs w:val="22"/>
        </w:rPr>
        <w:t>Authors:</w:t>
      </w:r>
      <w:r w:rsidRPr="002E185B">
        <w:rPr>
          <w:rFonts w:cs="Palatino"/>
          <w:sz w:val="22"/>
          <w:szCs w:val="22"/>
        </w:rPr>
        <w:t xml:space="preserve"> </w:t>
      </w:r>
      <w:r w:rsidR="00016B1C" w:rsidRPr="002E185B">
        <w:rPr>
          <w:rFonts w:cs="Palatino"/>
          <w:sz w:val="22"/>
          <w:szCs w:val="22"/>
        </w:rPr>
        <w:t>Debra T. Liu, DVM; Dorothy C. Brown, DVM, MSCE, DACVS and Deborah C. Silverstein, DVM, DACVECC</w:t>
      </w:r>
    </w:p>
    <w:p w14:paraId="14F60CF0" w14:textId="47FB5852" w:rsidR="003D502D" w:rsidRPr="002E185B" w:rsidRDefault="00016B1C" w:rsidP="00016B1C">
      <w:pPr>
        <w:widowControl w:val="0"/>
        <w:autoSpaceDE w:val="0"/>
        <w:autoSpaceDN w:val="0"/>
        <w:adjustRightInd w:val="0"/>
        <w:spacing w:after="240"/>
        <w:rPr>
          <w:rFonts w:cs="Palatino"/>
          <w:sz w:val="22"/>
          <w:szCs w:val="22"/>
        </w:rPr>
      </w:pPr>
      <w:r w:rsidRPr="002E185B">
        <w:rPr>
          <w:rFonts w:cs="Palatino"/>
          <w:b/>
          <w:bCs/>
          <w:sz w:val="22"/>
          <w:szCs w:val="22"/>
        </w:rPr>
        <w:t>Objective:</w:t>
      </w:r>
      <w:r w:rsidRPr="002E185B">
        <w:rPr>
          <w:rFonts w:cs="Palatino"/>
          <w:sz w:val="22"/>
          <w:szCs w:val="22"/>
        </w:rPr>
        <w:t xml:space="preserve"> To determine whether the timing and route of nutritional support strategy affect length of hospitalization in dogs with naturally occurring septic peritonitis.</w:t>
      </w:r>
    </w:p>
    <w:p w14:paraId="65AFACBB" w14:textId="4C5DB13F" w:rsidR="00D72642" w:rsidRPr="002E185B" w:rsidRDefault="00016B1C" w:rsidP="00016B1C">
      <w:pPr>
        <w:widowControl w:val="0"/>
        <w:autoSpaceDE w:val="0"/>
        <w:autoSpaceDN w:val="0"/>
        <w:adjustRightInd w:val="0"/>
        <w:spacing w:after="240"/>
        <w:rPr>
          <w:rFonts w:cs="Palatino"/>
          <w:sz w:val="22"/>
          <w:szCs w:val="22"/>
        </w:rPr>
      </w:pPr>
      <w:r w:rsidRPr="002E185B">
        <w:rPr>
          <w:rFonts w:cs="Palatino"/>
          <w:b/>
          <w:bCs/>
          <w:sz w:val="22"/>
          <w:szCs w:val="22"/>
        </w:rPr>
        <w:t>Design</w:t>
      </w:r>
      <w:r w:rsidR="003D502D" w:rsidRPr="002E185B">
        <w:rPr>
          <w:rFonts w:cs="Palatino"/>
          <w:b/>
          <w:bCs/>
          <w:sz w:val="22"/>
          <w:szCs w:val="22"/>
        </w:rPr>
        <w:t xml:space="preserve">: </w:t>
      </w:r>
      <w:r w:rsidRPr="002E185B">
        <w:rPr>
          <w:rFonts w:cs="Palatino"/>
          <w:sz w:val="22"/>
          <w:szCs w:val="22"/>
        </w:rPr>
        <w:t>Retrospective study encompassing cases from 2000 to 2009.</w:t>
      </w:r>
    </w:p>
    <w:p w14:paraId="19227389" w14:textId="5DB592DC" w:rsidR="00D72642" w:rsidRPr="002E185B" w:rsidRDefault="00D72642" w:rsidP="00D72642">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 xml:space="preserve">Nutrition was categorized as either enteral nutrition or central parenteral nutrition </w:t>
      </w:r>
    </w:p>
    <w:p w14:paraId="529D746A" w14:textId="34BBF8F2" w:rsidR="00D72642" w:rsidRPr="002E185B" w:rsidRDefault="00D72642" w:rsidP="00D72642">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 Early nutritional support was defined as consistent caloric intake initiated within 24 hours postoperatively. </w:t>
      </w:r>
    </w:p>
    <w:p w14:paraId="3DB744A9" w14:textId="3C960135" w:rsidR="00D72642" w:rsidRPr="002E185B" w:rsidRDefault="0050027B" w:rsidP="00D72642">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Measures of nutritional status</w:t>
      </w:r>
      <w:r w:rsidR="00D72642" w:rsidRPr="002E185B">
        <w:rPr>
          <w:rFonts w:cs="Palatino"/>
          <w:sz w:val="22"/>
          <w:szCs w:val="22"/>
        </w:rPr>
        <w:t xml:space="preserve">: body condition score, serum albumin concentration, duration of inappetence before/during hospitalization., body weight change from the beginning to the end of hospitalization. </w:t>
      </w:r>
    </w:p>
    <w:p w14:paraId="359E3E20" w14:textId="58061F00" w:rsidR="00D72642" w:rsidRPr="002E185B" w:rsidRDefault="00D72642" w:rsidP="00D72642">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A modified Survival Prediction Index 2 score was calculated for each dog at admission</w:t>
      </w:r>
      <w:r w:rsidR="00947795" w:rsidRPr="002E185B">
        <w:rPr>
          <w:rFonts w:cs="Palatino"/>
          <w:sz w:val="22"/>
          <w:szCs w:val="22"/>
        </w:rPr>
        <w:t xml:space="preserve"> </w:t>
      </w:r>
      <w:r w:rsidR="00947795" w:rsidRPr="002E185B">
        <w:rPr>
          <w:rFonts w:cs="Palatino"/>
          <w:sz w:val="22"/>
          <w:szCs w:val="22"/>
        </w:rPr>
        <w:sym w:font="Wingdings" w:char="F0E0"/>
      </w:r>
      <w:r w:rsidR="00947795" w:rsidRPr="002E185B">
        <w:rPr>
          <w:rFonts w:cs="Palatino"/>
          <w:sz w:val="22"/>
          <w:szCs w:val="22"/>
        </w:rPr>
        <w:t xml:space="preserve"> mathematical formula to score disease severity objectively based on clinical data collected </w:t>
      </w:r>
    </w:p>
    <w:p w14:paraId="5E99BAA1" w14:textId="17FEC9FD" w:rsidR="00D72642" w:rsidRPr="002E185B" w:rsidRDefault="00D72642" w:rsidP="00D72642">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Data recorded for comparison of illness severity included indicators of severe inflammation (eg, presence of toxic changes in neutrophils and immatu</w:t>
      </w:r>
      <w:r w:rsidR="0050027B" w:rsidRPr="002E185B">
        <w:rPr>
          <w:rFonts w:cs="Palatino"/>
          <w:sz w:val="22"/>
          <w:szCs w:val="22"/>
        </w:rPr>
        <w:t xml:space="preserve">re neutrophils), coagulopathy, </w:t>
      </w:r>
      <w:r w:rsidRPr="002E185B">
        <w:rPr>
          <w:rFonts w:cs="Palatino"/>
          <w:sz w:val="22"/>
          <w:szCs w:val="22"/>
        </w:rPr>
        <w:t>use of vasopressors and blood transfusions, and presence of concurrent illnesses.</w:t>
      </w:r>
    </w:p>
    <w:p w14:paraId="39A6DA4F" w14:textId="77777777" w:rsidR="001A53D4" w:rsidRPr="002E185B" w:rsidRDefault="001A53D4" w:rsidP="001A53D4">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Nutrition-related complications were classified as mechanical, metabolic, or septic complications.</w:t>
      </w:r>
    </w:p>
    <w:p w14:paraId="6B267D23" w14:textId="21C30093" w:rsidR="00D72642" w:rsidRPr="002E185B" w:rsidRDefault="00D72642" w:rsidP="00016B1C">
      <w:pPr>
        <w:widowControl w:val="0"/>
        <w:autoSpaceDE w:val="0"/>
        <w:autoSpaceDN w:val="0"/>
        <w:adjustRightInd w:val="0"/>
        <w:spacing w:after="240"/>
        <w:rPr>
          <w:rFonts w:cs="Palatino"/>
          <w:b/>
          <w:sz w:val="22"/>
          <w:szCs w:val="22"/>
        </w:rPr>
      </w:pPr>
      <w:r w:rsidRPr="002E185B">
        <w:rPr>
          <w:rFonts w:cs="Palatino"/>
          <w:b/>
          <w:sz w:val="22"/>
          <w:szCs w:val="22"/>
        </w:rPr>
        <w:lastRenderedPageBreak/>
        <w:t xml:space="preserve">Results: </w:t>
      </w:r>
    </w:p>
    <w:p w14:paraId="2FDC25F3" w14:textId="4FEDB26B" w:rsidR="00AC1C0E" w:rsidRPr="002E185B" w:rsidRDefault="00AC1C0E" w:rsidP="00AC1C0E">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 xml:space="preserve">Dogs that received early nutrition had significantly shorter hospitalization length (by 1.6 days). </w:t>
      </w:r>
      <w:r w:rsidR="00080B9F" w:rsidRPr="002E185B">
        <w:rPr>
          <w:rFonts w:cs="Palatino"/>
          <w:sz w:val="22"/>
          <w:szCs w:val="22"/>
        </w:rPr>
        <w:t xml:space="preserve"> 95% CI</w:t>
      </w:r>
    </w:p>
    <w:p w14:paraId="2D113319" w14:textId="77777777" w:rsidR="00AC1C0E" w:rsidRPr="002E185B" w:rsidRDefault="00AC1C0E" w:rsidP="00AC1C0E">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No statistically significant association found between route of nutrition and hospitalization length. </w:t>
      </w:r>
    </w:p>
    <w:p w14:paraId="07DD6D0A" w14:textId="6CE287B0" w:rsidR="00AC1C0E" w:rsidRPr="002E185B" w:rsidRDefault="00AC1C0E" w:rsidP="00016B1C">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presence of concurrent illnesses and nutrition related metabolic complications were also associated with longer hospitalization length (by 2.1 and 2.4 days, respectively).</w:t>
      </w:r>
      <w:r w:rsidR="00080B9F" w:rsidRPr="002E185B">
        <w:rPr>
          <w:rFonts w:cs="Palatino"/>
          <w:sz w:val="22"/>
          <w:szCs w:val="22"/>
        </w:rPr>
        <w:t xml:space="preserve">  95% CI</w:t>
      </w:r>
    </w:p>
    <w:p w14:paraId="1B69858F" w14:textId="4DFBA90B" w:rsidR="003D502D" w:rsidRPr="002E185B" w:rsidRDefault="003D502D" w:rsidP="003D502D">
      <w:pPr>
        <w:widowControl w:val="0"/>
        <w:autoSpaceDE w:val="0"/>
        <w:autoSpaceDN w:val="0"/>
        <w:adjustRightInd w:val="0"/>
        <w:spacing w:after="240"/>
        <w:rPr>
          <w:rFonts w:cs="Palatino"/>
          <w:sz w:val="22"/>
          <w:szCs w:val="22"/>
        </w:rPr>
      </w:pPr>
      <w:r w:rsidRPr="002E185B">
        <w:rPr>
          <w:rFonts w:cs="Palatino"/>
          <w:b/>
          <w:bCs/>
          <w:sz w:val="22"/>
          <w:szCs w:val="22"/>
        </w:rPr>
        <w:t xml:space="preserve">Conclusions: </w:t>
      </w:r>
      <w:r w:rsidRPr="002E185B">
        <w:rPr>
          <w:rFonts w:cs="Palatino"/>
          <w:sz w:val="22"/>
          <w:szCs w:val="22"/>
        </w:rPr>
        <w:t>Early nutritional support in dogs with septic peritonitis is associated with a shorter hospitalization length.</w:t>
      </w:r>
    </w:p>
    <w:p w14:paraId="71AA1860" w14:textId="3F1C1E76" w:rsidR="00947795" w:rsidRPr="002E185B" w:rsidRDefault="00947795" w:rsidP="003D502D">
      <w:pPr>
        <w:widowControl w:val="0"/>
        <w:autoSpaceDE w:val="0"/>
        <w:autoSpaceDN w:val="0"/>
        <w:adjustRightInd w:val="0"/>
        <w:spacing w:after="240"/>
        <w:rPr>
          <w:rFonts w:cs="Palatino"/>
          <w:b/>
          <w:sz w:val="22"/>
          <w:szCs w:val="22"/>
        </w:rPr>
      </w:pPr>
      <w:r w:rsidRPr="002E185B">
        <w:rPr>
          <w:rFonts w:cs="Palatino"/>
          <w:b/>
          <w:sz w:val="22"/>
          <w:szCs w:val="22"/>
        </w:rPr>
        <w:t>Other:</w:t>
      </w:r>
    </w:p>
    <w:p w14:paraId="564CB143" w14:textId="77777777" w:rsidR="00DF1B3A" w:rsidRPr="002E185B" w:rsidRDefault="00947795" w:rsidP="00DF1B3A">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Mortality rates for dogs with septic peritonitis are reported as high as 70% in dogs with multiple organ system dysfunction syndrome (MODS) and 25% in dogs without MODS</w:t>
      </w:r>
    </w:p>
    <w:p w14:paraId="39312755" w14:textId="6C2058CD" w:rsidR="00DF1B3A" w:rsidRPr="002E185B" w:rsidRDefault="00DF1B3A" w:rsidP="00DF1B3A">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Metabolic complications: hypokalemia, hyperglycemia, hypomagnesemia hypophosphatemia, lipemia.</w:t>
      </w:r>
    </w:p>
    <w:p w14:paraId="069F435C" w14:textId="26E7D3D1" w:rsidR="00080B9F" w:rsidRPr="002E185B" w:rsidRDefault="00080B9F" w:rsidP="00DF1B3A">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Hypophosphatemia occurred only in those fed PN</w:t>
      </w:r>
    </w:p>
    <w:p w14:paraId="54B90683" w14:textId="1A632B33" w:rsidR="00935FD3" w:rsidRPr="002E185B" w:rsidRDefault="00935FD3" w:rsidP="00935FD3">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In septic dogs, the activation of local or systemic inflammatory response and the release of stress hormones (eg, catecholamines, glucagon, cortisol) result in a sustained hypermetabo</w:t>
      </w:r>
      <w:r w:rsidR="0050027B" w:rsidRPr="002E185B">
        <w:rPr>
          <w:rFonts w:cs="Palatino"/>
          <w:sz w:val="22"/>
          <w:szCs w:val="22"/>
        </w:rPr>
        <w:t>lic state characterized by pro</w:t>
      </w:r>
      <w:r w:rsidRPr="002E185B">
        <w:rPr>
          <w:rFonts w:cs="Palatino"/>
          <w:sz w:val="22"/>
          <w:szCs w:val="22"/>
        </w:rPr>
        <w:t>found catabolism.</w:t>
      </w:r>
    </w:p>
    <w:p w14:paraId="4D6AAC81" w14:textId="367F0D7D" w:rsidR="00935FD3" w:rsidRPr="002E185B" w:rsidRDefault="00935FD3" w:rsidP="00935FD3">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If the hypermetabolic state continues without intervention, immunosuppression, depletion of nutrients at the tissue and cellular level, organ failure, and death may eventually ensue.</w:t>
      </w:r>
    </w:p>
    <w:p w14:paraId="74AAAEF7" w14:textId="6E6ED9DE" w:rsidR="00935FD3" w:rsidRPr="002E185B" w:rsidRDefault="00935FD3" w:rsidP="00DF1B3A">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Limitations of this study: small number of dogs, exact enteral caloric intake not quantified, some patients may have been discharged prema</w:t>
      </w:r>
      <w:r w:rsidR="004C4F71" w:rsidRPr="002E185B">
        <w:rPr>
          <w:rFonts w:cs="Palatino"/>
          <w:sz w:val="22"/>
          <w:szCs w:val="22"/>
        </w:rPr>
        <w:t>turely, no</w:t>
      </w:r>
      <w:r w:rsidRPr="002E185B">
        <w:rPr>
          <w:rFonts w:cs="Palatino"/>
          <w:sz w:val="22"/>
          <w:szCs w:val="22"/>
        </w:rPr>
        <w:t xml:space="preserve"> follow up on the ones tha</w:t>
      </w:r>
      <w:r w:rsidR="004C4F71" w:rsidRPr="002E185B">
        <w:rPr>
          <w:rFonts w:cs="Palatino"/>
          <w:sz w:val="22"/>
          <w:szCs w:val="22"/>
        </w:rPr>
        <w:t>t were discharged, other metabol</w:t>
      </w:r>
      <w:r w:rsidRPr="002E185B">
        <w:rPr>
          <w:rFonts w:cs="Palatino"/>
          <w:sz w:val="22"/>
          <w:szCs w:val="22"/>
        </w:rPr>
        <w:t xml:space="preserve">ic and acid base disturbances previously reported in patients receiving PN were note included </w:t>
      </w:r>
    </w:p>
    <w:p w14:paraId="4FBE67B9" w14:textId="253F9461" w:rsidR="0097452F" w:rsidRPr="002E185B" w:rsidRDefault="0050027B" w:rsidP="0050027B">
      <w:pPr>
        <w:widowControl w:val="0"/>
        <w:autoSpaceDE w:val="0"/>
        <w:autoSpaceDN w:val="0"/>
        <w:adjustRightInd w:val="0"/>
        <w:spacing w:after="240"/>
        <w:rPr>
          <w:rFonts w:cs="Times"/>
          <w:b/>
          <w:sz w:val="22"/>
          <w:szCs w:val="22"/>
        </w:rPr>
      </w:pPr>
      <w:r w:rsidRPr="002E185B">
        <w:rPr>
          <w:rFonts w:cs="Times"/>
          <w:b/>
          <w:sz w:val="22"/>
          <w:szCs w:val="22"/>
        </w:rPr>
        <w:t>Questions:</w:t>
      </w:r>
    </w:p>
    <w:p w14:paraId="132C134D" w14:textId="735AE975" w:rsidR="0050027B" w:rsidRPr="002E185B" w:rsidRDefault="0050027B" w:rsidP="0050027B">
      <w:pPr>
        <w:pStyle w:val="ListParagraph"/>
        <w:widowControl w:val="0"/>
        <w:numPr>
          <w:ilvl w:val="0"/>
          <w:numId w:val="6"/>
        </w:numPr>
        <w:autoSpaceDE w:val="0"/>
        <w:autoSpaceDN w:val="0"/>
        <w:adjustRightInd w:val="0"/>
        <w:spacing w:after="240"/>
        <w:rPr>
          <w:rFonts w:cs="Times"/>
          <w:sz w:val="22"/>
          <w:szCs w:val="22"/>
        </w:rPr>
      </w:pPr>
      <w:r w:rsidRPr="002E185B">
        <w:rPr>
          <w:rFonts w:cs="Times"/>
          <w:sz w:val="22"/>
          <w:szCs w:val="22"/>
        </w:rPr>
        <w:t>Did dogs who received early nutrition experience a shorter hospital stay?</w:t>
      </w:r>
    </w:p>
    <w:p w14:paraId="1CED1E15" w14:textId="6E5C2B15" w:rsidR="0050027B" w:rsidRPr="002E185B" w:rsidRDefault="0050027B" w:rsidP="0050027B">
      <w:pPr>
        <w:pStyle w:val="ListParagraph"/>
        <w:widowControl w:val="0"/>
        <w:numPr>
          <w:ilvl w:val="0"/>
          <w:numId w:val="6"/>
        </w:numPr>
        <w:autoSpaceDE w:val="0"/>
        <w:autoSpaceDN w:val="0"/>
        <w:adjustRightInd w:val="0"/>
        <w:spacing w:after="240"/>
        <w:rPr>
          <w:rFonts w:cs="Times"/>
          <w:sz w:val="22"/>
          <w:szCs w:val="22"/>
        </w:rPr>
      </w:pPr>
      <w:r w:rsidRPr="002E185B">
        <w:rPr>
          <w:rFonts w:cs="Times"/>
          <w:sz w:val="22"/>
          <w:szCs w:val="22"/>
        </w:rPr>
        <w:t>Was there a difference between route of nutrition and hospitalization length?</w:t>
      </w:r>
    </w:p>
    <w:p w14:paraId="71DDEBEA" w14:textId="201F764A" w:rsidR="00E23A22" w:rsidRPr="002E185B" w:rsidRDefault="00E23A22" w:rsidP="0050027B">
      <w:pPr>
        <w:pStyle w:val="ListParagraph"/>
        <w:widowControl w:val="0"/>
        <w:numPr>
          <w:ilvl w:val="0"/>
          <w:numId w:val="6"/>
        </w:numPr>
        <w:autoSpaceDE w:val="0"/>
        <w:autoSpaceDN w:val="0"/>
        <w:adjustRightInd w:val="0"/>
        <w:spacing w:after="240"/>
        <w:rPr>
          <w:rFonts w:cs="Times"/>
          <w:sz w:val="22"/>
          <w:szCs w:val="22"/>
        </w:rPr>
      </w:pPr>
      <w:r w:rsidRPr="002E185B">
        <w:rPr>
          <w:rFonts w:cs="Times"/>
          <w:sz w:val="22"/>
          <w:szCs w:val="22"/>
        </w:rPr>
        <w:t>What were other factors determined to be associated with a prolonged hospital stay?</w:t>
      </w:r>
    </w:p>
    <w:p w14:paraId="697CF4D4" w14:textId="3C133AD5" w:rsidR="0050027B" w:rsidRPr="002E185B" w:rsidRDefault="0050027B" w:rsidP="0050027B">
      <w:pPr>
        <w:pStyle w:val="ListParagraph"/>
        <w:widowControl w:val="0"/>
        <w:numPr>
          <w:ilvl w:val="0"/>
          <w:numId w:val="6"/>
        </w:numPr>
        <w:autoSpaceDE w:val="0"/>
        <w:autoSpaceDN w:val="0"/>
        <w:adjustRightInd w:val="0"/>
        <w:spacing w:after="240"/>
        <w:rPr>
          <w:rFonts w:cs="Times"/>
          <w:sz w:val="22"/>
          <w:szCs w:val="22"/>
        </w:rPr>
      </w:pPr>
      <w:r w:rsidRPr="002E185B">
        <w:rPr>
          <w:rFonts w:cs="Times"/>
          <w:sz w:val="22"/>
          <w:szCs w:val="22"/>
        </w:rPr>
        <w:t>List some common metabolic effects encountered in this study</w:t>
      </w:r>
    </w:p>
    <w:p w14:paraId="79C956C8" w14:textId="48C4C0BD" w:rsidR="0050027B" w:rsidRPr="002E185B" w:rsidRDefault="0050027B" w:rsidP="0050027B">
      <w:pPr>
        <w:pStyle w:val="ListParagraph"/>
        <w:widowControl w:val="0"/>
        <w:numPr>
          <w:ilvl w:val="0"/>
          <w:numId w:val="6"/>
        </w:numPr>
        <w:autoSpaceDE w:val="0"/>
        <w:autoSpaceDN w:val="0"/>
        <w:adjustRightInd w:val="0"/>
        <w:spacing w:after="240"/>
        <w:rPr>
          <w:rFonts w:cs="Times"/>
          <w:sz w:val="22"/>
          <w:szCs w:val="22"/>
        </w:rPr>
      </w:pPr>
      <w:r w:rsidRPr="002E185B">
        <w:rPr>
          <w:rFonts w:cs="Times"/>
          <w:sz w:val="22"/>
          <w:szCs w:val="22"/>
        </w:rPr>
        <w:t>List some limitations of this study</w:t>
      </w:r>
    </w:p>
    <w:p w14:paraId="7209BB2A" w14:textId="77777777" w:rsidR="00E23A22" w:rsidRPr="002E185B" w:rsidRDefault="00E23A22" w:rsidP="00E23A22">
      <w:pPr>
        <w:widowControl w:val="0"/>
        <w:autoSpaceDE w:val="0"/>
        <w:autoSpaceDN w:val="0"/>
        <w:adjustRightInd w:val="0"/>
        <w:spacing w:after="240"/>
        <w:rPr>
          <w:rFonts w:cs="Times"/>
          <w:sz w:val="22"/>
          <w:szCs w:val="22"/>
        </w:rPr>
      </w:pPr>
    </w:p>
    <w:p w14:paraId="26A0C793" w14:textId="77777777" w:rsidR="00E23A22" w:rsidRPr="002E185B" w:rsidRDefault="00E23A22" w:rsidP="00E23A22">
      <w:pPr>
        <w:widowControl w:val="0"/>
        <w:autoSpaceDE w:val="0"/>
        <w:autoSpaceDN w:val="0"/>
        <w:adjustRightInd w:val="0"/>
        <w:spacing w:after="240"/>
        <w:rPr>
          <w:rFonts w:cs="Times"/>
          <w:sz w:val="22"/>
          <w:szCs w:val="22"/>
        </w:rPr>
      </w:pPr>
    </w:p>
    <w:p w14:paraId="011506EE" w14:textId="77777777" w:rsidR="00E23A22" w:rsidRPr="002E185B" w:rsidRDefault="00E23A22" w:rsidP="00E23A22">
      <w:pPr>
        <w:widowControl w:val="0"/>
        <w:autoSpaceDE w:val="0"/>
        <w:autoSpaceDN w:val="0"/>
        <w:adjustRightInd w:val="0"/>
        <w:spacing w:after="240"/>
        <w:rPr>
          <w:rFonts w:cs="Times"/>
          <w:sz w:val="22"/>
          <w:szCs w:val="22"/>
        </w:rPr>
      </w:pPr>
    </w:p>
    <w:p w14:paraId="1EB7989A" w14:textId="77777777" w:rsidR="00E23A22" w:rsidRPr="002E185B" w:rsidRDefault="00E23A22" w:rsidP="00E23A22">
      <w:pPr>
        <w:widowControl w:val="0"/>
        <w:autoSpaceDE w:val="0"/>
        <w:autoSpaceDN w:val="0"/>
        <w:adjustRightInd w:val="0"/>
        <w:spacing w:after="240"/>
        <w:rPr>
          <w:rFonts w:cs="Times"/>
          <w:sz w:val="22"/>
          <w:szCs w:val="22"/>
        </w:rPr>
      </w:pPr>
    </w:p>
    <w:p w14:paraId="13555D95" w14:textId="77777777" w:rsidR="00E23A22" w:rsidRPr="002E185B" w:rsidRDefault="00E23A22" w:rsidP="0097452F">
      <w:pPr>
        <w:widowControl w:val="0"/>
        <w:autoSpaceDE w:val="0"/>
        <w:autoSpaceDN w:val="0"/>
        <w:adjustRightInd w:val="0"/>
        <w:spacing w:after="240"/>
        <w:rPr>
          <w:rFonts w:cs="Helvetica"/>
          <w:b/>
          <w:bCs/>
          <w:sz w:val="22"/>
          <w:szCs w:val="22"/>
          <w:u w:val="single"/>
        </w:rPr>
      </w:pPr>
    </w:p>
    <w:p w14:paraId="50B41CBE" w14:textId="77777777" w:rsidR="0097452F" w:rsidRPr="002E185B" w:rsidRDefault="0097452F" w:rsidP="0097452F">
      <w:pPr>
        <w:widowControl w:val="0"/>
        <w:autoSpaceDE w:val="0"/>
        <w:autoSpaceDN w:val="0"/>
        <w:adjustRightInd w:val="0"/>
        <w:spacing w:after="240"/>
        <w:rPr>
          <w:rFonts w:cs="Times"/>
          <w:sz w:val="22"/>
          <w:szCs w:val="22"/>
          <w:u w:val="single"/>
        </w:rPr>
      </w:pPr>
      <w:r w:rsidRPr="002E185B">
        <w:rPr>
          <w:rFonts w:cs="Helvetica"/>
          <w:b/>
          <w:bCs/>
          <w:sz w:val="22"/>
          <w:szCs w:val="22"/>
          <w:u w:val="single"/>
        </w:rPr>
        <w:lastRenderedPageBreak/>
        <w:t>Determination of strong ion gap in healthy dogs</w:t>
      </w:r>
    </w:p>
    <w:p w14:paraId="34C37AC7" w14:textId="77777777" w:rsidR="0097452F" w:rsidRPr="002E185B" w:rsidRDefault="0097452F" w:rsidP="0097452F">
      <w:pPr>
        <w:widowControl w:val="0"/>
        <w:autoSpaceDE w:val="0"/>
        <w:autoSpaceDN w:val="0"/>
        <w:adjustRightInd w:val="0"/>
        <w:spacing w:after="240"/>
        <w:rPr>
          <w:rFonts w:cs="Times"/>
          <w:sz w:val="22"/>
          <w:szCs w:val="22"/>
        </w:rPr>
      </w:pPr>
      <w:r w:rsidRPr="002E185B">
        <w:rPr>
          <w:rFonts w:cs="Times"/>
          <w:b/>
          <w:sz w:val="22"/>
          <w:szCs w:val="22"/>
        </w:rPr>
        <w:t>Authors</w:t>
      </w:r>
      <w:r w:rsidRPr="002E185B">
        <w:rPr>
          <w:rFonts w:cs="Times"/>
          <w:sz w:val="22"/>
          <w:szCs w:val="22"/>
        </w:rPr>
        <w:t xml:space="preserve">: </w:t>
      </w:r>
      <w:r w:rsidRPr="002E185B">
        <w:rPr>
          <w:rFonts w:cs="Palatino"/>
          <w:sz w:val="22"/>
          <w:szCs w:val="22"/>
        </w:rPr>
        <w:t>Pamela K. Fettig, DVM; Dennis B. Bailey, DVM, DACVIM and Kristi M. Gannon, DVM, DACVECC</w:t>
      </w:r>
    </w:p>
    <w:p w14:paraId="707E0777" w14:textId="77777777" w:rsidR="0097452F" w:rsidRPr="002E185B" w:rsidRDefault="0097452F" w:rsidP="0097452F">
      <w:pPr>
        <w:widowControl w:val="0"/>
        <w:autoSpaceDE w:val="0"/>
        <w:autoSpaceDN w:val="0"/>
        <w:adjustRightInd w:val="0"/>
        <w:spacing w:after="240"/>
        <w:rPr>
          <w:rFonts w:cs="Palatino"/>
          <w:sz w:val="22"/>
          <w:szCs w:val="22"/>
        </w:rPr>
      </w:pPr>
      <w:r w:rsidRPr="002E185B">
        <w:rPr>
          <w:rFonts w:cs="Palatino"/>
          <w:b/>
          <w:bCs/>
          <w:sz w:val="22"/>
          <w:szCs w:val="22"/>
        </w:rPr>
        <w:t xml:space="preserve">Objective: </w:t>
      </w:r>
      <w:r w:rsidRPr="002E185B">
        <w:rPr>
          <w:rFonts w:cs="Palatino"/>
          <w:sz w:val="22"/>
          <w:szCs w:val="22"/>
        </w:rPr>
        <w:t>To determine and compare reference intervals of the strong ion gap (SIG) in a group of healthy dogs determined with 2 different equations</w:t>
      </w:r>
    </w:p>
    <w:p w14:paraId="2CDD94EE" w14:textId="77777777" w:rsidR="0097452F" w:rsidRPr="002E185B" w:rsidRDefault="0097452F" w:rsidP="0097452F">
      <w:pPr>
        <w:widowControl w:val="0"/>
        <w:autoSpaceDE w:val="0"/>
        <w:autoSpaceDN w:val="0"/>
        <w:adjustRightInd w:val="0"/>
        <w:spacing w:after="240"/>
        <w:rPr>
          <w:rFonts w:cs="Times"/>
          <w:sz w:val="22"/>
          <w:szCs w:val="22"/>
        </w:rPr>
      </w:pPr>
      <w:r w:rsidRPr="002E185B">
        <w:rPr>
          <w:rFonts w:cs="Palatino"/>
          <w:sz w:val="22"/>
          <w:szCs w:val="22"/>
        </w:rPr>
        <w:t> </w:t>
      </w:r>
      <w:r w:rsidRPr="002E185B">
        <w:rPr>
          <w:rFonts w:cs="Palatino"/>
          <w:b/>
          <w:bCs/>
          <w:sz w:val="22"/>
          <w:szCs w:val="22"/>
        </w:rPr>
        <w:t xml:space="preserve">Design: </w:t>
      </w:r>
      <w:r w:rsidRPr="002E185B">
        <w:rPr>
          <w:rFonts w:cs="Palatino"/>
          <w:sz w:val="22"/>
          <w:szCs w:val="22"/>
        </w:rPr>
        <w:t>Prospective observational study</w:t>
      </w:r>
    </w:p>
    <w:p w14:paraId="3ED2DC60" w14:textId="77777777" w:rsidR="0097452F" w:rsidRPr="002E185B" w:rsidRDefault="0097452F" w:rsidP="0097452F">
      <w:pPr>
        <w:widowControl w:val="0"/>
        <w:autoSpaceDE w:val="0"/>
        <w:autoSpaceDN w:val="0"/>
        <w:adjustRightInd w:val="0"/>
        <w:spacing w:after="240"/>
        <w:rPr>
          <w:rFonts w:cs="Palatino"/>
          <w:sz w:val="22"/>
          <w:szCs w:val="22"/>
        </w:rPr>
      </w:pPr>
      <w:r w:rsidRPr="002E185B">
        <w:rPr>
          <w:rFonts w:cs="Palatino"/>
          <w:b/>
          <w:bCs/>
          <w:sz w:val="22"/>
          <w:szCs w:val="22"/>
        </w:rPr>
        <w:t xml:space="preserve">Measurements: </w:t>
      </w:r>
      <w:r w:rsidRPr="002E185B">
        <w:rPr>
          <w:rFonts w:cs="Palatino"/>
          <w:sz w:val="22"/>
          <w:szCs w:val="22"/>
        </w:rPr>
        <w:t xml:space="preserve"> </w:t>
      </w:r>
    </w:p>
    <w:p w14:paraId="1BE8E20D" w14:textId="1797FE55" w:rsidR="0097452F" w:rsidRPr="002E185B" w:rsidRDefault="0097452F" w:rsidP="0097452F">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 xml:space="preserve">Serum biochemistry and blood gas analyses were performed for each dog. </w:t>
      </w:r>
    </w:p>
    <w:p w14:paraId="179F5FF1" w14:textId="77777777" w:rsidR="0097452F" w:rsidRPr="002E185B" w:rsidRDefault="0097452F" w:rsidP="0097452F">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SIG was calculated using 2 different equations: </w:t>
      </w:r>
    </w:p>
    <w:p w14:paraId="44DAA988" w14:textId="361B795E" w:rsidR="0097452F" w:rsidRPr="002E185B" w:rsidRDefault="0097452F" w:rsidP="0097452F">
      <w:pPr>
        <w:pStyle w:val="ListParagraph"/>
        <w:widowControl w:val="0"/>
        <w:numPr>
          <w:ilvl w:val="0"/>
          <w:numId w:val="2"/>
        </w:numPr>
        <w:autoSpaceDE w:val="0"/>
        <w:autoSpaceDN w:val="0"/>
        <w:adjustRightInd w:val="0"/>
        <w:spacing w:after="240"/>
        <w:rPr>
          <w:rFonts w:cs="Times"/>
          <w:sz w:val="22"/>
          <w:szCs w:val="22"/>
        </w:rPr>
      </w:pPr>
      <w:r w:rsidRPr="002E185B">
        <w:rPr>
          <w:rFonts w:cs="Palatino"/>
          <w:sz w:val="22"/>
          <w:szCs w:val="22"/>
        </w:rPr>
        <w:t>SIG</w:t>
      </w:r>
      <w:r w:rsidRPr="002E185B">
        <w:rPr>
          <w:rFonts w:cs="Palatino"/>
          <w:position w:val="-2"/>
          <w:sz w:val="22"/>
          <w:szCs w:val="22"/>
        </w:rPr>
        <w:t xml:space="preserve">1 </w:t>
      </w:r>
      <w:r w:rsidRPr="002E185B">
        <w:rPr>
          <w:rFonts w:cs="Times"/>
          <w:sz w:val="22"/>
          <w:szCs w:val="22"/>
        </w:rPr>
        <w:t xml:space="preserve">= </w:t>
      </w:r>
      <w:r w:rsidRPr="002E185B">
        <w:rPr>
          <w:rFonts w:cs="Palatino"/>
          <w:sz w:val="22"/>
          <w:szCs w:val="22"/>
        </w:rPr>
        <w:t>SID</w:t>
      </w:r>
      <w:r w:rsidRPr="002E185B">
        <w:rPr>
          <w:rFonts w:cs="Palatino"/>
          <w:position w:val="-2"/>
          <w:sz w:val="22"/>
          <w:szCs w:val="22"/>
        </w:rPr>
        <w:t>a</w:t>
      </w:r>
      <w:r w:rsidRPr="002E185B">
        <w:rPr>
          <w:rFonts w:cs="Palatino"/>
          <w:sz w:val="22"/>
          <w:szCs w:val="22"/>
        </w:rPr>
        <w:t xml:space="preserve">{[Na </w:t>
      </w:r>
      <w:r w:rsidRPr="002E185B">
        <w:rPr>
          <w:rFonts w:cs="Times"/>
          <w:position w:val="8"/>
          <w:sz w:val="22"/>
          <w:szCs w:val="22"/>
        </w:rPr>
        <w:t>+</w:t>
      </w:r>
      <w:r w:rsidRPr="002E185B">
        <w:rPr>
          <w:rFonts w:cs="Palatino"/>
          <w:sz w:val="22"/>
          <w:szCs w:val="22"/>
        </w:rPr>
        <w:t xml:space="preserve">] </w:t>
      </w:r>
      <w:r w:rsidRPr="002E185B">
        <w:rPr>
          <w:rFonts w:cs="Times"/>
          <w:sz w:val="22"/>
          <w:szCs w:val="22"/>
        </w:rPr>
        <w:t xml:space="preserve">+ </w:t>
      </w:r>
      <w:r w:rsidRPr="002E185B">
        <w:rPr>
          <w:rFonts w:cs="Palatino"/>
          <w:sz w:val="22"/>
          <w:szCs w:val="22"/>
        </w:rPr>
        <w:t>[K</w:t>
      </w:r>
      <w:r w:rsidRPr="002E185B">
        <w:rPr>
          <w:rFonts w:cs="Times"/>
          <w:position w:val="8"/>
          <w:sz w:val="22"/>
          <w:szCs w:val="22"/>
        </w:rPr>
        <w:t>+</w:t>
      </w:r>
      <w:r w:rsidRPr="002E185B">
        <w:rPr>
          <w:rFonts w:cs="Palatino"/>
          <w:sz w:val="22"/>
          <w:szCs w:val="22"/>
        </w:rPr>
        <w:t>] - [Cl</w:t>
      </w:r>
      <w:r w:rsidRPr="002E185B">
        <w:rPr>
          <w:rFonts w:cs="Times"/>
          <w:position w:val="8"/>
          <w:sz w:val="22"/>
          <w:szCs w:val="22"/>
        </w:rPr>
        <w:t>−</w:t>
      </w:r>
      <w:r w:rsidRPr="002E185B">
        <w:rPr>
          <w:rFonts w:cs="Palatino"/>
          <w:sz w:val="22"/>
          <w:szCs w:val="22"/>
        </w:rPr>
        <w:t>]</w:t>
      </w:r>
      <w:r w:rsidRPr="002E185B">
        <w:rPr>
          <w:rFonts w:cs="Times"/>
          <w:sz w:val="22"/>
          <w:szCs w:val="22"/>
        </w:rPr>
        <w:t xml:space="preserve">+ </w:t>
      </w:r>
      <w:r w:rsidRPr="002E185B">
        <w:rPr>
          <w:rFonts w:cs="Palatino"/>
          <w:sz w:val="22"/>
          <w:szCs w:val="22"/>
        </w:rPr>
        <w:t xml:space="preserve">[2 </w:t>
      </w:r>
      <w:r w:rsidRPr="002E185B">
        <w:rPr>
          <w:rFonts w:cs="Times"/>
          <w:sz w:val="22"/>
          <w:szCs w:val="22"/>
        </w:rPr>
        <w:t xml:space="preserve">× </w:t>
      </w:r>
      <w:r w:rsidRPr="002E185B">
        <w:rPr>
          <w:rFonts w:cs="Palatino"/>
          <w:sz w:val="22"/>
          <w:szCs w:val="22"/>
        </w:rPr>
        <w:t>Ca</w:t>
      </w:r>
      <w:r w:rsidRPr="002E185B">
        <w:rPr>
          <w:rFonts w:cs="Palatino"/>
          <w:position w:val="8"/>
          <w:sz w:val="22"/>
          <w:szCs w:val="22"/>
        </w:rPr>
        <w:t>2</w:t>
      </w:r>
      <w:r w:rsidRPr="002E185B">
        <w:rPr>
          <w:rFonts w:cs="Times"/>
          <w:position w:val="8"/>
          <w:sz w:val="22"/>
          <w:szCs w:val="22"/>
        </w:rPr>
        <w:t>+</w:t>
      </w:r>
      <w:r w:rsidRPr="002E185B">
        <w:rPr>
          <w:rFonts w:cs="Palatino"/>
          <w:sz w:val="22"/>
          <w:szCs w:val="22"/>
        </w:rPr>
        <w:t xml:space="preserve">] </w:t>
      </w:r>
      <w:r w:rsidRPr="002E185B">
        <w:rPr>
          <w:rFonts w:cs="Times"/>
          <w:sz w:val="22"/>
          <w:szCs w:val="22"/>
        </w:rPr>
        <w:t xml:space="preserve">+ </w:t>
      </w:r>
      <w:r w:rsidRPr="002E185B">
        <w:rPr>
          <w:rFonts w:cs="Palatino"/>
          <w:sz w:val="22"/>
          <w:szCs w:val="22"/>
        </w:rPr>
        <w:t xml:space="preserve">[2 </w:t>
      </w:r>
      <w:r w:rsidRPr="002E185B">
        <w:rPr>
          <w:rFonts w:cs="Times"/>
          <w:sz w:val="22"/>
          <w:szCs w:val="22"/>
        </w:rPr>
        <w:t xml:space="preserve">× </w:t>
      </w:r>
      <w:r w:rsidRPr="002E185B">
        <w:rPr>
          <w:rFonts w:cs="Palatino"/>
          <w:sz w:val="22"/>
          <w:szCs w:val="22"/>
        </w:rPr>
        <w:t>Mg</w:t>
      </w:r>
      <w:r w:rsidRPr="002E185B">
        <w:rPr>
          <w:rFonts w:cs="Palatino"/>
          <w:position w:val="8"/>
          <w:sz w:val="22"/>
          <w:szCs w:val="22"/>
        </w:rPr>
        <w:t>2</w:t>
      </w:r>
      <w:r w:rsidRPr="002E185B">
        <w:rPr>
          <w:rFonts w:cs="Times"/>
          <w:position w:val="8"/>
          <w:sz w:val="22"/>
          <w:szCs w:val="22"/>
        </w:rPr>
        <w:t>+</w:t>
      </w:r>
      <w:r w:rsidRPr="002E185B">
        <w:rPr>
          <w:rFonts w:cs="Palatino"/>
          <w:sz w:val="22"/>
          <w:szCs w:val="22"/>
        </w:rPr>
        <w:t>] - [L-lactate]}- SID</w:t>
      </w:r>
      <w:r w:rsidRPr="002E185B">
        <w:rPr>
          <w:rFonts w:cs="Palatino"/>
          <w:position w:val="-2"/>
          <w:sz w:val="22"/>
          <w:szCs w:val="22"/>
        </w:rPr>
        <w:t xml:space="preserve">e </w:t>
      </w:r>
      <w:r w:rsidRPr="002E185B">
        <w:rPr>
          <w:rFonts w:cs="Palatino"/>
          <w:sz w:val="22"/>
          <w:szCs w:val="22"/>
        </w:rPr>
        <w:t>{TCO</w:t>
      </w:r>
      <w:r w:rsidRPr="002E185B">
        <w:rPr>
          <w:rFonts w:cs="Palatino"/>
          <w:position w:val="-2"/>
          <w:sz w:val="22"/>
          <w:szCs w:val="22"/>
        </w:rPr>
        <w:t xml:space="preserve">2 </w:t>
      </w:r>
      <w:r w:rsidRPr="002E185B">
        <w:rPr>
          <w:rFonts w:cs="Times"/>
          <w:sz w:val="22"/>
          <w:szCs w:val="22"/>
        </w:rPr>
        <w:t xml:space="preserve">+ </w:t>
      </w:r>
      <w:r w:rsidRPr="002E185B">
        <w:rPr>
          <w:rFonts w:cs="Palatino"/>
          <w:sz w:val="22"/>
          <w:szCs w:val="22"/>
        </w:rPr>
        <w:t>A</w:t>
      </w:r>
      <w:r w:rsidRPr="002E185B">
        <w:rPr>
          <w:rFonts w:cs="Times"/>
          <w:position w:val="8"/>
          <w:sz w:val="22"/>
          <w:szCs w:val="22"/>
        </w:rPr>
        <w:t>−</w:t>
      </w:r>
      <w:r w:rsidRPr="002E185B">
        <w:rPr>
          <w:rFonts w:cs="Palatino"/>
          <w:sz w:val="22"/>
          <w:szCs w:val="22"/>
        </w:rPr>
        <w:t xml:space="preserve">} </w:t>
      </w:r>
    </w:p>
    <w:p w14:paraId="43CB7DDC" w14:textId="77777777" w:rsidR="00795A20" w:rsidRPr="002E185B" w:rsidRDefault="0097452F" w:rsidP="0097452F">
      <w:pPr>
        <w:pStyle w:val="ListParagraph"/>
        <w:widowControl w:val="0"/>
        <w:numPr>
          <w:ilvl w:val="0"/>
          <w:numId w:val="2"/>
        </w:numPr>
        <w:autoSpaceDE w:val="0"/>
        <w:autoSpaceDN w:val="0"/>
        <w:adjustRightInd w:val="0"/>
        <w:spacing w:after="240"/>
        <w:rPr>
          <w:rFonts w:cs="Times"/>
          <w:sz w:val="22"/>
          <w:szCs w:val="22"/>
        </w:rPr>
      </w:pPr>
      <w:r w:rsidRPr="002E185B">
        <w:rPr>
          <w:rFonts w:cs="Palatino"/>
          <w:sz w:val="22"/>
          <w:szCs w:val="22"/>
        </w:rPr>
        <w:t>SIG</w:t>
      </w:r>
      <w:r w:rsidRPr="002E185B">
        <w:rPr>
          <w:rFonts w:cs="Palatino"/>
          <w:position w:val="-2"/>
          <w:sz w:val="22"/>
          <w:szCs w:val="22"/>
        </w:rPr>
        <w:t xml:space="preserve">2 </w:t>
      </w:r>
      <w:r w:rsidRPr="002E185B">
        <w:rPr>
          <w:rFonts w:cs="Times"/>
          <w:sz w:val="22"/>
          <w:szCs w:val="22"/>
        </w:rPr>
        <w:t xml:space="preserve">= </w:t>
      </w:r>
      <w:r w:rsidRPr="002E185B">
        <w:rPr>
          <w:rFonts w:cs="Palatino"/>
          <w:sz w:val="22"/>
          <w:szCs w:val="22"/>
        </w:rPr>
        <w:t xml:space="preserve">[albumin] </w:t>
      </w:r>
      <w:r w:rsidRPr="002E185B">
        <w:rPr>
          <w:rFonts w:cs="Times"/>
          <w:sz w:val="22"/>
          <w:szCs w:val="22"/>
        </w:rPr>
        <w:t xml:space="preserve">× </w:t>
      </w:r>
      <w:r w:rsidRPr="002E185B">
        <w:rPr>
          <w:rFonts w:cs="Palatino"/>
          <w:sz w:val="22"/>
          <w:szCs w:val="22"/>
        </w:rPr>
        <w:t xml:space="preserve">4.9–anion gap. </w:t>
      </w:r>
    </w:p>
    <w:p w14:paraId="53928581" w14:textId="74EC420E" w:rsidR="0097452F" w:rsidRPr="002E185B" w:rsidRDefault="0097452F" w:rsidP="00795A20">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 xml:space="preserve">Reference intervals were established for each SIG equation using the mean </w:t>
      </w:r>
      <w:r w:rsidRPr="002E185B">
        <w:rPr>
          <w:rFonts w:cs="Times"/>
          <w:sz w:val="22"/>
          <w:szCs w:val="22"/>
        </w:rPr>
        <w:t xml:space="preserve">± </w:t>
      </w:r>
      <w:r w:rsidRPr="002E185B">
        <w:rPr>
          <w:rFonts w:cs="Palatino"/>
          <w:sz w:val="22"/>
          <w:szCs w:val="22"/>
        </w:rPr>
        <w:t xml:space="preserve">1.96 </w:t>
      </w:r>
      <w:r w:rsidRPr="002E185B">
        <w:rPr>
          <w:rFonts w:cs="Times"/>
          <w:sz w:val="22"/>
          <w:szCs w:val="22"/>
        </w:rPr>
        <w:t xml:space="preserve">× </w:t>
      </w:r>
      <w:r w:rsidR="00795A20" w:rsidRPr="002E185B">
        <w:rPr>
          <w:rFonts w:cs="Palatino"/>
          <w:sz w:val="22"/>
          <w:szCs w:val="22"/>
        </w:rPr>
        <w:t>standard deviation (SD)</w:t>
      </w:r>
    </w:p>
    <w:p w14:paraId="5F95CCC2" w14:textId="60E8F554" w:rsidR="0009674F" w:rsidRPr="002E185B" w:rsidRDefault="00DC0B63" w:rsidP="00795A20">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A</w:t>
      </w:r>
      <w:r w:rsidRPr="002E185B">
        <w:rPr>
          <w:rFonts w:cs="Times"/>
          <w:position w:val="8"/>
          <w:sz w:val="22"/>
          <w:szCs w:val="22"/>
        </w:rPr>
        <w:t>−</w:t>
      </w:r>
      <w:r w:rsidRPr="002E185B">
        <w:rPr>
          <w:rFonts w:cs="Palatino"/>
          <w:sz w:val="22"/>
          <w:szCs w:val="22"/>
        </w:rPr>
        <w:t xml:space="preserve"> = corrected albumin</w:t>
      </w:r>
    </w:p>
    <w:p w14:paraId="35D68F38" w14:textId="77777777" w:rsidR="00795A20" w:rsidRPr="002E185B" w:rsidRDefault="00795A20" w:rsidP="00795A20">
      <w:pPr>
        <w:pStyle w:val="ListParagraph"/>
        <w:widowControl w:val="0"/>
        <w:autoSpaceDE w:val="0"/>
        <w:autoSpaceDN w:val="0"/>
        <w:adjustRightInd w:val="0"/>
        <w:spacing w:after="240"/>
        <w:rPr>
          <w:rFonts w:cs="Times"/>
          <w:sz w:val="22"/>
          <w:szCs w:val="22"/>
        </w:rPr>
      </w:pPr>
    </w:p>
    <w:p w14:paraId="5E8D4E0D" w14:textId="77777777" w:rsidR="001B1288" w:rsidRPr="002E185B" w:rsidRDefault="0097452F" w:rsidP="0097452F">
      <w:pPr>
        <w:widowControl w:val="0"/>
        <w:autoSpaceDE w:val="0"/>
        <w:autoSpaceDN w:val="0"/>
        <w:adjustRightInd w:val="0"/>
        <w:spacing w:after="240"/>
        <w:rPr>
          <w:rFonts w:cs="Palatino"/>
          <w:sz w:val="22"/>
          <w:szCs w:val="22"/>
        </w:rPr>
      </w:pPr>
      <w:r w:rsidRPr="002E185B">
        <w:rPr>
          <w:rFonts w:cs="Palatino"/>
          <w:sz w:val="22"/>
          <w:szCs w:val="22"/>
        </w:rPr>
        <w:t> </w:t>
      </w:r>
      <w:r w:rsidRPr="002E185B">
        <w:rPr>
          <w:rFonts w:cs="Palatino"/>
          <w:b/>
          <w:bCs/>
          <w:sz w:val="22"/>
          <w:szCs w:val="22"/>
        </w:rPr>
        <w:t xml:space="preserve">Results: </w:t>
      </w:r>
    </w:p>
    <w:p w14:paraId="064F4601" w14:textId="0E7DB7D0" w:rsidR="001B1288" w:rsidRPr="002E185B" w:rsidRDefault="0097452F" w:rsidP="001B1288">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SIG</w:t>
      </w:r>
      <w:r w:rsidRPr="002E185B">
        <w:rPr>
          <w:rFonts w:cs="Palatino"/>
          <w:position w:val="-2"/>
          <w:sz w:val="22"/>
          <w:szCs w:val="22"/>
        </w:rPr>
        <w:t>1</w:t>
      </w:r>
      <w:r w:rsidR="001B1288" w:rsidRPr="002E185B">
        <w:rPr>
          <w:rFonts w:cs="Palatino"/>
          <w:sz w:val="22"/>
          <w:szCs w:val="22"/>
        </w:rPr>
        <w:t xml:space="preserve">, </w:t>
      </w:r>
      <w:r w:rsidRPr="002E185B">
        <w:rPr>
          <w:rFonts w:cs="Palatino"/>
          <w:sz w:val="22"/>
          <w:szCs w:val="22"/>
        </w:rPr>
        <w:t xml:space="preserve">median was 7.13 mEq/L (range, 1.05–11.30 mEq/L) and the derived reference interval was 1.85–10.61 mEq/L. </w:t>
      </w:r>
    </w:p>
    <w:p w14:paraId="12F3880F" w14:textId="77777777" w:rsidR="007A5CD5" w:rsidRPr="002E185B" w:rsidRDefault="0097452F" w:rsidP="001B1288">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SIG</w:t>
      </w:r>
      <w:r w:rsidRPr="002E185B">
        <w:rPr>
          <w:rFonts w:cs="Palatino"/>
          <w:position w:val="-2"/>
          <w:sz w:val="22"/>
          <w:szCs w:val="22"/>
        </w:rPr>
        <w:t xml:space="preserve">2 </w:t>
      </w:r>
      <w:r w:rsidR="001B1288" w:rsidRPr="002E185B">
        <w:rPr>
          <w:rFonts w:cs="Palatino"/>
          <w:sz w:val="22"/>
          <w:szCs w:val="22"/>
        </w:rPr>
        <w:t>median w</w:t>
      </w:r>
      <w:r w:rsidRPr="002E185B">
        <w:rPr>
          <w:rFonts w:cs="Palatino"/>
          <w:sz w:val="22"/>
          <w:szCs w:val="22"/>
        </w:rPr>
        <w:t xml:space="preserve">as </w:t>
      </w:r>
      <w:r w:rsidRPr="002E185B">
        <w:rPr>
          <w:rFonts w:cs="Times"/>
          <w:sz w:val="22"/>
          <w:szCs w:val="22"/>
        </w:rPr>
        <w:t>−</w:t>
      </w:r>
      <w:r w:rsidRPr="002E185B">
        <w:rPr>
          <w:rFonts w:cs="Palatino"/>
          <w:sz w:val="22"/>
          <w:szCs w:val="22"/>
        </w:rPr>
        <w:t xml:space="preserve">0.22 mEq/L (range, </w:t>
      </w:r>
      <w:r w:rsidRPr="002E185B">
        <w:rPr>
          <w:rFonts w:cs="Times"/>
          <w:sz w:val="22"/>
          <w:szCs w:val="22"/>
        </w:rPr>
        <w:t>−</w:t>
      </w:r>
      <w:r w:rsidRPr="002E185B">
        <w:rPr>
          <w:rFonts w:cs="Palatino"/>
          <w:sz w:val="22"/>
          <w:szCs w:val="22"/>
        </w:rPr>
        <w:t>5.34–6.61 mEq/L) and the mean SIG</w:t>
      </w:r>
      <w:r w:rsidRPr="002E185B">
        <w:rPr>
          <w:rFonts w:cs="Palatino"/>
          <w:position w:val="-2"/>
          <w:sz w:val="22"/>
          <w:szCs w:val="22"/>
        </w:rPr>
        <w:t xml:space="preserve">2 </w:t>
      </w:r>
      <w:r w:rsidRPr="002E185B">
        <w:rPr>
          <w:rFonts w:cs="Palatino"/>
          <w:sz w:val="22"/>
          <w:szCs w:val="22"/>
        </w:rPr>
        <w:t xml:space="preserve">was </w:t>
      </w:r>
      <w:r w:rsidRPr="002E185B">
        <w:rPr>
          <w:rFonts w:cs="Times"/>
          <w:sz w:val="22"/>
          <w:szCs w:val="22"/>
        </w:rPr>
        <w:t>−</w:t>
      </w:r>
      <w:r w:rsidRPr="002E185B">
        <w:rPr>
          <w:rFonts w:cs="Palatino"/>
          <w:sz w:val="22"/>
          <w:szCs w:val="22"/>
        </w:rPr>
        <w:t xml:space="preserve">0.09 mEq/L (95% confidence interval for the mean, </w:t>
      </w:r>
      <w:r w:rsidRPr="002E185B">
        <w:rPr>
          <w:rFonts w:cs="Times"/>
          <w:sz w:val="22"/>
          <w:szCs w:val="22"/>
        </w:rPr>
        <w:t>−</w:t>
      </w:r>
      <w:r w:rsidRPr="002E185B">
        <w:rPr>
          <w:rFonts w:cs="Palatino"/>
          <w:sz w:val="22"/>
          <w:szCs w:val="22"/>
        </w:rPr>
        <w:t xml:space="preserve">0.82–0.65 mEq/L). The derived reference interval was </w:t>
      </w:r>
      <w:r w:rsidRPr="002E185B">
        <w:rPr>
          <w:rFonts w:cs="Times"/>
          <w:sz w:val="22"/>
          <w:szCs w:val="22"/>
        </w:rPr>
        <w:t>−</w:t>
      </w:r>
      <w:r w:rsidRPr="002E185B">
        <w:rPr>
          <w:rFonts w:cs="Palatino"/>
          <w:sz w:val="22"/>
          <w:szCs w:val="22"/>
        </w:rPr>
        <w:t xml:space="preserve">5.36–5.18 mEq/L. </w:t>
      </w:r>
    </w:p>
    <w:p w14:paraId="3A946FF2" w14:textId="1B00A5B5" w:rsidR="007A5CD5" w:rsidRPr="002E185B" w:rsidRDefault="007A5CD5" w:rsidP="001B1288">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R</w:t>
      </w:r>
      <w:r w:rsidR="0097452F" w:rsidRPr="002E185B">
        <w:rPr>
          <w:rFonts w:cs="Palatino"/>
          <w:sz w:val="22"/>
          <w:szCs w:val="22"/>
        </w:rPr>
        <w:t>esults of the SIG calculations were significantly different (</w:t>
      </w:r>
      <w:r w:rsidR="0097452F" w:rsidRPr="002E185B">
        <w:rPr>
          <w:rFonts w:cs="Palatino"/>
          <w:i/>
          <w:iCs/>
          <w:sz w:val="22"/>
          <w:szCs w:val="22"/>
        </w:rPr>
        <w:t xml:space="preserve">P </w:t>
      </w:r>
      <w:r w:rsidR="0097452F" w:rsidRPr="002E185B">
        <w:rPr>
          <w:rFonts w:cs="Times"/>
          <w:sz w:val="22"/>
          <w:szCs w:val="22"/>
        </w:rPr>
        <w:t xml:space="preserve">&lt; </w:t>
      </w:r>
      <w:r w:rsidR="0097452F" w:rsidRPr="002E185B">
        <w:rPr>
          <w:rFonts w:cs="Palatino"/>
          <w:sz w:val="22"/>
          <w:szCs w:val="22"/>
        </w:rPr>
        <w:t>0.0001</w:t>
      </w:r>
      <w:r w:rsidR="00E23A22" w:rsidRPr="002E185B">
        <w:rPr>
          <w:rFonts w:cs="Palatino"/>
          <w:sz w:val="22"/>
          <w:szCs w:val="22"/>
        </w:rPr>
        <w:t>) between the 2 equations used.</w:t>
      </w:r>
    </w:p>
    <w:p w14:paraId="57B85F40" w14:textId="2AF27471" w:rsidR="00AA38DB" w:rsidRPr="002E185B" w:rsidRDefault="00AA38DB" w:rsidP="00AA38DB">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significant difference between SIG</w:t>
      </w:r>
      <w:r w:rsidRPr="002E185B">
        <w:rPr>
          <w:rFonts w:cs="Palatino"/>
          <w:position w:val="-2"/>
          <w:sz w:val="22"/>
          <w:szCs w:val="22"/>
        </w:rPr>
        <w:t xml:space="preserve">1 </w:t>
      </w:r>
      <w:r w:rsidRPr="002E185B">
        <w:rPr>
          <w:rFonts w:cs="Palatino"/>
          <w:sz w:val="22"/>
          <w:szCs w:val="22"/>
        </w:rPr>
        <w:t>and SIG</w:t>
      </w:r>
      <w:r w:rsidRPr="002E185B">
        <w:rPr>
          <w:rFonts w:cs="Palatino"/>
          <w:position w:val="-2"/>
          <w:sz w:val="22"/>
          <w:szCs w:val="22"/>
        </w:rPr>
        <w:t xml:space="preserve">2 </w:t>
      </w:r>
      <w:r w:rsidRPr="002E185B">
        <w:rPr>
          <w:rFonts w:cs="Palatino"/>
          <w:sz w:val="22"/>
          <w:szCs w:val="22"/>
        </w:rPr>
        <w:t>was expected since the SIG</w:t>
      </w:r>
      <w:r w:rsidRPr="002E185B">
        <w:rPr>
          <w:rFonts w:cs="Palatino"/>
          <w:position w:val="-2"/>
          <w:sz w:val="22"/>
          <w:szCs w:val="22"/>
        </w:rPr>
        <w:t xml:space="preserve">1 </w:t>
      </w:r>
      <w:r w:rsidR="00E23A22" w:rsidRPr="002E185B">
        <w:rPr>
          <w:rFonts w:cs="Palatino"/>
          <w:sz w:val="22"/>
          <w:szCs w:val="22"/>
        </w:rPr>
        <w:t>was calculated using an esti</w:t>
      </w:r>
      <w:r w:rsidRPr="002E185B">
        <w:rPr>
          <w:rFonts w:cs="Palatino"/>
          <w:sz w:val="22"/>
          <w:szCs w:val="22"/>
        </w:rPr>
        <w:t>mate of the anionic strength of human albumin and the SIG</w:t>
      </w:r>
      <w:r w:rsidRPr="002E185B">
        <w:rPr>
          <w:rFonts w:cs="Palatino"/>
          <w:position w:val="-2"/>
          <w:sz w:val="22"/>
          <w:szCs w:val="22"/>
        </w:rPr>
        <w:t xml:space="preserve">2 </w:t>
      </w:r>
      <w:r w:rsidRPr="002E185B">
        <w:rPr>
          <w:rFonts w:cs="Palatino"/>
          <w:sz w:val="22"/>
          <w:szCs w:val="22"/>
        </w:rPr>
        <w:t>was calculated using the simplified formula derived from data in healthy dogs.</w:t>
      </w:r>
    </w:p>
    <w:p w14:paraId="487A5E17" w14:textId="77777777" w:rsidR="00AA38DB" w:rsidRPr="002E185B" w:rsidRDefault="00AA38DB" w:rsidP="00AA38DB">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Canine plasma proteins, particularly albumin, contribute much more of a negative charge than do human plasma proteins. The difference in negative charge has been attributed by others to the different amino acid composition of albumin between the 2 species</w:t>
      </w:r>
    </w:p>
    <w:p w14:paraId="4BEC659C" w14:textId="349AF6D5" w:rsidR="00AA38DB" w:rsidRPr="002E185B" w:rsidRDefault="00A53EFA" w:rsidP="00565761">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SIG</w:t>
      </w:r>
      <w:r w:rsidRPr="002E185B">
        <w:rPr>
          <w:rFonts w:cs="Palatino"/>
          <w:position w:val="-2"/>
          <w:sz w:val="22"/>
          <w:szCs w:val="22"/>
        </w:rPr>
        <w:t xml:space="preserve">2 </w:t>
      </w:r>
      <w:r w:rsidRPr="002E185B">
        <w:rPr>
          <w:rFonts w:cs="Palatino"/>
          <w:sz w:val="22"/>
          <w:szCs w:val="22"/>
        </w:rPr>
        <w:t>formula may be more accurate than the SIG</w:t>
      </w:r>
      <w:r w:rsidRPr="002E185B">
        <w:rPr>
          <w:rFonts w:cs="Palatino"/>
          <w:position w:val="-2"/>
          <w:sz w:val="22"/>
          <w:szCs w:val="22"/>
        </w:rPr>
        <w:t xml:space="preserve">1 </w:t>
      </w:r>
      <w:r w:rsidRPr="002E185B">
        <w:rPr>
          <w:rFonts w:cs="Palatino"/>
          <w:sz w:val="22"/>
          <w:szCs w:val="22"/>
        </w:rPr>
        <w:t>formula in healthy dogs since it is based on values for A</w:t>
      </w:r>
      <w:r w:rsidRPr="002E185B">
        <w:rPr>
          <w:rFonts w:cs="Palatino"/>
          <w:position w:val="-2"/>
          <w:sz w:val="22"/>
          <w:szCs w:val="22"/>
        </w:rPr>
        <w:t xml:space="preserve">TOT </w:t>
      </w:r>
      <w:r w:rsidRPr="002E185B">
        <w:rPr>
          <w:rFonts w:cs="Palatino"/>
          <w:sz w:val="22"/>
          <w:szCs w:val="22"/>
        </w:rPr>
        <w:t>and K</w:t>
      </w:r>
      <w:r w:rsidRPr="002E185B">
        <w:rPr>
          <w:rFonts w:cs="Palatino"/>
          <w:position w:val="-2"/>
          <w:sz w:val="22"/>
          <w:szCs w:val="22"/>
        </w:rPr>
        <w:t xml:space="preserve">a </w:t>
      </w:r>
      <w:r w:rsidRPr="002E185B">
        <w:rPr>
          <w:rFonts w:cs="Palatino"/>
          <w:sz w:val="22"/>
          <w:szCs w:val="22"/>
        </w:rPr>
        <w:t>derived from canine plasma whereas the formula used to calculate SIG</w:t>
      </w:r>
      <w:r w:rsidRPr="002E185B">
        <w:rPr>
          <w:rFonts w:cs="Palatino"/>
          <w:position w:val="-2"/>
          <w:sz w:val="22"/>
          <w:szCs w:val="22"/>
        </w:rPr>
        <w:t xml:space="preserve">1 </w:t>
      </w:r>
      <w:r w:rsidRPr="002E185B">
        <w:rPr>
          <w:rFonts w:cs="Palatino"/>
          <w:sz w:val="22"/>
          <w:szCs w:val="22"/>
        </w:rPr>
        <w:t>is based on formulas to determine A</w:t>
      </w:r>
      <w:r w:rsidRPr="002E185B">
        <w:rPr>
          <w:rFonts w:cs="Times"/>
          <w:position w:val="8"/>
          <w:sz w:val="22"/>
          <w:szCs w:val="22"/>
        </w:rPr>
        <w:t xml:space="preserve">− </w:t>
      </w:r>
      <w:r w:rsidRPr="002E185B">
        <w:rPr>
          <w:rFonts w:cs="Palatino"/>
          <w:sz w:val="22"/>
          <w:szCs w:val="22"/>
        </w:rPr>
        <w:t>using human plasma</w:t>
      </w:r>
    </w:p>
    <w:p w14:paraId="37FC2085" w14:textId="77777777" w:rsidR="00565761" w:rsidRPr="002E185B" w:rsidRDefault="00565761" w:rsidP="00565761">
      <w:pPr>
        <w:pStyle w:val="ListParagraph"/>
        <w:widowControl w:val="0"/>
        <w:autoSpaceDE w:val="0"/>
        <w:autoSpaceDN w:val="0"/>
        <w:adjustRightInd w:val="0"/>
        <w:spacing w:after="240"/>
        <w:rPr>
          <w:rFonts w:cs="Times"/>
          <w:sz w:val="22"/>
          <w:szCs w:val="22"/>
        </w:rPr>
      </w:pPr>
    </w:p>
    <w:p w14:paraId="4F03F483" w14:textId="0301C298" w:rsidR="0097452F" w:rsidRPr="002E185B" w:rsidRDefault="0097452F" w:rsidP="007A5CD5">
      <w:pPr>
        <w:widowControl w:val="0"/>
        <w:autoSpaceDE w:val="0"/>
        <w:autoSpaceDN w:val="0"/>
        <w:adjustRightInd w:val="0"/>
        <w:spacing w:after="240"/>
        <w:rPr>
          <w:rFonts w:cs="Palatino"/>
          <w:sz w:val="22"/>
          <w:szCs w:val="22"/>
        </w:rPr>
      </w:pPr>
      <w:r w:rsidRPr="002E185B">
        <w:rPr>
          <w:rFonts w:cs="Palatino"/>
          <w:b/>
          <w:bCs/>
          <w:sz w:val="22"/>
          <w:szCs w:val="22"/>
        </w:rPr>
        <w:t xml:space="preserve">Conclusion: </w:t>
      </w:r>
      <w:r w:rsidR="007A5CD5" w:rsidRPr="002E185B">
        <w:rPr>
          <w:rFonts w:cs="Palatino"/>
          <w:sz w:val="22"/>
          <w:szCs w:val="22"/>
        </w:rPr>
        <w:t xml:space="preserve"> </w:t>
      </w:r>
      <w:r w:rsidRPr="002E185B">
        <w:rPr>
          <w:rFonts w:cs="Palatino"/>
          <w:sz w:val="22"/>
          <w:szCs w:val="22"/>
        </w:rPr>
        <w:t>The 2 equations used to calculate SIG yielded significantly different results and cannot be used interchangeably. The authors believe SIG</w:t>
      </w:r>
      <w:r w:rsidRPr="002E185B">
        <w:rPr>
          <w:rFonts w:cs="Palatino"/>
          <w:position w:val="-2"/>
          <w:sz w:val="22"/>
          <w:szCs w:val="22"/>
        </w:rPr>
        <w:t xml:space="preserve">2 </w:t>
      </w:r>
      <w:r w:rsidRPr="002E185B">
        <w:rPr>
          <w:rFonts w:cs="Palatino"/>
          <w:sz w:val="22"/>
          <w:szCs w:val="22"/>
        </w:rPr>
        <w:t>to be a more accurate reflection of acid-base status in healthy dogs, and recommend that this calculation be used for future studies.</w:t>
      </w:r>
    </w:p>
    <w:p w14:paraId="1ECA0BA3" w14:textId="094796E5" w:rsidR="005C4808" w:rsidRPr="002E185B" w:rsidRDefault="005C4808" w:rsidP="007A5CD5">
      <w:pPr>
        <w:widowControl w:val="0"/>
        <w:autoSpaceDE w:val="0"/>
        <w:autoSpaceDN w:val="0"/>
        <w:adjustRightInd w:val="0"/>
        <w:spacing w:after="240"/>
        <w:rPr>
          <w:rFonts w:cs="Palatino"/>
          <w:b/>
          <w:sz w:val="22"/>
          <w:szCs w:val="22"/>
        </w:rPr>
      </w:pPr>
      <w:r w:rsidRPr="002E185B">
        <w:rPr>
          <w:rFonts w:cs="Palatino"/>
          <w:b/>
          <w:sz w:val="22"/>
          <w:szCs w:val="22"/>
        </w:rPr>
        <w:lastRenderedPageBreak/>
        <w:t>Other:</w:t>
      </w:r>
    </w:p>
    <w:p w14:paraId="39513506" w14:textId="77777777" w:rsidR="0029130C" w:rsidRPr="002E185B" w:rsidRDefault="005C4808" w:rsidP="0029130C">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Stewart strong ion approach; taking into account the role of strong electrolytes and weak acids or proteins. This offers a method to account for the contribution of unmeasured ions to the acid-base status of patients. It is based on 2 major principles:</w:t>
      </w:r>
      <w:r w:rsidRPr="002E185B">
        <w:rPr>
          <w:rFonts w:cs="Times"/>
          <w:sz w:val="22"/>
          <w:szCs w:val="22"/>
        </w:rPr>
        <w:t xml:space="preserve"> </w:t>
      </w:r>
      <w:r w:rsidRPr="002E185B">
        <w:rPr>
          <w:rFonts w:cs="Palatino"/>
          <w:sz w:val="22"/>
          <w:szCs w:val="22"/>
        </w:rPr>
        <w:t>electroneutrality and the conservation of mass.</w:t>
      </w:r>
    </w:p>
    <w:p w14:paraId="093A8A2B" w14:textId="67603750" w:rsidR="005C4808" w:rsidRPr="002E185B" w:rsidRDefault="005C4808" w:rsidP="0029130C">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Singer and Hastings</w:t>
      </w:r>
      <w:r w:rsidRPr="002E185B">
        <w:rPr>
          <w:rFonts w:cs="Palatino"/>
          <w:position w:val="8"/>
          <w:sz w:val="22"/>
          <w:szCs w:val="22"/>
        </w:rPr>
        <w:t xml:space="preserve"> </w:t>
      </w:r>
      <w:r w:rsidRPr="002E185B">
        <w:rPr>
          <w:rFonts w:cs="Palatino"/>
          <w:sz w:val="22"/>
          <w:szCs w:val="22"/>
        </w:rPr>
        <w:t>proposed that plasma pH was determined by 3 independent factors: PCO</w:t>
      </w:r>
      <w:r w:rsidRPr="002E185B">
        <w:rPr>
          <w:rFonts w:cs="Palatino"/>
          <w:position w:val="-2"/>
          <w:sz w:val="22"/>
          <w:szCs w:val="22"/>
        </w:rPr>
        <w:t>2</w:t>
      </w:r>
      <w:r w:rsidRPr="002E185B">
        <w:rPr>
          <w:rFonts w:cs="Palatino"/>
          <w:sz w:val="22"/>
          <w:szCs w:val="22"/>
        </w:rPr>
        <w:t>, SID and ATOT</w:t>
      </w:r>
    </w:p>
    <w:p w14:paraId="0034457E" w14:textId="4074DFD2" w:rsidR="0029130C" w:rsidRPr="002E185B" w:rsidRDefault="005C4808" w:rsidP="0029130C">
      <w:pPr>
        <w:pStyle w:val="ListParagraph"/>
        <w:widowControl w:val="0"/>
        <w:numPr>
          <w:ilvl w:val="0"/>
          <w:numId w:val="1"/>
        </w:numPr>
        <w:autoSpaceDE w:val="0"/>
        <w:autoSpaceDN w:val="0"/>
        <w:adjustRightInd w:val="0"/>
        <w:spacing w:after="240"/>
        <w:rPr>
          <w:rFonts w:cs="Palatino"/>
          <w:position w:val="8"/>
          <w:sz w:val="22"/>
          <w:szCs w:val="22"/>
        </w:rPr>
      </w:pPr>
      <w:r w:rsidRPr="002E185B">
        <w:rPr>
          <w:rFonts w:cs="Palatino"/>
          <w:sz w:val="22"/>
          <w:szCs w:val="22"/>
        </w:rPr>
        <w:t>SID is the difference in charge between fully dissociated and therefore nonreactive or non</w:t>
      </w:r>
      <w:r w:rsidR="00A53EFA" w:rsidRPr="002E185B">
        <w:rPr>
          <w:rFonts w:cs="Palatino"/>
          <w:sz w:val="22"/>
          <w:szCs w:val="22"/>
        </w:rPr>
        <w:t xml:space="preserve"> </w:t>
      </w:r>
      <w:r w:rsidRPr="002E185B">
        <w:rPr>
          <w:rFonts w:cs="Palatino"/>
          <w:sz w:val="22"/>
          <w:szCs w:val="22"/>
        </w:rPr>
        <w:t xml:space="preserve">buffering strong cations and strong anions at physiologic pH. </w:t>
      </w:r>
    </w:p>
    <w:p w14:paraId="30A44BB3" w14:textId="18729E6C" w:rsidR="0029130C" w:rsidRPr="002E185B" w:rsidRDefault="005C4808" w:rsidP="0029130C">
      <w:pPr>
        <w:pStyle w:val="ListParagraph"/>
        <w:widowControl w:val="0"/>
        <w:numPr>
          <w:ilvl w:val="0"/>
          <w:numId w:val="1"/>
        </w:numPr>
        <w:autoSpaceDE w:val="0"/>
        <w:autoSpaceDN w:val="0"/>
        <w:adjustRightInd w:val="0"/>
        <w:spacing w:after="240"/>
        <w:rPr>
          <w:rFonts w:cs="Palatino"/>
          <w:position w:val="8"/>
          <w:sz w:val="22"/>
          <w:szCs w:val="22"/>
        </w:rPr>
      </w:pPr>
      <w:r w:rsidRPr="002E185B">
        <w:rPr>
          <w:rFonts w:cs="Palatino"/>
          <w:sz w:val="22"/>
          <w:szCs w:val="22"/>
        </w:rPr>
        <w:t>A</w:t>
      </w:r>
      <w:r w:rsidRPr="002E185B">
        <w:rPr>
          <w:rFonts w:cs="Palatino"/>
          <w:position w:val="-2"/>
          <w:sz w:val="22"/>
          <w:szCs w:val="22"/>
        </w:rPr>
        <w:t xml:space="preserve">TOT </w:t>
      </w:r>
      <w:r w:rsidRPr="002E185B">
        <w:rPr>
          <w:rFonts w:cs="Palatino"/>
          <w:sz w:val="22"/>
          <w:szCs w:val="22"/>
        </w:rPr>
        <w:t>is the total plasma concentration of nonvolatile weak buffers such as albumin, globulins, and phosphate</w:t>
      </w:r>
    </w:p>
    <w:p w14:paraId="342FF229" w14:textId="42C0B9C7" w:rsidR="0029130C" w:rsidRPr="002E185B" w:rsidRDefault="0029130C" w:rsidP="0029130C">
      <w:pPr>
        <w:pStyle w:val="ListParagraph"/>
        <w:widowControl w:val="0"/>
        <w:numPr>
          <w:ilvl w:val="0"/>
          <w:numId w:val="1"/>
        </w:numPr>
        <w:autoSpaceDE w:val="0"/>
        <w:autoSpaceDN w:val="0"/>
        <w:adjustRightInd w:val="0"/>
        <w:spacing w:after="240"/>
        <w:rPr>
          <w:rFonts w:cs="Times"/>
          <w:sz w:val="22"/>
          <w:szCs w:val="22"/>
        </w:rPr>
      </w:pPr>
      <w:r w:rsidRPr="002E185B">
        <w:rPr>
          <w:rFonts w:cs="Helvetica"/>
          <w:sz w:val="22"/>
          <w:szCs w:val="22"/>
        </w:rPr>
        <w:t>SID</w:t>
      </w:r>
      <w:r w:rsidRPr="002E185B">
        <w:rPr>
          <w:rFonts w:cs="Helvetica"/>
          <w:position w:val="-2"/>
          <w:sz w:val="22"/>
          <w:szCs w:val="22"/>
        </w:rPr>
        <w:t xml:space="preserve">a </w:t>
      </w:r>
      <w:r w:rsidR="00ED67F4" w:rsidRPr="002E185B">
        <w:rPr>
          <w:rFonts w:cs="Helvetica"/>
          <w:position w:val="-2"/>
          <w:sz w:val="22"/>
          <w:szCs w:val="22"/>
        </w:rPr>
        <w:t xml:space="preserve">(apparent SID) </w:t>
      </w:r>
      <w:r w:rsidRPr="002E185B">
        <w:rPr>
          <w:rFonts w:cs="Helvetica"/>
          <w:position w:val="-2"/>
          <w:sz w:val="22"/>
          <w:szCs w:val="22"/>
        </w:rPr>
        <w:t xml:space="preserve"> = </w:t>
      </w:r>
      <w:r w:rsidRPr="002E185B">
        <w:rPr>
          <w:rFonts w:cs="Helvetica"/>
          <w:sz w:val="22"/>
          <w:szCs w:val="22"/>
        </w:rPr>
        <w:t>[Na</w:t>
      </w:r>
      <w:r w:rsidRPr="002E185B">
        <w:rPr>
          <w:rFonts w:cs="Times"/>
          <w:position w:val="8"/>
          <w:sz w:val="22"/>
          <w:szCs w:val="22"/>
        </w:rPr>
        <w:t>+</w:t>
      </w:r>
      <w:r w:rsidRPr="002E185B">
        <w:rPr>
          <w:rFonts w:cs="Helvetica"/>
          <w:sz w:val="22"/>
          <w:szCs w:val="22"/>
        </w:rPr>
        <w:t xml:space="preserve">] </w:t>
      </w:r>
      <w:r w:rsidRPr="002E185B">
        <w:rPr>
          <w:rFonts w:cs="Times"/>
          <w:sz w:val="22"/>
          <w:szCs w:val="22"/>
        </w:rPr>
        <w:t xml:space="preserve">+ </w:t>
      </w:r>
      <w:r w:rsidRPr="002E185B">
        <w:rPr>
          <w:rFonts w:cs="Helvetica"/>
          <w:sz w:val="22"/>
          <w:szCs w:val="22"/>
        </w:rPr>
        <w:t>[K</w:t>
      </w:r>
      <w:r w:rsidRPr="002E185B">
        <w:rPr>
          <w:rFonts w:cs="Times"/>
          <w:position w:val="8"/>
          <w:sz w:val="22"/>
          <w:szCs w:val="22"/>
        </w:rPr>
        <w:t>+</w:t>
      </w:r>
      <w:r w:rsidRPr="002E185B">
        <w:rPr>
          <w:rFonts w:cs="Helvetica"/>
          <w:sz w:val="22"/>
          <w:szCs w:val="22"/>
        </w:rPr>
        <w:t>]–[Cl</w:t>
      </w:r>
      <w:r w:rsidRPr="002E185B">
        <w:rPr>
          <w:rFonts w:cs="Times"/>
          <w:position w:val="8"/>
          <w:sz w:val="22"/>
          <w:szCs w:val="22"/>
        </w:rPr>
        <w:t>−</w:t>
      </w:r>
      <w:r w:rsidRPr="002E185B">
        <w:rPr>
          <w:rFonts w:cs="Helvetica"/>
          <w:sz w:val="22"/>
          <w:szCs w:val="22"/>
        </w:rPr>
        <w:t xml:space="preserve">] </w:t>
      </w:r>
      <w:r w:rsidRPr="002E185B">
        <w:rPr>
          <w:rFonts w:cs="Times"/>
          <w:sz w:val="22"/>
          <w:szCs w:val="22"/>
        </w:rPr>
        <w:t xml:space="preserve">+ </w:t>
      </w:r>
      <w:r w:rsidRPr="002E185B">
        <w:rPr>
          <w:rFonts w:cs="Helvetica"/>
          <w:sz w:val="22"/>
          <w:szCs w:val="22"/>
        </w:rPr>
        <w:t xml:space="preserve">[2 </w:t>
      </w:r>
      <w:r w:rsidRPr="002E185B">
        <w:rPr>
          <w:rFonts w:cs="Times"/>
          <w:sz w:val="22"/>
          <w:szCs w:val="22"/>
        </w:rPr>
        <w:t xml:space="preserve">× </w:t>
      </w:r>
      <w:r w:rsidRPr="002E185B">
        <w:rPr>
          <w:rFonts w:cs="Helvetica"/>
          <w:sz w:val="22"/>
          <w:szCs w:val="22"/>
        </w:rPr>
        <w:t>Ca</w:t>
      </w:r>
      <w:r w:rsidRPr="002E185B">
        <w:rPr>
          <w:rFonts w:cs="Helvetica"/>
          <w:position w:val="8"/>
          <w:sz w:val="22"/>
          <w:szCs w:val="22"/>
        </w:rPr>
        <w:t>2</w:t>
      </w:r>
      <w:r w:rsidRPr="002E185B">
        <w:rPr>
          <w:rFonts w:cs="Times"/>
          <w:position w:val="8"/>
          <w:sz w:val="22"/>
          <w:szCs w:val="22"/>
        </w:rPr>
        <w:t>+</w:t>
      </w:r>
      <w:r w:rsidRPr="002E185B">
        <w:rPr>
          <w:rFonts w:cs="Helvetica"/>
          <w:sz w:val="22"/>
          <w:szCs w:val="22"/>
        </w:rPr>
        <w:t xml:space="preserve">] </w:t>
      </w:r>
      <w:r w:rsidRPr="002E185B">
        <w:rPr>
          <w:rFonts w:cs="Times"/>
          <w:sz w:val="22"/>
          <w:szCs w:val="22"/>
        </w:rPr>
        <w:t xml:space="preserve">+ </w:t>
      </w:r>
      <w:r w:rsidRPr="002E185B">
        <w:rPr>
          <w:rFonts w:cs="Helvetica"/>
          <w:sz w:val="22"/>
          <w:szCs w:val="22"/>
        </w:rPr>
        <w:t xml:space="preserve">[2 </w:t>
      </w:r>
      <w:r w:rsidRPr="002E185B">
        <w:rPr>
          <w:rFonts w:cs="Times"/>
          <w:sz w:val="22"/>
          <w:szCs w:val="22"/>
        </w:rPr>
        <w:t xml:space="preserve">× </w:t>
      </w:r>
      <w:r w:rsidRPr="002E185B">
        <w:rPr>
          <w:rFonts w:cs="Helvetica"/>
          <w:sz w:val="22"/>
          <w:szCs w:val="22"/>
        </w:rPr>
        <w:t>Mg</w:t>
      </w:r>
      <w:r w:rsidRPr="002E185B">
        <w:rPr>
          <w:rFonts w:cs="Helvetica"/>
          <w:position w:val="8"/>
          <w:sz w:val="22"/>
          <w:szCs w:val="22"/>
        </w:rPr>
        <w:t>2</w:t>
      </w:r>
      <w:r w:rsidRPr="002E185B">
        <w:rPr>
          <w:rFonts w:cs="Times"/>
          <w:position w:val="8"/>
          <w:sz w:val="22"/>
          <w:szCs w:val="22"/>
        </w:rPr>
        <w:t xml:space="preserve">+ </w:t>
      </w:r>
      <w:r w:rsidRPr="002E185B">
        <w:rPr>
          <w:rFonts w:cs="Helvetica"/>
          <w:sz w:val="22"/>
          <w:szCs w:val="22"/>
        </w:rPr>
        <w:t>]–[L-lactate]</w:t>
      </w:r>
    </w:p>
    <w:p w14:paraId="211E5C33" w14:textId="76A3DBF5" w:rsidR="0029130C" w:rsidRPr="002E185B" w:rsidRDefault="0029130C" w:rsidP="0029130C">
      <w:pPr>
        <w:pStyle w:val="ListParagraph"/>
        <w:widowControl w:val="0"/>
        <w:numPr>
          <w:ilvl w:val="0"/>
          <w:numId w:val="1"/>
        </w:numPr>
        <w:autoSpaceDE w:val="0"/>
        <w:autoSpaceDN w:val="0"/>
        <w:adjustRightInd w:val="0"/>
        <w:spacing w:after="240"/>
        <w:rPr>
          <w:rFonts w:cs="Times"/>
          <w:sz w:val="22"/>
          <w:szCs w:val="22"/>
        </w:rPr>
      </w:pPr>
      <w:r w:rsidRPr="002E185B">
        <w:rPr>
          <w:rFonts w:cs="Helvetica"/>
          <w:sz w:val="22"/>
          <w:szCs w:val="22"/>
        </w:rPr>
        <w:t>SID</w:t>
      </w:r>
      <w:r w:rsidRPr="002E185B">
        <w:rPr>
          <w:rFonts w:cs="Helvetica"/>
          <w:position w:val="-2"/>
          <w:sz w:val="22"/>
          <w:szCs w:val="22"/>
        </w:rPr>
        <w:t xml:space="preserve">e </w:t>
      </w:r>
      <w:r w:rsidR="00ED67F4" w:rsidRPr="002E185B">
        <w:rPr>
          <w:rFonts w:cs="Helvetica"/>
          <w:position w:val="-2"/>
          <w:sz w:val="22"/>
          <w:szCs w:val="22"/>
        </w:rPr>
        <w:t>(effective SID)</w:t>
      </w:r>
      <w:r w:rsidRPr="002E185B">
        <w:rPr>
          <w:rFonts w:cs="Helvetica"/>
          <w:position w:val="-2"/>
          <w:sz w:val="22"/>
          <w:szCs w:val="22"/>
        </w:rPr>
        <w:t xml:space="preserve"> =  </w:t>
      </w:r>
      <w:r w:rsidRPr="002E185B">
        <w:rPr>
          <w:rFonts w:cs="Helvetica"/>
          <w:sz w:val="22"/>
          <w:szCs w:val="22"/>
        </w:rPr>
        <w:t>TCO</w:t>
      </w:r>
      <w:r w:rsidRPr="002E185B">
        <w:rPr>
          <w:rFonts w:cs="Helvetica"/>
          <w:position w:val="-2"/>
          <w:sz w:val="22"/>
          <w:szCs w:val="22"/>
        </w:rPr>
        <w:t xml:space="preserve">2 </w:t>
      </w:r>
      <w:r w:rsidRPr="002E185B">
        <w:rPr>
          <w:rFonts w:cs="Helvetica"/>
          <w:sz w:val="22"/>
          <w:szCs w:val="22"/>
        </w:rPr>
        <w:t xml:space="preserve">(mEq/L) </w:t>
      </w:r>
      <w:r w:rsidRPr="002E185B">
        <w:rPr>
          <w:rFonts w:cs="Times"/>
          <w:sz w:val="22"/>
          <w:szCs w:val="22"/>
        </w:rPr>
        <w:t xml:space="preserve">+ </w:t>
      </w:r>
      <w:r w:rsidRPr="002E185B">
        <w:rPr>
          <w:rFonts w:cs="Helvetica"/>
          <w:sz w:val="22"/>
          <w:szCs w:val="22"/>
        </w:rPr>
        <w:t>A</w:t>
      </w:r>
      <w:r w:rsidRPr="002E185B">
        <w:rPr>
          <w:rFonts w:cs="Times"/>
          <w:position w:val="8"/>
          <w:sz w:val="22"/>
          <w:szCs w:val="22"/>
        </w:rPr>
        <w:t>−</w:t>
      </w:r>
      <w:r w:rsidR="0009674F" w:rsidRPr="002E185B">
        <w:rPr>
          <w:rFonts w:cs="Times"/>
          <w:position w:val="8"/>
          <w:sz w:val="22"/>
          <w:szCs w:val="22"/>
        </w:rPr>
        <w:t xml:space="preserve"> </w:t>
      </w:r>
    </w:p>
    <w:p w14:paraId="5BF6DC5D" w14:textId="6FB8D709" w:rsidR="0029130C" w:rsidRPr="002E185B" w:rsidRDefault="0029130C" w:rsidP="0029130C">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difference between SID</w:t>
      </w:r>
      <w:r w:rsidRPr="002E185B">
        <w:rPr>
          <w:rFonts w:cs="Palatino"/>
          <w:position w:val="-2"/>
          <w:sz w:val="22"/>
          <w:szCs w:val="22"/>
        </w:rPr>
        <w:t xml:space="preserve">a </w:t>
      </w:r>
      <w:r w:rsidRPr="002E185B">
        <w:rPr>
          <w:rFonts w:cs="Palatino"/>
          <w:sz w:val="22"/>
          <w:szCs w:val="22"/>
        </w:rPr>
        <w:t>and SID</w:t>
      </w:r>
      <w:r w:rsidRPr="002E185B">
        <w:rPr>
          <w:rFonts w:cs="Palatino"/>
          <w:position w:val="-2"/>
          <w:sz w:val="22"/>
          <w:szCs w:val="22"/>
        </w:rPr>
        <w:t>e</w:t>
      </w:r>
      <w:r w:rsidRPr="002E185B">
        <w:rPr>
          <w:rFonts w:cs="Palatino"/>
          <w:sz w:val="22"/>
          <w:szCs w:val="22"/>
        </w:rPr>
        <w:t xml:space="preserve"> is termed the SIG</w:t>
      </w:r>
    </w:p>
    <w:p w14:paraId="6F876AF8" w14:textId="2FED059C" w:rsidR="00E13510" w:rsidRPr="002E185B" w:rsidRDefault="00E13510" w:rsidP="00E1351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SIG in vivo is usually positive due to an excess of unmeasured anions compared to unmeasured cations. Strong ions do not participate in chemical reactions at physiologic pH, and since the requirement for electroneutrality must be met, the excess positive charge is balanced by unmeasured anions</w:t>
      </w:r>
    </w:p>
    <w:p w14:paraId="2FBB1D41" w14:textId="3E8A06B4" w:rsidR="00E13510" w:rsidRPr="002E185B" w:rsidRDefault="00E23A22" w:rsidP="00E1351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In this study</w:t>
      </w:r>
      <w:r w:rsidR="00E13510" w:rsidRPr="002E185B">
        <w:rPr>
          <w:rFonts w:cs="Palatino"/>
          <w:sz w:val="22"/>
          <w:szCs w:val="22"/>
        </w:rPr>
        <w:t xml:space="preserve"> the values for AG</w:t>
      </w:r>
      <w:r w:rsidR="00E13510" w:rsidRPr="002E185B">
        <w:rPr>
          <w:rFonts w:cs="Palatino"/>
          <w:position w:val="-2"/>
          <w:sz w:val="22"/>
          <w:szCs w:val="22"/>
        </w:rPr>
        <w:t xml:space="preserve">corr </w:t>
      </w:r>
      <w:r w:rsidR="00E13510" w:rsidRPr="002E185B">
        <w:rPr>
          <w:rFonts w:cs="Palatino"/>
          <w:sz w:val="22"/>
          <w:szCs w:val="22"/>
        </w:rPr>
        <w:t>were closer to SIG (calculated by either method) than the AG, as may be expected since both the AG</w:t>
      </w:r>
      <w:r w:rsidR="00E13510" w:rsidRPr="002E185B">
        <w:rPr>
          <w:rFonts w:cs="Palatino"/>
          <w:position w:val="-2"/>
          <w:sz w:val="22"/>
          <w:szCs w:val="22"/>
        </w:rPr>
        <w:t xml:space="preserve">corr </w:t>
      </w:r>
      <w:r w:rsidR="00E13510" w:rsidRPr="002E185B">
        <w:rPr>
          <w:rFonts w:cs="Palatino"/>
          <w:sz w:val="22"/>
          <w:szCs w:val="22"/>
        </w:rPr>
        <w:t>and SIG calculations factor in the net anionic charge of serum albumin and</w:t>
      </w:r>
      <w:r w:rsidRPr="002E185B">
        <w:rPr>
          <w:rFonts w:cs="Palatino"/>
          <w:sz w:val="22"/>
          <w:szCs w:val="22"/>
        </w:rPr>
        <w:t xml:space="preserve"> phosphate</w:t>
      </w:r>
    </w:p>
    <w:p w14:paraId="12CACC0C" w14:textId="77777777" w:rsidR="00742650" w:rsidRPr="002E185B" w:rsidRDefault="00325A44" w:rsidP="0074265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SIG is superior to the anion gap in its ability to identify the presence of abnormal unmeasured ions because its calculation incorporates the contribution of albumin, phosphate, and strong ions not included in the anion gap formula.</w:t>
      </w:r>
    </w:p>
    <w:p w14:paraId="4991C453" w14:textId="0902B670" w:rsidR="00742650" w:rsidRPr="002E185B" w:rsidRDefault="00742650" w:rsidP="0074265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Note: </w:t>
      </w:r>
      <w:r w:rsidRPr="002E185B">
        <w:rPr>
          <w:rFonts w:cs="Helvetica"/>
          <w:sz w:val="22"/>
          <w:szCs w:val="22"/>
        </w:rPr>
        <w:t>AG</w:t>
      </w:r>
      <w:r w:rsidRPr="002E185B">
        <w:rPr>
          <w:rFonts w:cs="Helvetica"/>
          <w:position w:val="-2"/>
          <w:sz w:val="22"/>
          <w:szCs w:val="22"/>
        </w:rPr>
        <w:t xml:space="preserve">corr </w:t>
      </w:r>
      <w:r w:rsidRPr="002E185B">
        <w:rPr>
          <w:rFonts w:cs="Helvetica"/>
          <w:sz w:val="22"/>
          <w:szCs w:val="22"/>
        </w:rPr>
        <w:t xml:space="preserve">= AG </w:t>
      </w:r>
      <w:r w:rsidRPr="002E185B">
        <w:rPr>
          <w:rFonts w:cs="Times"/>
          <w:sz w:val="22"/>
          <w:szCs w:val="22"/>
        </w:rPr>
        <w:t xml:space="preserve">+ </w:t>
      </w:r>
      <w:r w:rsidRPr="002E185B">
        <w:rPr>
          <w:rFonts w:cs="Helvetica"/>
          <w:sz w:val="22"/>
          <w:szCs w:val="22"/>
        </w:rPr>
        <w:t xml:space="preserve">0.42 </w:t>
      </w:r>
      <w:r w:rsidRPr="002E185B">
        <w:rPr>
          <w:rFonts w:cs="Times"/>
          <w:sz w:val="22"/>
          <w:szCs w:val="22"/>
        </w:rPr>
        <w:t xml:space="preserve">× </w:t>
      </w:r>
      <w:r w:rsidRPr="002E185B">
        <w:rPr>
          <w:rFonts w:cs="Helvetica"/>
          <w:sz w:val="22"/>
          <w:szCs w:val="22"/>
        </w:rPr>
        <w:t xml:space="preserve">(37.7 g/L–[albumin (g/dL)] </w:t>
      </w:r>
      <w:r w:rsidRPr="002E185B">
        <w:rPr>
          <w:rFonts w:cs="Times"/>
          <w:sz w:val="22"/>
          <w:szCs w:val="22"/>
        </w:rPr>
        <w:t xml:space="preserve">× </w:t>
      </w:r>
      <w:r w:rsidRPr="002E185B">
        <w:rPr>
          <w:rFonts w:cs="Helvetica"/>
          <w:sz w:val="22"/>
          <w:szCs w:val="22"/>
        </w:rPr>
        <w:t xml:space="preserve">10) </w:t>
      </w:r>
      <w:r w:rsidRPr="002E185B">
        <w:rPr>
          <w:rFonts w:cs="Times"/>
          <w:sz w:val="22"/>
          <w:szCs w:val="22"/>
        </w:rPr>
        <w:t xml:space="preserve">+ </w:t>
      </w:r>
      <w:r w:rsidRPr="002E185B">
        <w:rPr>
          <w:rFonts w:cs="Helvetica"/>
          <w:sz w:val="22"/>
          <w:szCs w:val="22"/>
        </w:rPr>
        <w:t xml:space="preserve">1.8 </w:t>
      </w:r>
      <w:r w:rsidRPr="002E185B">
        <w:rPr>
          <w:rFonts w:cs="Times"/>
          <w:sz w:val="22"/>
          <w:szCs w:val="22"/>
        </w:rPr>
        <w:t xml:space="preserve">× </w:t>
      </w:r>
      <w:r w:rsidRPr="002E185B">
        <w:rPr>
          <w:rFonts w:cs="Helvetica"/>
          <w:sz w:val="22"/>
          <w:szCs w:val="22"/>
        </w:rPr>
        <w:t>91.4–[phosphate (mg/dL)]</w:t>
      </w:r>
    </w:p>
    <w:p w14:paraId="0F7F9502" w14:textId="2C8429F8" w:rsidR="00742650" w:rsidRPr="002E185B" w:rsidRDefault="00742650" w:rsidP="00742650">
      <w:pPr>
        <w:pStyle w:val="ListParagraph"/>
        <w:widowControl w:val="0"/>
        <w:autoSpaceDE w:val="0"/>
        <w:autoSpaceDN w:val="0"/>
        <w:adjustRightInd w:val="0"/>
        <w:spacing w:after="240"/>
        <w:rPr>
          <w:rFonts w:cs="Times"/>
          <w:sz w:val="22"/>
          <w:szCs w:val="22"/>
        </w:rPr>
      </w:pPr>
    </w:p>
    <w:p w14:paraId="25FBEB40" w14:textId="6A80035F" w:rsidR="005C4808" w:rsidRPr="002E185B" w:rsidRDefault="00E23A22" w:rsidP="00E23A22">
      <w:pPr>
        <w:widowControl w:val="0"/>
        <w:autoSpaceDE w:val="0"/>
        <w:autoSpaceDN w:val="0"/>
        <w:adjustRightInd w:val="0"/>
        <w:spacing w:after="240"/>
        <w:rPr>
          <w:rFonts w:cs="Times"/>
          <w:b/>
          <w:sz w:val="22"/>
          <w:szCs w:val="22"/>
        </w:rPr>
      </w:pPr>
      <w:r w:rsidRPr="002E185B">
        <w:rPr>
          <w:rFonts w:cs="Times"/>
          <w:b/>
          <w:sz w:val="22"/>
          <w:szCs w:val="22"/>
        </w:rPr>
        <w:t>Questions:</w:t>
      </w:r>
    </w:p>
    <w:p w14:paraId="467A29E9" w14:textId="77777777" w:rsidR="002E2EF2" w:rsidRPr="002E185B" w:rsidRDefault="002E2EF2" w:rsidP="00E23A22">
      <w:pPr>
        <w:pStyle w:val="ListParagraph"/>
        <w:widowControl w:val="0"/>
        <w:numPr>
          <w:ilvl w:val="0"/>
          <w:numId w:val="7"/>
        </w:numPr>
        <w:autoSpaceDE w:val="0"/>
        <w:autoSpaceDN w:val="0"/>
        <w:adjustRightInd w:val="0"/>
        <w:spacing w:after="240"/>
        <w:rPr>
          <w:rFonts w:cs="Times"/>
          <w:sz w:val="22"/>
          <w:szCs w:val="22"/>
        </w:rPr>
      </w:pPr>
      <w:r w:rsidRPr="002E185B">
        <w:rPr>
          <w:rFonts w:cs="Times"/>
          <w:sz w:val="22"/>
          <w:szCs w:val="22"/>
        </w:rPr>
        <w:t>What was the purpose of this study?</w:t>
      </w:r>
    </w:p>
    <w:p w14:paraId="4C0E5643" w14:textId="2CFACBAA" w:rsidR="00E23A22" w:rsidRPr="002E185B" w:rsidRDefault="00E23A22" w:rsidP="00E23A22">
      <w:pPr>
        <w:pStyle w:val="ListParagraph"/>
        <w:widowControl w:val="0"/>
        <w:numPr>
          <w:ilvl w:val="0"/>
          <w:numId w:val="7"/>
        </w:numPr>
        <w:autoSpaceDE w:val="0"/>
        <w:autoSpaceDN w:val="0"/>
        <w:adjustRightInd w:val="0"/>
        <w:spacing w:after="240"/>
        <w:rPr>
          <w:rFonts w:cs="Times"/>
          <w:sz w:val="22"/>
          <w:szCs w:val="22"/>
        </w:rPr>
      </w:pPr>
      <w:r w:rsidRPr="002E185B">
        <w:rPr>
          <w:rFonts w:cs="Times"/>
          <w:sz w:val="22"/>
          <w:szCs w:val="22"/>
        </w:rPr>
        <w:t>What were the two SIG formulas used in this study</w:t>
      </w:r>
      <w:r w:rsidR="002E2EF2" w:rsidRPr="002E185B">
        <w:rPr>
          <w:rFonts w:cs="Times"/>
          <w:sz w:val="22"/>
          <w:szCs w:val="22"/>
        </w:rPr>
        <w:t>?</w:t>
      </w:r>
    </w:p>
    <w:p w14:paraId="5D1020C1" w14:textId="3A66C30B" w:rsidR="00E23A22" w:rsidRPr="002E185B" w:rsidRDefault="00E23A22" w:rsidP="00E23A22">
      <w:pPr>
        <w:pStyle w:val="ListParagraph"/>
        <w:widowControl w:val="0"/>
        <w:numPr>
          <w:ilvl w:val="0"/>
          <w:numId w:val="7"/>
        </w:numPr>
        <w:autoSpaceDE w:val="0"/>
        <w:autoSpaceDN w:val="0"/>
        <w:adjustRightInd w:val="0"/>
        <w:spacing w:after="240"/>
        <w:rPr>
          <w:rFonts w:cs="Times"/>
          <w:sz w:val="22"/>
          <w:szCs w:val="22"/>
        </w:rPr>
      </w:pPr>
      <w:r w:rsidRPr="002E185B">
        <w:rPr>
          <w:rFonts w:cs="Times"/>
          <w:sz w:val="22"/>
          <w:szCs w:val="22"/>
        </w:rPr>
        <w:t>What was thought to account for the difference between SIG1 and SIG2?</w:t>
      </w:r>
    </w:p>
    <w:p w14:paraId="1D2E552A" w14:textId="16C87F3E" w:rsidR="0009674F" w:rsidRPr="002E185B" w:rsidRDefault="0009674F" w:rsidP="00E23A22">
      <w:pPr>
        <w:pStyle w:val="ListParagraph"/>
        <w:widowControl w:val="0"/>
        <w:numPr>
          <w:ilvl w:val="0"/>
          <w:numId w:val="7"/>
        </w:numPr>
        <w:autoSpaceDE w:val="0"/>
        <w:autoSpaceDN w:val="0"/>
        <w:adjustRightInd w:val="0"/>
        <w:spacing w:after="240"/>
        <w:rPr>
          <w:rFonts w:cs="Times"/>
          <w:sz w:val="22"/>
          <w:szCs w:val="22"/>
        </w:rPr>
      </w:pPr>
      <w:r w:rsidRPr="002E185B">
        <w:rPr>
          <w:rFonts w:cs="Times"/>
          <w:sz w:val="22"/>
          <w:szCs w:val="22"/>
        </w:rPr>
        <w:t>Which SIG calculation was determined to be more accurate?</w:t>
      </w:r>
    </w:p>
    <w:p w14:paraId="073A4FF3" w14:textId="6319E030" w:rsidR="00ED67F4" w:rsidRPr="002E185B" w:rsidRDefault="00ED67F4" w:rsidP="00E23A22">
      <w:pPr>
        <w:pStyle w:val="ListParagraph"/>
        <w:widowControl w:val="0"/>
        <w:numPr>
          <w:ilvl w:val="0"/>
          <w:numId w:val="7"/>
        </w:numPr>
        <w:autoSpaceDE w:val="0"/>
        <w:autoSpaceDN w:val="0"/>
        <w:adjustRightInd w:val="0"/>
        <w:spacing w:after="240"/>
        <w:rPr>
          <w:rFonts w:cs="Times"/>
          <w:sz w:val="22"/>
          <w:szCs w:val="22"/>
        </w:rPr>
      </w:pPr>
      <w:r w:rsidRPr="002E185B">
        <w:rPr>
          <w:rFonts w:cs="Times"/>
          <w:sz w:val="22"/>
          <w:szCs w:val="22"/>
        </w:rPr>
        <w:t>Does the SIG appear to be superior to AG in this study?</w:t>
      </w:r>
    </w:p>
    <w:p w14:paraId="26369395" w14:textId="77777777" w:rsidR="0009674F" w:rsidRPr="002E185B" w:rsidRDefault="0009674F" w:rsidP="0009674F">
      <w:pPr>
        <w:pStyle w:val="ListParagraph"/>
        <w:widowControl w:val="0"/>
        <w:autoSpaceDE w:val="0"/>
        <w:autoSpaceDN w:val="0"/>
        <w:adjustRightInd w:val="0"/>
        <w:spacing w:after="240"/>
        <w:rPr>
          <w:rFonts w:cs="Times"/>
          <w:sz w:val="22"/>
          <w:szCs w:val="22"/>
        </w:rPr>
      </w:pPr>
    </w:p>
    <w:p w14:paraId="2C64003E" w14:textId="77777777" w:rsidR="002E2EF2" w:rsidRPr="002E185B" w:rsidRDefault="002E2EF2" w:rsidP="00E80ED8">
      <w:pPr>
        <w:widowControl w:val="0"/>
        <w:autoSpaceDE w:val="0"/>
        <w:autoSpaceDN w:val="0"/>
        <w:adjustRightInd w:val="0"/>
        <w:spacing w:after="240"/>
        <w:rPr>
          <w:rFonts w:cs="Helvetica"/>
          <w:b/>
          <w:bCs/>
          <w:sz w:val="22"/>
          <w:szCs w:val="22"/>
          <w:u w:val="single"/>
        </w:rPr>
      </w:pPr>
    </w:p>
    <w:p w14:paraId="136A08F1" w14:textId="77777777" w:rsidR="002E2EF2" w:rsidRPr="002E185B" w:rsidRDefault="002E2EF2" w:rsidP="00E80ED8">
      <w:pPr>
        <w:widowControl w:val="0"/>
        <w:autoSpaceDE w:val="0"/>
        <w:autoSpaceDN w:val="0"/>
        <w:adjustRightInd w:val="0"/>
        <w:spacing w:after="240"/>
        <w:rPr>
          <w:rFonts w:cs="Helvetica"/>
          <w:b/>
          <w:bCs/>
          <w:sz w:val="22"/>
          <w:szCs w:val="22"/>
          <w:u w:val="single"/>
        </w:rPr>
      </w:pPr>
    </w:p>
    <w:p w14:paraId="65E5C4CA" w14:textId="77777777" w:rsidR="002E2EF2" w:rsidRPr="002E185B" w:rsidRDefault="002E2EF2" w:rsidP="00E80ED8">
      <w:pPr>
        <w:widowControl w:val="0"/>
        <w:autoSpaceDE w:val="0"/>
        <w:autoSpaceDN w:val="0"/>
        <w:adjustRightInd w:val="0"/>
        <w:spacing w:after="240"/>
        <w:rPr>
          <w:rFonts w:cs="Helvetica"/>
          <w:b/>
          <w:bCs/>
          <w:sz w:val="22"/>
          <w:szCs w:val="22"/>
          <w:u w:val="single"/>
        </w:rPr>
      </w:pPr>
    </w:p>
    <w:p w14:paraId="3ABB5EE9" w14:textId="77777777" w:rsidR="002E2EF2" w:rsidRPr="002E185B" w:rsidRDefault="002E2EF2" w:rsidP="00E80ED8">
      <w:pPr>
        <w:widowControl w:val="0"/>
        <w:autoSpaceDE w:val="0"/>
        <w:autoSpaceDN w:val="0"/>
        <w:adjustRightInd w:val="0"/>
        <w:spacing w:after="240"/>
        <w:rPr>
          <w:rFonts w:cs="Helvetica"/>
          <w:b/>
          <w:bCs/>
          <w:sz w:val="22"/>
          <w:szCs w:val="22"/>
          <w:u w:val="single"/>
        </w:rPr>
      </w:pPr>
    </w:p>
    <w:p w14:paraId="5E7871AB" w14:textId="77777777" w:rsidR="00565761" w:rsidRPr="002E185B" w:rsidRDefault="00565761" w:rsidP="00E80ED8">
      <w:pPr>
        <w:widowControl w:val="0"/>
        <w:autoSpaceDE w:val="0"/>
        <w:autoSpaceDN w:val="0"/>
        <w:adjustRightInd w:val="0"/>
        <w:spacing w:after="240"/>
        <w:rPr>
          <w:rFonts w:cs="Helvetica"/>
          <w:b/>
          <w:bCs/>
          <w:sz w:val="22"/>
          <w:szCs w:val="22"/>
          <w:u w:val="single"/>
        </w:rPr>
      </w:pPr>
    </w:p>
    <w:p w14:paraId="4DADA7C7" w14:textId="77777777" w:rsidR="00565761" w:rsidRPr="002E185B" w:rsidRDefault="00565761" w:rsidP="00E80ED8">
      <w:pPr>
        <w:widowControl w:val="0"/>
        <w:autoSpaceDE w:val="0"/>
        <w:autoSpaceDN w:val="0"/>
        <w:adjustRightInd w:val="0"/>
        <w:spacing w:after="240"/>
        <w:rPr>
          <w:rFonts w:cs="Helvetica"/>
          <w:b/>
          <w:bCs/>
          <w:sz w:val="22"/>
          <w:szCs w:val="22"/>
          <w:u w:val="single"/>
        </w:rPr>
      </w:pPr>
    </w:p>
    <w:p w14:paraId="14A6ECF4" w14:textId="77777777" w:rsidR="00E80ED8" w:rsidRPr="002E185B" w:rsidRDefault="00E80ED8" w:rsidP="00E80ED8">
      <w:pPr>
        <w:widowControl w:val="0"/>
        <w:autoSpaceDE w:val="0"/>
        <w:autoSpaceDN w:val="0"/>
        <w:adjustRightInd w:val="0"/>
        <w:spacing w:after="240"/>
        <w:rPr>
          <w:rFonts w:cs="Times"/>
          <w:sz w:val="22"/>
          <w:szCs w:val="22"/>
          <w:u w:val="single"/>
        </w:rPr>
      </w:pPr>
      <w:r w:rsidRPr="002E185B">
        <w:rPr>
          <w:rFonts w:cs="Helvetica"/>
          <w:b/>
          <w:bCs/>
          <w:sz w:val="22"/>
          <w:szCs w:val="22"/>
          <w:u w:val="single"/>
        </w:rPr>
        <w:lastRenderedPageBreak/>
        <w:t>The effect of using an impedance threshold device on hemodynamic parameters during cardiopulmonary resuscitation in dogs</w:t>
      </w:r>
    </w:p>
    <w:p w14:paraId="62DCFCBE" w14:textId="52D8F664" w:rsidR="00E80ED8" w:rsidRPr="002E185B" w:rsidRDefault="00E80ED8" w:rsidP="00E80ED8">
      <w:pPr>
        <w:widowControl w:val="0"/>
        <w:autoSpaceDE w:val="0"/>
        <w:autoSpaceDN w:val="0"/>
        <w:adjustRightInd w:val="0"/>
        <w:spacing w:after="240"/>
        <w:rPr>
          <w:rFonts w:cs="Times"/>
          <w:sz w:val="22"/>
          <w:szCs w:val="22"/>
        </w:rPr>
      </w:pPr>
      <w:r w:rsidRPr="002E185B">
        <w:rPr>
          <w:rFonts w:cs="Palatino"/>
          <w:b/>
          <w:sz w:val="22"/>
          <w:szCs w:val="22"/>
        </w:rPr>
        <w:t>Authors</w:t>
      </w:r>
      <w:r w:rsidRPr="002E185B">
        <w:rPr>
          <w:rFonts w:cs="Palatino"/>
          <w:sz w:val="22"/>
          <w:szCs w:val="22"/>
        </w:rPr>
        <w:t>: Gareth J. Buckley, MA, VetMB, MRCVS, DACVECC; Andre Shih, DVM, DACVA; Fernando L. Garcia-Pereira, DVM, DACVA and Carsten Bandt, DVM, DACVECC</w:t>
      </w:r>
    </w:p>
    <w:p w14:paraId="278C9223" w14:textId="7ABBD9EB" w:rsidR="00E80ED8" w:rsidRPr="002E185B" w:rsidRDefault="00E80ED8" w:rsidP="00E80ED8">
      <w:pPr>
        <w:widowControl w:val="0"/>
        <w:autoSpaceDE w:val="0"/>
        <w:autoSpaceDN w:val="0"/>
        <w:adjustRightInd w:val="0"/>
        <w:spacing w:after="240"/>
        <w:rPr>
          <w:rFonts w:cs="Palatino"/>
          <w:sz w:val="22"/>
          <w:szCs w:val="22"/>
        </w:rPr>
      </w:pPr>
      <w:r w:rsidRPr="002E185B">
        <w:rPr>
          <w:rFonts w:cs="Palatino"/>
          <w:b/>
          <w:bCs/>
          <w:sz w:val="22"/>
          <w:szCs w:val="22"/>
        </w:rPr>
        <w:t>Objective</w:t>
      </w:r>
      <w:r w:rsidRPr="002E185B">
        <w:rPr>
          <w:rFonts w:cs="Palatino"/>
          <w:sz w:val="22"/>
          <w:szCs w:val="22"/>
        </w:rPr>
        <w:t>: To investigate the hemodynamic effects following the use of an impedance threshold device (ITD) in a canine m</w:t>
      </w:r>
      <w:r w:rsidR="00531D3C" w:rsidRPr="002E185B">
        <w:rPr>
          <w:rFonts w:cs="Palatino"/>
          <w:sz w:val="22"/>
          <w:szCs w:val="22"/>
        </w:rPr>
        <w:t>odel of cardiopulmonary arrest.</w:t>
      </w:r>
    </w:p>
    <w:p w14:paraId="7A479D95" w14:textId="168360BD" w:rsidR="00E80ED8" w:rsidRPr="002E185B" w:rsidRDefault="00E80ED8" w:rsidP="00E80ED8">
      <w:pPr>
        <w:widowControl w:val="0"/>
        <w:autoSpaceDE w:val="0"/>
        <w:autoSpaceDN w:val="0"/>
        <w:adjustRightInd w:val="0"/>
        <w:spacing w:after="240"/>
        <w:rPr>
          <w:rFonts w:cs="Times"/>
          <w:sz w:val="22"/>
          <w:szCs w:val="22"/>
        </w:rPr>
      </w:pPr>
      <w:r w:rsidRPr="002E185B">
        <w:rPr>
          <w:rFonts w:cs="Palatino"/>
          <w:b/>
          <w:bCs/>
          <w:sz w:val="22"/>
          <w:szCs w:val="22"/>
        </w:rPr>
        <w:t xml:space="preserve">Design: </w:t>
      </w:r>
      <w:r w:rsidRPr="002E185B">
        <w:rPr>
          <w:rFonts w:cs="Palatino"/>
          <w:sz w:val="22"/>
          <w:szCs w:val="22"/>
        </w:rPr>
        <w:t>Experimental, randomized crossove</w:t>
      </w:r>
      <w:r w:rsidR="00531D3C" w:rsidRPr="002E185B">
        <w:rPr>
          <w:rFonts w:cs="Palatino"/>
          <w:sz w:val="22"/>
          <w:szCs w:val="22"/>
        </w:rPr>
        <w:t>r study.</w:t>
      </w:r>
    </w:p>
    <w:p w14:paraId="3926183D" w14:textId="57F2B54D" w:rsidR="00E80ED8" w:rsidRPr="002E185B" w:rsidRDefault="00E80ED8" w:rsidP="00E80ED8">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Dogs were anesthetized and instrumented for the measurement of right atrial pressure, systolic blood pressure, mean blood pressure, and diastolic arterial blood pressure, end-tidal CO</w:t>
      </w:r>
      <w:r w:rsidRPr="002E185B">
        <w:rPr>
          <w:rFonts w:cs="Palatino"/>
          <w:position w:val="-2"/>
          <w:sz w:val="22"/>
          <w:szCs w:val="22"/>
        </w:rPr>
        <w:t>2</w:t>
      </w:r>
      <w:r w:rsidRPr="002E185B">
        <w:rPr>
          <w:rFonts w:cs="Palatino"/>
          <w:sz w:val="22"/>
          <w:szCs w:val="22"/>
        </w:rPr>
        <w:t xml:space="preserve">, and carotid blood flow (CBF). </w:t>
      </w:r>
    </w:p>
    <w:p w14:paraId="0B4F4FAD" w14:textId="77777777" w:rsidR="00E80ED8" w:rsidRPr="002E185B" w:rsidRDefault="00E80ED8" w:rsidP="00E80ED8">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CBF was determined via ultrasonic flow probe placed around the carotid artery.</w:t>
      </w:r>
    </w:p>
    <w:p w14:paraId="5BFB1AE2" w14:textId="1069911C" w:rsidR="00E80ED8" w:rsidRPr="002E185B" w:rsidRDefault="00E80ED8" w:rsidP="00E80ED8">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Following euthanasia</w:t>
      </w:r>
      <w:r w:rsidR="008D78E3" w:rsidRPr="002E185B">
        <w:rPr>
          <w:rFonts w:cs="Palatino"/>
          <w:sz w:val="22"/>
          <w:szCs w:val="22"/>
        </w:rPr>
        <w:t xml:space="preserve"> (pen</w:t>
      </w:r>
      <w:r w:rsidR="00225ADB" w:rsidRPr="002E185B">
        <w:rPr>
          <w:rFonts w:cs="Palatino"/>
          <w:sz w:val="22"/>
          <w:szCs w:val="22"/>
        </w:rPr>
        <w:t xml:space="preserve">tobarbital) </w:t>
      </w:r>
      <w:r w:rsidR="008D78E3" w:rsidRPr="002E185B">
        <w:rPr>
          <w:rFonts w:cs="Palatino"/>
          <w:sz w:val="22"/>
          <w:szCs w:val="22"/>
        </w:rPr>
        <w:t>s</w:t>
      </w:r>
      <w:r w:rsidRPr="002E185B">
        <w:rPr>
          <w:rFonts w:cs="Palatino"/>
          <w:sz w:val="22"/>
          <w:szCs w:val="22"/>
        </w:rPr>
        <w:t xml:space="preserve">tandardized </w:t>
      </w:r>
      <w:r w:rsidR="00225ADB" w:rsidRPr="002E185B">
        <w:rPr>
          <w:rFonts w:cs="Palatino"/>
          <w:sz w:val="22"/>
          <w:szCs w:val="22"/>
        </w:rPr>
        <w:t xml:space="preserve">CPR </w:t>
      </w:r>
      <w:r w:rsidRPr="002E185B">
        <w:rPr>
          <w:rFonts w:cs="Palatino"/>
          <w:sz w:val="22"/>
          <w:szCs w:val="22"/>
        </w:rPr>
        <w:t>was performed with an impedance threshold device attached (ITD-CPR gro</w:t>
      </w:r>
      <w:r w:rsidR="00225ADB" w:rsidRPr="002E185B">
        <w:rPr>
          <w:rFonts w:cs="Palatino"/>
          <w:sz w:val="22"/>
          <w:szCs w:val="22"/>
        </w:rPr>
        <w:t>up) and without (S-CPR group)</w:t>
      </w:r>
    </w:p>
    <w:p w14:paraId="00596215" w14:textId="4B2B5E3D" w:rsidR="008D78E3" w:rsidRPr="002E185B" w:rsidRDefault="003E68A6" w:rsidP="00225ADB">
      <w:pPr>
        <w:widowControl w:val="0"/>
        <w:autoSpaceDE w:val="0"/>
        <w:autoSpaceDN w:val="0"/>
        <w:adjustRightInd w:val="0"/>
        <w:spacing w:after="240"/>
        <w:rPr>
          <w:rFonts w:cs="Palatino"/>
          <w:sz w:val="22"/>
          <w:szCs w:val="22"/>
        </w:rPr>
      </w:pPr>
      <w:r w:rsidRPr="002E185B">
        <w:rPr>
          <w:rFonts w:cs="Palatino"/>
          <w:b/>
          <w:bCs/>
          <w:sz w:val="22"/>
          <w:szCs w:val="22"/>
        </w:rPr>
        <w:t>Results:</w:t>
      </w:r>
    </w:p>
    <w:p w14:paraId="0952D0C8" w14:textId="72F509F0" w:rsidR="008D78E3" w:rsidRPr="002E185B" w:rsidRDefault="008D78E3" w:rsidP="008D78E3">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I</w:t>
      </w:r>
      <w:r w:rsidR="00E80ED8" w:rsidRPr="002E185B">
        <w:rPr>
          <w:rFonts w:cs="Palatino"/>
          <w:sz w:val="22"/>
          <w:szCs w:val="22"/>
        </w:rPr>
        <w:t>TD group had increased CBF, coronary perfusion pressure, and a decrease in r</w:t>
      </w:r>
      <w:r w:rsidRPr="002E185B">
        <w:rPr>
          <w:rFonts w:cs="Palatino"/>
          <w:sz w:val="22"/>
          <w:szCs w:val="22"/>
        </w:rPr>
        <w:t>ight atrial diastolic pressure</w:t>
      </w:r>
    </w:p>
    <w:p w14:paraId="631A27B7" w14:textId="03E949CB" w:rsidR="005820C4" w:rsidRPr="002E185B" w:rsidRDefault="001B62C0" w:rsidP="001B62C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RAP during the decompression phase (diastolic RAP) was significantly more negative during ITD-CPR as compared to S-CPR</w:t>
      </w:r>
    </w:p>
    <w:p w14:paraId="002A56DC" w14:textId="7A0704A0" w:rsidR="008D78E3" w:rsidRPr="002E185B" w:rsidRDefault="00E80ED8" w:rsidP="008D78E3">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No differences in end-tidal CO</w:t>
      </w:r>
      <w:r w:rsidRPr="002E185B">
        <w:rPr>
          <w:rFonts w:cs="Palatino"/>
          <w:position w:val="-2"/>
          <w:sz w:val="22"/>
          <w:szCs w:val="22"/>
        </w:rPr>
        <w:t>2</w:t>
      </w:r>
      <w:r w:rsidRPr="002E185B">
        <w:rPr>
          <w:rFonts w:cs="Palatino"/>
          <w:sz w:val="22"/>
          <w:szCs w:val="22"/>
        </w:rPr>
        <w:t>, diastolic arterial blood pressure, mean blo</w:t>
      </w:r>
      <w:r w:rsidR="001B62C0" w:rsidRPr="002E185B">
        <w:rPr>
          <w:rFonts w:cs="Palatino"/>
          <w:sz w:val="22"/>
          <w:szCs w:val="22"/>
        </w:rPr>
        <w:t>od pressure, or systolic blood p</w:t>
      </w:r>
      <w:r w:rsidRPr="002E185B">
        <w:rPr>
          <w:rFonts w:cs="Palatino"/>
          <w:sz w:val="22"/>
          <w:szCs w:val="22"/>
        </w:rPr>
        <w:t>ressure were seen. Return of spontaneous circulation was not observed in any of the animals </w:t>
      </w:r>
    </w:p>
    <w:p w14:paraId="287555FD" w14:textId="30320D6E" w:rsidR="00E80ED8" w:rsidRPr="002E185B" w:rsidRDefault="00E80ED8" w:rsidP="008D78E3">
      <w:pPr>
        <w:widowControl w:val="0"/>
        <w:autoSpaceDE w:val="0"/>
        <w:autoSpaceDN w:val="0"/>
        <w:adjustRightInd w:val="0"/>
        <w:spacing w:after="240"/>
        <w:rPr>
          <w:rFonts w:cs="Times"/>
          <w:sz w:val="22"/>
          <w:szCs w:val="22"/>
        </w:rPr>
      </w:pPr>
      <w:r w:rsidRPr="002E185B">
        <w:rPr>
          <w:rFonts w:cs="Palatino"/>
          <w:b/>
          <w:bCs/>
          <w:sz w:val="22"/>
          <w:szCs w:val="22"/>
        </w:rPr>
        <w:t>Conclusions</w:t>
      </w:r>
      <w:r w:rsidR="003E68A6" w:rsidRPr="002E185B">
        <w:rPr>
          <w:rFonts w:cs="Palatino"/>
          <w:b/>
          <w:bCs/>
          <w:sz w:val="22"/>
          <w:szCs w:val="22"/>
        </w:rPr>
        <w:t xml:space="preserve">: </w:t>
      </w:r>
      <w:r w:rsidRPr="002E185B">
        <w:rPr>
          <w:rFonts w:cs="Palatino"/>
          <w:sz w:val="22"/>
          <w:szCs w:val="22"/>
        </w:rPr>
        <w:t>Use of the ITD resulted in favorable changes in hemodynamic parameters in dogs undergoing CPR. The ITD may be a useful adjunct during CPR in dogs and warrants clinical evaluation.</w:t>
      </w:r>
    </w:p>
    <w:p w14:paraId="482D3498" w14:textId="075B54D8" w:rsidR="005C4808" w:rsidRPr="002E185B" w:rsidRDefault="003E68A6" w:rsidP="007A5CD5">
      <w:pPr>
        <w:widowControl w:val="0"/>
        <w:autoSpaceDE w:val="0"/>
        <w:autoSpaceDN w:val="0"/>
        <w:adjustRightInd w:val="0"/>
        <w:spacing w:after="240"/>
        <w:rPr>
          <w:rFonts w:cs="Times"/>
          <w:b/>
          <w:sz w:val="22"/>
          <w:szCs w:val="22"/>
        </w:rPr>
      </w:pPr>
      <w:r w:rsidRPr="002E185B">
        <w:rPr>
          <w:rFonts w:cs="Times"/>
          <w:b/>
          <w:sz w:val="22"/>
          <w:szCs w:val="22"/>
        </w:rPr>
        <w:t>Other:</w:t>
      </w:r>
    </w:p>
    <w:p w14:paraId="0AA138A9" w14:textId="77777777" w:rsidR="003E68A6" w:rsidRPr="002E185B" w:rsidRDefault="003E68A6" w:rsidP="003E68A6">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Coronary perfusion pressure = aortic diastolic pressure – right atrial pressure</w:t>
      </w:r>
    </w:p>
    <w:p w14:paraId="427BA166" w14:textId="77777777" w:rsidR="003E68A6" w:rsidRPr="002E185B" w:rsidRDefault="003E68A6" w:rsidP="003E68A6">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During conventional CPR with positive pressure ventilation, both chest compression and ventilation contribute to an abnormally high ITTP, restricting venous return, and increasing RAP due to transmural transmission of ITTP to the atrium. </w:t>
      </w:r>
    </w:p>
    <w:p w14:paraId="68C7A15D" w14:textId="431EF58A" w:rsidR="003E68A6" w:rsidRPr="002E185B" w:rsidRDefault="003E68A6" w:rsidP="003E68A6">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Lowering ITTP can both decrease RAP and ICP as well as increasing venous return and cardiac output improving both cerebral and CPP.</w:t>
      </w:r>
    </w:p>
    <w:p w14:paraId="574D255B" w14:textId="5E4BAC5D" w:rsidR="003E68A6" w:rsidRPr="002E185B" w:rsidRDefault="003E68A6" w:rsidP="003E68A6">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ITD attached between the ET tube and the breathing circuit. The device prevents air inflow via the ET tube during chest recoil until a certain “cracking pressure” is reached, usually –12 cm H</w:t>
      </w:r>
      <w:r w:rsidRPr="002E185B">
        <w:rPr>
          <w:rFonts w:cs="Palatino"/>
          <w:position w:val="-2"/>
          <w:sz w:val="22"/>
          <w:szCs w:val="22"/>
        </w:rPr>
        <w:t>2</w:t>
      </w:r>
      <w:r w:rsidRPr="002E185B">
        <w:rPr>
          <w:rFonts w:cs="Palatino"/>
          <w:sz w:val="22"/>
          <w:szCs w:val="22"/>
        </w:rPr>
        <w:t xml:space="preserve">O for the devices used during CPR. </w:t>
      </w:r>
    </w:p>
    <w:p w14:paraId="53A4AAE0" w14:textId="77777777" w:rsidR="001B62C0" w:rsidRPr="002E185B" w:rsidRDefault="003E68A6" w:rsidP="001B62C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This means that a more negative pressure is generated in the chest during chest wall recoil, as the ITD will not allow airflow into the ET tube during the first part of chest wall recoil. </w:t>
      </w:r>
    </w:p>
    <w:p w14:paraId="7393D4A9" w14:textId="77777777" w:rsidR="001B62C0" w:rsidRPr="002E185B" w:rsidRDefault="005820C4" w:rsidP="001B62C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AHA guidelines for cardiopulmonary resuscitation include use of an ITD during cardiopulmonary resuscitation in adults (class IIb).</w:t>
      </w:r>
      <w:r w:rsidR="001B62C0" w:rsidRPr="002E185B">
        <w:rPr>
          <w:rFonts w:cs="Palatino"/>
          <w:sz w:val="22"/>
          <w:szCs w:val="22"/>
        </w:rPr>
        <w:t xml:space="preserve"> </w:t>
      </w:r>
    </w:p>
    <w:p w14:paraId="2D5DBC8D" w14:textId="77777777" w:rsidR="001B62C0" w:rsidRPr="002E185B" w:rsidRDefault="001B62C0" w:rsidP="001B62C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use of the ITD during CPR</w:t>
      </w:r>
      <w:r w:rsidRPr="002E185B">
        <w:rPr>
          <w:rFonts w:cs="Times"/>
          <w:sz w:val="22"/>
          <w:szCs w:val="22"/>
        </w:rPr>
        <w:t xml:space="preserve"> </w:t>
      </w:r>
      <w:r w:rsidRPr="002E185B">
        <w:rPr>
          <w:rFonts w:cs="Palatino"/>
          <w:sz w:val="22"/>
          <w:szCs w:val="22"/>
        </w:rPr>
        <w:t>leads to improved chest decompression as evidenced by the negative diastolic RAP.</w:t>
      </w:r>
    </w:p>
    <w:p w14:paraId="660753A1" w14:textId="13D812FC" w:rsidR="003E68A6" w:rsidRPr="002E185B" w:rsidRDefault="001B62C0" w:rsidP="001B62C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lastRenderedPageBreak/>
        <w:t>The reduction in right atrial</w:t>
      </w:r>
      <w:r w:rsidRPr="002E185B">
        <w:rPr>
          <w:rFonts w:cs="Times"/>
          <w:sz w:val="22"/>
          <w:szCs w:val="22"/>
        </w:rPr>
        <w:t xml:space="preserve"> </w:t>
      </w:r>
      <w:r w:rsidRPr="002E185B">
        <w:rPr>
          <w:rFonts w:cs="Palatino"/>
          <w:sz w:val="22"/>
          <w:szCs w:val="22"/>
        </w:rPr>
        <w:t>diastolic pressure seen in ITD-CPR versus S-CPR also led</w:t>
      </w:r>
      <w:r w:rsidRPr="002E185B">
        <w:rPr>
          <w:rFonts w:cs="Times"/>
          <w:sz w:val="22"/>
          <w:szCs w:val="22"/>
        </w:rPr>
        <w:t xml:space="preserve"> </w:t>
      </w:r>
      <w:r w:rsidRPr="002E185B">
        <w:rPr>
          <w:rFonts w:cs="Palatino"/>
          <w:sz w:val="22"/>
          <w:szCs w:val="22"/>
        </w:rPr>
        <w:t>to improved CPP and therefore likely better myocardial</w:t>
      </w:r>
      <w:r w:rsidRPr="002E185B">
        <w:rPr>
          <w:rFonts w:cs="Times"/>
          <w:sz w:val="22"/>
          <w:szCs w:val="22"/>
        </w:rPr>
        <w:t xml:space="preserve"> </w:t>
      </w:r>
      <w:r w:rsidRPr="002E185B">
        <w:rPr>
          <w:rFonts w:cs="Palatino"/>
          <w:sz w:val="22"/>
          <w:szCs w:val="22"/>
        </w:rPr>
        <w:t>perfusion.</w:t>
      </w:r>
    </w:p>
    <w:p w14:paraId="5BCCA782" w14:textId="5542FD5E" w:rsidR="001B62C0" w:rsidRPr="002E185B" w:rsidRDefault="001B62C0" w:rsidP="001B62C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Carotid blood flow was used as an indirect method to evaluate cerebral blood flow</w:t>
      </w:r>
    </w:p>
    <w:p w14:paraId="03C8E9B5" w14:textId="040E5709" w:rsidR="00146370" w:rsidRPr="002E185B" w:rsidRDefault="001B62C0" w:rsidP="0014637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Limitations: Patients were under general anesthesia, patients were euthanized first, small sample size (n=8)</w:t>
      </w:r>
      <w:r w:rsidR="00BF477D" w:rsidRPr="002E185B">
        <w:rPr>
          <w:rFonts w:cs="Palatino"/>
          <w:sz w:val="22"/>
          <w:szCs w:val="22"/>
        </w:rPr>
        <w:t>, 2 minute delay of onset of chest compressions</w:t>
      </w:r>
    </w:p>
    <w:p w14:paraId="4922E2C4" w14:textId="199075BD" w:rsidR="00531D3C" w:rsidRPr="002E185B" w:rsidRDefault="00531D3C" w:rsidP="00531D3C">
      <w:pPr>
        <w:widowControl w:val="0"/>
        <w:autoSpaceDE w:val="0"/>
        <w:autoSpaceDN w:val="0"/>
        <w:adjustRightInd w:val="0"/>
        <w:spacing w:after="240"/>
        <w:rPr>
          <w:rFonts w:cs="Times"/>
          <w:b/>
          <w:sz w:val="22"/>
          <w:szCs w:val="22"/>
        </w:rPr>
      </w:pPr>
      <w:r w:rsidRPr="002E185B">
        <w:rPr>
          <w:rFonts w:cs="Times"/>
          <w:b/>
          <w:sz w:val="22"/>
          <w:szCs w:val="22"/>
        </w:rPr>
        <w:t>Questions:</w:t>
      </w:r>
    </w:p>
    <w:p w14:paraId="7CC12AB6" w14:textId="306EACCF" w:rsidR="00531D3C" w:rsidRPr="002E185B" w:rsidRDefault="00531D3C" w:rsidP="00531D3C">
      <w:pPr>
        <w:pStyle w:val="ListParagraph"/>
        <w:widowControl w:val="0"/>
        <w:numPr>
          <w:ilvl w:val="0"/>
          <w:numId w:val="8"/>
        </w:numPr>
        <w:autoSpaceDE w:val="0"/>
        <w:autoSpaceDN w:val="0"/>
        <w:adjustRightInd w:val="0"/>
        <w:spacing w:after="240"/>
        <w:rPr>
          <w:rFonts w:cs="Times"/>
          <w:sz w:val="22"/>
          <w:szCs w:val="22"/>
        </w:rPr>
      </w:pPr>
      <w:r w:rsidRPr="002E185B">
        <w:rPr>
          <w:rFonts w:cs="Times"/>
          <w:sz w:val="22"/>
          <w:szCs w:val="22"/>
        </w:rPr>
        <w:t>Name the positive hemodynamic effects apparent with the use of an ITD in this study</w:t>
      </w:r>
    </w:p>
    <w:p w14:paraId="17EE6A3F" w14:textId="4857A0CC" w:rsidR="00531D3C" w:rsidRPr="002E185B" w:rsidRDefault="00531D3C" w:rsidP="00531D3C">
      <w:pPr>
        <w:pStyle w:val="ListParagraph"/>
        <w:widowControl w:val="0"/>
        <w:numPr>
          <w:ilvl w:val="0"/>
          <w:numId w:val="8"/>
        </w:numPr>
        <w:autoSpaceDE w:val="0"/>
        <w:autoSpaceDN w:val="0"/>
        <w:adjustRightInd w:val="0"/>
        <w:spacing w:after="240"/>
        <w:rPr>
          <w:rFonts w:cs="Times"/>
          <w:sz w:val="22"/>
          <w:szCs w:val="22"/>
        </w:rPr>
      </w:pPr>
      <w:r w:rsidRPr="002E185B">
        <w:rPr>
          <w:rFonts w:cs="Times"/>
          <w:sz w:val="22"/>
          <w:szCs w:val="22"/>
        </w:rPr>
        <w:t>What is the explanation for these effects with the use of ITD?</w:t>
      </w:r>
    </w:p>
    <w:p w14:paraId="4FCBDDDD" w14:textId="5B0B362F" w:rsidR="00BF477D" w:rsidRPr="002E185B" w:rsidRDefault="00BF477D" w:rsidP="00531D3C">
      <w:pPr>
        <w:pStyle w:val="ListParagraph"/>
        <w:widowControl w:val="0"/>
        <w:numPr>
          <w:ilvl w:val="0"/>
          <w:numId w:val="8"/>
        </w:numPr>
        <w:autoSpaceDE w:val="0"/>
        <w:autoSpaceDN w:val="0"/>
        <w:adjustRightInd w:val="0"/>
        <w:spacing w:after="240"/>
        <w:rPr>
          <w:rFonts w:cs="Times"/>
          <w:sz w:val="22"/>
          <w:szCs w:val="22"/>
        </w:rPr>
      </w:pPr>
      <w:r w:rsidRPr="002E185B">
        <w:rPr>
          <w:rFonts w:cs="Times"/>
          <w:sz w:val="22"/>
          <w:szCs w:val="22"/>
        </w:rPr>
        <w:t>How does the ITD work?</w:t>
      </w:r>
    </w:p>
    <w:p w14:paraId="582A8D2D" w14:textId="67FD8619" w:rsidR="00BF477D" w:rsidRPr="002E185B" w:rsidRDefault="00BF477D" w:rsidP="00531D3C">
      <w:pPr>
        <w:pStyle w:val="ListParagraph"/>
        <w:widowControl w:val="0"/>
        <w:numPr>
          <w:ilvl w:val="0"/>
          <w:numId w:val="8"/>
        </w:numPr>
        <w:autoSpaceDE w:val="0"/>
        <w:autoSpaceDN w:val="0"/>
        <w:adjustRightInd w:val="0"/>
        <w:spacing w:after="240"/>
        <w:rPr>
          <w:rFonts w:cs="Times"/>
          <w:sz w:val="22"/>
          <w:szCs w:val="22"/>
        </w:rPr>
      </w:pPr>
      <w:r w:rsidRPr="002E185B">
        <w:rPr>
          <w:rFonts w:cs="Times"/>
          <w:sz w:val="22"/>
          <w:szCs w:val="22"/>
        </w:rPr>
        <w:t>What are the AHA guidelines with respect to use of ITD in humans?</w:t>
      </w:r>
    </w:p>
    <w:p w14:paraId="08F31E61" w14:textId="77777777" w:rsidR="00773319" w:rsidRPr="002E185B" w:rsidRDefault="00773319" w:rsidP="00146370">
      <w:pPr>
        <w:widowControl w:val="0"/>
        <w:autoSpaceDE w:val="0"/>
        <w:autoSpaceDN w:val="0"/>
        <w:adjustRightInd w:val="0"/>
        <w:spacing w:after="240"/>
        <w:rPr>
          <w:rFonts w:cs="Helvetica"/>
          <w:b/>
          <w:bCs/>
          <w:sz w:val="22"/>
          <w:szCs w:val="22"/>
          <w:u w:val="single"/>
        </w:rPr>
      </w:pPr>
    </w:p>
    <w:p w14:paraId="19B03E36" w14:textId="4DBA6772" w:rsidR="00146370" w:rsidRPr="002E185B" w:rsidRDefault="00146370" w:rsidP="00146370">
      <w:pPr>
        <w:widowControl w:val="0"/>
        <w:autoSpaceDE w:val="0"/>
        <w:autoSpaceDN w:val="0"/>
        <w:adjustRightInd w:val="0"/>
        <w:spacing w:after="240"/>
        <w:rPr>
          <w:rFonts w:cs="Times"/>
          <w:sz w:val="22"/>
          <w:szCs w:val="22"/>
          <w:u w:val="single"/>
        </w:rPr>
      </w:pPr>
      <w:r w:rsidRPr="002E185B">
        <w:rPr>
          <w:rFonts w:cs="Helvetica"/>
          <w:b/>
          <w:bCs/>
          <w:sz w:val="22"/>
          <w:szCs w:val="22"/>
          <w:u w:val="single"/>
        </w:rPr>
        <w:t>Accuracy of formulas used to predict post-transfusion packed cell volume rise in anemic dogs</w:t>
      </w:r>
    </w:p>
    <w:p w14:paraId="194F6FE4" w14:textId="1A6C597C" w:rsidR="00146370" w:rsidRPr="002E185B" w:rsidRDefault="00146370" w:rsidP="00146370">
      <w:pPr>
        <w:widowControl w:val="0"/>
        <w:autoSpaceDE w:val="0"/>
        <w:autoSpaceDN w:val="0"/>
        <w:adjustRightInd w:val="0"/>
        <w:spacing w:after="240"/>
        <w:rPr>
          <w:rFonts w:cs="Times"/>
          <w:sz w:val="22"/>
          <w:szCs w:val="22"/>
        </w:rPr>
      </w:pPr>
      <w:r w:rsidRPr="002E185B">
        <w:rPr>
          <w:rFonts w:cs="Palatino"/>
          <w:b/>
          <w:sz w:val="22"/>
          <w:szCs w:val="22"/>
        </w:rPr>
        <w:t>Authors:</w:t>
      </w:r>
      <w:r w:rsidRPr="002E185B">
        <w:rPr>
          <w:rFonts w:cs="Palatino"/>
          <w:sz w:val="22"/>
          <w:szCs w:val="22"/>
        </w:rPr>
        <w:t xml:space="preserve"> Jacqueline L. Short, BVMS; Shenandoah Diehl, DVM, DACVECC; Ravi Seshadri, DVM, DACVECC, DAVBP and Sergi Serrano, LV, DACVECC</w:t>
      </w:r>
    </w:p>
    <w:p w14:paraId="2B6FAF13" w14:textId="77777777" w:rsidR="004D4049" w:rsidRPr="002E185B" w:rsidRDefault="004D4049" w:rsidP="004D4049">
      <w:pPr>
        <w:widowControl w:val="0"/>
        <w:autoSpaceDE w:val="0"/>
        <w:autoSpaceDN w:val="0"/>
        <w:adjustRightInd w:val="0"/>
        <w:spacing w:after="240"/>
        <w:rPr>
          <w:rFonts w:cs="Palatino"/>
          <w:sz w:val="22"/>
          <w:szCs w:val="22"/>
        </w:rPr>
      </w:pPr>
      <w:r w:rsidRPr="002E185B">
        <w:rPr>
          <w:rFonts w:cs="Palatino"/>
          <w:b/>
          <w:bCs/>
          <w:sz w:val="22"/>
          <w:szCs w:val="22"/>
        </w:rPr>
        <w:t xml:space="preserve">Objective: </w:t>
      </w:r>
      <w:r w:rsidRPr="002E185B">
        <w:rPr>
          <w:rFonts w:cs="Palatino"/>
          <w:sz w:val="22"/>
          <w:szCs w:val="22"/>
        </w:rPr>
        <w:t>To assess the accuracy of published formulas used to guide packed red blood cell (pRBC) transfusions in anemic dogs and to compare the predicted rise in packed cell volume (PCV) to the actual post-transfusion rise in PCV.</w:t>
      </w:r>
    </w:p>
    <w:p w14:paraId="2519BF85" w14:textId="18CD1944" w:rsidR="004D4049" w:rsidRPr="002E185B" w:rsidRDefault="004D4049" w:rsidP="004D4049">
      <w:pPr>
        <w:widowControl w:val="0"/>
        <w:autoSpaceDE w:val="0"/>
        <w:autoSpaceDN w:val="0"/>
        <w:adjustRightInd w:val="0"/>
        <w:spacing w:after="240"/>
        <w:rPr>
          <w:rFonts w:cs="Times"/>
          <w:sz w:val="22"/>
          <w:szCs w:val="22"/>
        </w:rPr>
      </w:pPr>
      <w:r w:rsidRPr="002E185B">
        <w:rPr>
          <w:rFonts w:cs="Palatino"/>
          <w:sz w:val="22"/>
          <w:szCs w:val="22"/>
        </w:rPr>
        <w:t> </w:t>
      </w:r>
      <w:r w:rsidRPr="002E185B">
        <w:rPr>
          <w:rFonts w:cs="Palatino"/>
          <w:b/>
          <w:bCs/>
          <w:sz w:val="22"/>
          <w:szCs w:val="22"/>
        </w:rPr>
        <w:t>Design</w:t>
      </w:r>
      <w:r w:rsidR="00403EC7" w:rsidRPr="002E185B">
        <w:rPr>
          <w:rFonts w:cs="Palatino"/>
          <w:b/>
          <w:bCs/>
          <w:sz w:val="22"/>
          <w:szCs w:val="22"/>
        </w:rPr>
        <w:t xml:space="preserve">: </w:t>
      </w:r>
      <w:r w:rsidRPr="002E185B">
        <w:rPr>
          <w:rFonts w:cs="Palatino"/>
          <w:sz w:val="22"/>
          <w:szCs w:val="22"/>
        </w:rPr>
        <w:t>Prospective observational study from April 2009 through July 2009.</w:t>
      </w:r>
    </w:p>
    <w:p w14:paraId="3B1BCE6C" w14:textId="77777777" w:rsidR="00403EC7" w:rsidRPr="002E185B" w:rsidRDefault="004D4049" w:rsidP="004D4049">
      <w:pPr>
        <w:widowControl w:val="0"/>
        <w:autoSpaceDE w:val="0"/>
        <w:autoSpaceDN w:val="0"/>
        <w:adjustRightInd w:val="0"/>
        <w:spacing w:after="240"/>
        <w:rPr>
          <w:rFonts w:cs="Palatino"/>
          <w:b/>
          <w:bCs/>
          <w:sz w:val="22"/>
          <w:szCs w:val="22"/>
        </w:rPr>
      </w:pPr>
      <w:r w:rsidRPr="002E185B">
        <w:rPr>
          <w:rFonts w:cs="Palatino"/>
          <w:b/>
          <w:bCs/>
          <w:sz w:val="22"/>
          <w:szCs w:val="22"/>
        </w:rPr>
        <w:t>Measurements</w:t>
      </w:r>
      <w:r w:rsidR="00403EC7" w:rsidRPr="002E185B">
        <w:rPr>
          <w:rFonts w:cs="Palatino"/>
          <w:b/>
          <w:bCs/>
          <w:sz w:val="22"/>
          <w:szCs w:val="22"/>
        </w:rPr>
        <w:t xml:space="preserve">: </w:t>
      </w:r>
    </w:p>
    <w:p w14:paraId="7035A829" w14:textId="584442E6" w:rsidR="00403EC7" w:rsidRPr="002E185B" w:rsidRDefault="004D4049" w:rsidP="00403EC7">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 xml:space="preserve">Four formulas were evaluated to determine their predictive ability with respect to rise in PCV following transfusion with pRBC. </w:t>
      </w:r>
    </w:p>
    <w:p w14:paraId="0761EF10" w14:textId="05CF223C" w:rsidR="00403EC7" w:rsidRPr="002E185B" w:rsidRDefault="004D4049" w:rsidP="00403EC7">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 xml:space="preserve">Post-transfusion rise in PCV were compared to calculated rise in PCV using 4 different formulas. </w:t>
      </w:r>
      <w:r w:rsidR="00403EC7" w:rsidRPr="002E185B">
        <w:rPr>
          <w:rFonts w:cs="Palatino"/>
          <w:sz w:val="22"/>
          <w:szCs w:val="22"/>
        </w:rPr>
        <w:t>(Note VT = Volume transfused in mls)</w:t>
      </w:r>
    </w:p>
    <w:p w14:paraId="14581D51" w14:textId="77777777" w:rsidR="00403EC7" w:rsidRPr="002E185B" w:rsidRDefault="00403EC7" w:rsidP="00403EC7">
      <w:pPr>
        <w:pStyle w:val="ListParagraph"/>
        <w:widowControl w:val="0"/>
        <w:numPr>
          <w:ilvl w:val="0"/>
          <w:numId w:val="1"/>
        </w:numPr>
        <w:autoSpaceDE w:val="0"/>
        <w:autoSpaceDN w:val="0"/>
        <w:adjustRightInd w:val="0"/>
        <w:spacing w:after="240"/>
        <w:rPr>
          <w:rFonts w:cs="Palatino"/>
          <w:sz w:val="22"/>
          <w:szCs w:val="22"/>
          <w:u w:val="single"/>
        </w:rPr>
      </w:pPr>
      <w:r w:rsidRPr="002E185B">
        <w:rPr>
          <w:rFonts w:cs="Palatino"/>
          <w:sz w:val="22"/>
          <w:szCs w:val="22"/>
          <w:u w:val="single"/>
        </w:rPr>
        <w:t xml:space="preserve">Formulas: </w:t>
      </w:r>
    </w:p>
    <w:p w14:paraId="5C23454C" w14:textId="5AE45CF6" w:rsidR="00403EC7" w:rsidRPr="002E185B" w:rsidRDefault="00403EC7" w:rsidP="00403EC7">
      <w:pPr>
        <w:pStyle w:val="ListParagraph"/>
        <w:widowControl w:val="0"/>
        <w:numPr>
          <w:ilvl w:val="0"/>
          <w:numId w:val="3"/>
        </w:numPr>
        <w:autoSpaceDE w:val="0"/>
        <w:autoSpaceDN w:val="0"/>
        <w:adjustRightInd w:val="0"/>
        <w:spacing w:after="240"/>
        <w:rPr>
          <w:rFonts w:cs="Palatino"/>
          <w:sz w:val="22"/>
          <w:szCs w:val="22"/>
        </w:rPr>
      </w:pPr>
      <w:r w:rsidRPr="002E185B">
        <w:rPr>
          <w:rFonts w:cs="Palatino"/>
          <w:sz w:val="22"/>
          <w:szCs w:val="22"/>
        </w:rPr>
        <w:t xml:space="preserve">Formula 1: VT [mL] </w:t>
      </w:r>
      <w:r w:rsidRPr="002E185B">
        <w:rPr>
          <w:rFonts w:cs="Times"/>
          <w:sz w:val="22"/>
          <w:szCs w:val="22"/>
        </w:rPr>
        <w:t xml:space="preserve">= </w:t>
      </w:r>
      <w:r w:rsidRPr="002E185B">
        <w:rPr>
          <w:rFonts w:cs="Palatino"/>
          <w:sz w:val="22"/>
          <w:szCs w:val="22"/>
        </w:rPr>
        <w:t xml:space="preserve">1 mL </w:t>
      </w:r>
      <w:r w:rsidRPr="002E185B">
        <w:rPr>
          <w:rFonts w:cs="Times"/>
          <w:sz w:val="22"/>
          <w:szCs w:val="22"/>
        </w:rPr>
        <w:t xml:space="preserve">× </w:t>
      </w:r>
      <w:r w:rsidRPr="002E185B">
        <w:rPr>
          <w:rFonts w:cs="Palatino"/>
          <w:sz w:val="22"/>
          <w:szCs w:val="22"/>
        </w:rPr>
        <w:t xml:space="preserve">% PCV rise </w:t>
      </w:r>
      <w:r w:rsidRPr="002E185B">
        <w:rPr>
          <w:rFonts w:cs="Times"/>
          <w:sz w:val="22"/>
          <w:szCs w:val="22"/>
        </w:rPr>
        <w:t xml:space="preserve">× </w:t>
      </w:r>
      <w:r w:rsidRPr="002E185B">
        <w:rPr>
          <w:rFonts w:cs="Palatino"/>
          <w:sz w:val="22"/>
          <w:szCs w:val="22"/>
        </w:rPr>
        <w:t xml:space="preserve">kg body weight [BW]) </w:t>
      </w:r>
    </w:p>
    <w:p w14:paraId="352CDB47" w14:textId="77777777" w:rsidR="00403EC7" w:rsidRPr="002E185B" w:rsidRDefault="00403EC7" w:rsidP="00403EC7">
      <w:pPr>
        <w:pStyle w:val="ListParagraph"/>
        <w:widowControl w:val="0"/>
        <w:numPr>
          <w:ilvl w:val="0"/>
          <w:numId w:val="3"/>
        </w:numPr>
        <w:autoSpaceDE w:val="0"/>
        <w:autoSpaceDN w:val="0"/>
        <w:adjustRightInd w:val="0"/>
        <w:spacing w:after="240"/>
        <w:rPr>
          <w:rFonts w:cs="Palatino"/>
          <w:sz w:val="22"/>
          <w:szCs w:val="22"/>
        </w:rPr>
      </w:pPr>
      <w:r w:rsidRPr="002E185B">
        <w:rPr>
          <w:rFonts w:cs="Palatino"/>
          <w:sz w:val="22"/>
          <w:szCs w:val="22"/>
        </w:rPr>
        <w:t xml:space="preserve">Formula 2:  VT [mL] </w:t>
      </w:r>
      <w:r w:rsidRPr="002E185B">
        <w:rPr>
          <w:rFonts w:cs="Times"/>
          <w:sz w:val="22"/>
          <w:szCs w:val="22"/>
        </w:rPr>
        <w:t xml:space="preserve">= </w:t>
      </w:r>
      <w:r w:rsidRPr="002E185B">
        <w:rPr>
          <w:rFonts w:cs="Palatino"/>
          <w:sz w:val="22"/>
          <w:szCs w:val="22"/>
        </w:rPr>
        <w:t xml:space="preserve">2 mL </w:t>
      </w:r>
      <w:r w:rsidRPr="002E185B">
        <w:rPr>
          <w:rFonts w:cs="Times"/>
          <w:sz w:val="22"/>
          <w:szCs w:val="22"/>
        </w:rPr>
        <w:t>×</w:t>
      </w:r>
      <w:r w:rsidRPr="002E185B">
        <w:rPr>
          <w:rFonts w:cs="Palatino"/>
          <w:sz w:val="22"/>
          <w:szCs w:val="22"/>
        </w:rPr>
        <w:t xml:space="preserve">% PCV rise </w:t>
      </w:r>
      <w:r w:rsidRPr="002E185B">
        <w:rPr>
          <w:rFonts w:cs="Times"/>
          <w:sz w:val="22"/>
          <w:szCs w:val="22"/>
        </w:rPr>
        <w:t xml:space="preserve">× </w:t>
      </w:r>
      <w:r w:rsidRPr="002E185B">
        <w:rPr>
          <w:rFonts w:cs="Palatino"/>
          <w:sz w:val="22"/>
          <w:szCs w:val="22"/>
        </w:rPr>
        <w:t xml:space="preserve">kg BW </w:t>
      </w:r>
    </w:p>
    <w:p w14:paraId="066CF1EA" w14:textId="77777777" w:rsidR="00403EC7" w:rsidRPr="002E185B" w:rsidRDefault="00403EC7" w:rsidP="00403EC7">
      <w:pPr>
        <w:pStyle w:val="ListParagraph"/>
        <w:widowControl w:val="0"/>
        <w:numPr>
          <w:ilvl w:val="0"/>
          <w:numId w:val="3"/>
        </w:numPr>
        <w:autoSpaceDE w:val="0"/>
        <w:autoSpaceDN w:val="0"/>
        <w:adjustRightInd w:val="0"/>
        <w:spacing w:after="240"/>
        <w:rPr>
          <w:rFonts w:cs="Palatino"/>
          <w:sz w:val="22"/>
          <w:szCs w:val="22"/>
        </w:rPr>
      </w:pPr>
      <w:r w:rsidRPr="002E185B">
        <w:rPr>
          <w:rFonts w:cs="Palatino"/>
          <w:sz w:val="22"/>
          <w:szCs w:val="22"/>
        </w:rPr>
        <w:t xml:space="preserve">Formula 3: VT [mL] </w:t>
      </w:r>
      <w:r w:rsidRPr="002E185B">
        <w:rPr>
          <w:rFonts w:cs="Times"/>
          <w:sz w:val="22"/>
          <w:szCs w:val="22"/>
        </w:rPr>
        <w:t xml:space="preserve">= </w:t>
      </w:r>
      <w:r w:rsidRPr="002E185B">
        <w:rPr>
          <w:rFonts w:cs="Palatino"/>
          <w:sz w:val="22"/>
          <w:szCs w:val="22"/>
        </w:rPr>
        <w:t xml:space="preserve">90 mL </w:t>
      </w:r>
      <w:r w:rsidRPr="002E185B">
        <w:rPr>
          <w:rFonts w:cs="Times"/>
          <w:sz w:val="22"/>
          <w:szCs w:val="22"/>
        </w:rPr>
        <w:t xml:space="preserve">× </w:t>
      </w:r>
      <w:r w:rsidRPr="002E185B">
        <w:rPr>
          <w:rFonts w:cs="Palatino"/>
          <w:sz w:val="22"/>
          <w:szCs w:val="22"/>
        </w:rPr>
        <w:t xml:space="preserve">kg BW </w:t>
      </w:r>
      <w:r w:rsidRPr="002E185B">
        <w:rPr>
          <w:rFonts w:cs="Times"/>
          <w:sz w:val="22"/>
          <w:szCs w:val="22"/>
        </w:rPr>
        <w:t xml:space="preserve">× </w:t>
      </w:r>
      <w:r w:rsidRPr="002E185B">
        <w:rPr>
          <w:rFonts w:cs="Palatino"/>
          <w:sz w:val="22"/>
          <w:szCs w:val="22"/>
        </w:rPr>
        <w:t xml:space="preserve">[(desired PCV – Patient PCV)/PCV of donor blood]) </w:t>
      </w:r>
    </w:p>
    <w:p w14:paraId="70673C16" w14:textId="4B9F8226" w:rsidR="00403EC7" w:rsidRPr="002E185B" w:rsidRDefault="00403EC7" w:rsidP="00403EC7">
      <w:pPr>
        <w:pStyle w:val="ListParagraph"/>
        <w:widowControl w:val="0"/>
        <w:numPr>
          <w:ilvl w:val="0"/>
          <w:numId w:val="3"/>
        </w:numPr>
        <w:autoSpaceDE w:val="0"/>
        <w:autoSpaceDN w:val="0"/>
        <w:adjustRightInd w:val="0"/>
        <w:spacing w:after="240"/>
        <w:rPr>
          <w:rFonts w:cs="Palatino"/>
          <w:sz w:val="22"/>
          <w:szCs w:val="22"/>
        </w:rPr>
      </w:pPr>
      <w:r w:rsidRPr="002E185B">
        <w:rPr>
          <w:rFonts w:cs="Palatino"/>
          <w:sz w:val="22"/>
          <w:szCs w:val="22"/>
        </w:rPr>
        <w:t xml:space="preserve">Formula 4 VT [mL] </w:t>
      </w:r>
      <w:r w:rsidRPr="002E185B">
        <w:rPr>
          <w:rFonts w:cs="Times"/>
          <w:sz w:val="22"/>
          <w:szCs w:val="22"/>
        </w:rPr>
        <w:t xml:space="preserve">= </w:t>
      </w:r>
      <w:r w:rsidRPr="002E185B">
        <w:rPr>
          <w:rFonts w:cs="Palatino"/>
          <w:sz w:val="22"/>
          <w:szCs w:val="22"/>
        </w:rPr>
        <w:t xml:space="preserve">1.5 mL </w:t>
      </w:r>
      <w:r w:rsidRPr="002E185B">
        <w:rPr>
          <w:rFonts w:cs="Times"/>
          <w:sz w:val="22"/>
          <w:szCs w:val="22"/>
        </w:rPr>
        <w:t>×</w:t>
      </w:r>
      <w:r w:rsidRPr="002E185B">
        <w:rPr>
          <w:rFonts w:cs="Palatino"/>
          <w:sz w:val="22"/>
          <w:szCs w:val="22"/>
        </w:rPr>
        <w:t xml:space="preserve">% PCV rise </w:t>
      </w:r>
      <w:r w:rsidRPr="002E185B">
        <w:rPr>
          <w:rFonts w:cs="Times"/>
          <w:sz w:val="22"/>
          <w:szCs w:val="22"/>
        </w:rPr>
        <w:t xml:space="preserve">× </w:t>
      </w:r>
      <w:r w:rsidRPr="002E185B">
        <w:rPr>
          <w:rFonts w:cs="Palatino"/>
          <w:sz w:val="22"/>
          <w:szCs w:val="22"/>
        </w:rPr>
        <w:t>kg BW</w:t>
      </w:r>
    </w:p>
    <w:p w14:paraId="67B8BE1F" w14:textId="77777777" w:rsidR="00170647" w:rsidRPr="002E185B" w:rsidRDefault="00170647" w:rsidP="00170647">
      <w:pPr>
        <w:pStyle w:val="ListParagraph"/>
        <w:widowControl w:val="0"/>
        <w:autoSpaceDE w:val="0"/>
        <w:autoSpaceDN w:val="0"/>
        <w:adjustRightInd w:val="0"/>
        <w:spacing w:after="240"/>
        <w:ind w:left="1360"/>
        <w:rPr>
          <w:rFonts w:cs="Palatino"/>
          <w:sz w:val="22"/>
          <w:szCs w:val="22"/>
        </w:rPr>
      </w:pPr>
    </w:p>
    <w:p w14:paraId="3562A71F" w14:textId="65917E09" w:rsidR="00170647" w:rsidRPr="002E185B" w:rsidRDefault="00170647" w:rsidP="00170647">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The formulas were solved for the “desired rise in PCV” These converted formulas were used to calculate the expected rise in PCV for the actual volume of transfused pRBCs.</w:t>
      </w:r>
    </w:p>
    <w:p w14:paraId="6A7C83E8" w14:textId="06B3984C" w:rsidR="00170647" w:rsidRPr="002E185B" w:rsidRDefault="00170647" w:rsidP="00170647">
      <w:pPr>
        <w:pStyle w:val="ListParagraph"/>
        <w:widowControl w:val="0"/>
        <w:numPr>
          <w:ilvl w:val="0"/>
          <w:numId w:val="1"/>
        </w:numPr>
        <w:autoSpaceDE w:val="0"/>
        <w:autoSpaceDN w:val="0"/>
        <w:adjustRightInd w:val="0"/>
        <w:spacing w:after="240"/>
        <w:rPr>
          <w:rFonts w:cs="Times"/>
          <w:sz w:val="22"/>
          <w:szCs w:val="22"/>
          <w:u w:val="single"/>
        </w:rPr>
      </w:pPr>
      <w:r w:rsidRPr="002E185B">
        <w:rPr>
          <w:rFonts w:cs="Times"/>
          <w:sz w:val="22"/>
          <w:szCs w:val="22"/>
          <w:u w:val="single"/>
        </w:rPr>
        <w:t>Expected rise in PCV %:</w:t>
      </w:r>
    </w:p>
    <w:p w14:paraId="6D12ACBF" w14:textId="77777777" w:rsidR="00170647" w:rsidRPr="002E185B" w:rsidRDefault="00170647" w:rsidP="00170647">
      <w:pPr>
        <w:pStyle w:val="ListParagraph"/>
        <w:widowControl w:val="0"/>
        <w:numPr>
          <w:ilvl w:val="0"/>
          <w:numId w:val="4"/>
        </w:numPr>
        <w:autoSpaceDE w:val="0"/>
        <w:autoSpaceDN w:val="0"/>
        <w:adjustRightInd w:val="0"/>
        <w:spacing w:after="240"/>
        <w:rPr>
          <w:rFonts w:cs="Times"/>
          <w:sz w:val="22"/>
          <w:szCs w:val="22"/>
        </w:rPr>
      </w:pPr>
      <w:r w:rsidRPr="002E185B">
        <w:rPr>
          <w:rFonts w:cs="Helvetica"/>
          <w:sz w:val="22"/>
          <w:szCs w:val="22"/>
        </w:rPr>
        <w:t>Formula 1: VT mL / kg BW </w:t>
      </w:r>
    </w:p>
    <w:p w14:paraId="38072AFB" w14:textId="77777777" w:rsidR="00170647" w:rsidRPr="002E185B" w:rsidRDefault="00170647" w:rsidP="00170647">
      <w:pPr>
        <w:pStyle w:val="ListParagraph"/>
        <w:widowControl w:val="0"/>
        <w:numPr>
          <w:ilvl w:val="0"/>
          <w:numId w:val="4"/>
        </w:numPr>
        <w:autoSpaceDE w:val="0"/>
        <w:autoSpaceDN w:val="0"/>
        <w:adjustRightInd w:val="0"/>
        <w:spacing w:after="240"/>
        <w:rPr>
          <w:rFonts w:cs="Times"/>
          <w:sz w:val="22"/>
          <w:szCs w:val="22"/>
        </w:rPr>
      </w:pPr>
      <w:r w:rsidRPr="002E185B">
        <w:rPr>
          <w:rFonts w:cs="Helvetica"/>
          <w:sz w:val="22"/>
          <w:szCs w:val="22"/>
        </w:rPr>
        <w:t xml:space="preserve">Formula 2: VT mL / (2 </w:t>
      </w:r>
      <w:r w:rsidRPr="002E185B">
        <w:rPr>
          <w:rFonts w:cs="Times"/>
          <w:sz w:val="22"/>
          <w:szCs w:val="22"/>
        </w:rPr>
        <w:t xml:space="preserve">× </w:t>
      </w:r>
      <w:r w:rsidRPr="002E185B">
        <w:rPr>
          <w:rFonts w:cs="Helvetica"/>
          <w:sz w:val="22"/>
          <w:szCs w:val="22"/>
        </w:rPr>
        <w:t xml:space="preserve">kg BW) </w:t>
      </w:r>
    </w:p>
    <w:p w14:paraId="1DAAAF64" w14:textId="77777777" w:rsidR="00170647" w:rsidRPr="002E185B" w:rsidRDefault="00170647" w:rsidP="00170647">
      <w:pPr>
        <w:pStyle w:val="ListParagraph"/>
        <w:widowControl w:val="0"/>
        <w:numPr>
          <w:ilvl w:val="0"/>
          <w:numId w:val="4"/>
        </w:numPr>
        <w:autoSpaceDE w:val="0"/>
        <w:autoSpaceDN w:val="0"/>
        <w:adjustRightInd w:val="0"/>
        <w:spacing w:after="240"/>
        <w:rPr>
          <w:rFonts w:cs="Times"/>
          <w:sz w:val="22"/>
          <w:szCs w:val="22"/>
        </w:rPr>
      </w:pPr>
      <w:r w:rsidRPr="002E185B">
        <w:rPr>
          <w:rFonts w:cs="Helvetica"/>
          <w:sz w:val="22"/>
          <w:szCs w:val="22"/>
        </w:rPr>
        <w:t xml:space="preserve">Formula 3: (Donor PCV </w:t>
      </w:r>
      <w:r w:rsidRPr="002E185B">
        <w:rPr>
          <w:rFonts w:cs="Times"/>
          <w:sz w:val="22"/>
          <w:szCs w:val="22"/>
        </w:rPr>
        <w:t xml:space="preserve">× </w:t>
      </w:r>
      <w:r w:rsidRPr="002E185B">
        <w:rPr>
          <w:rFonts w:cs="Helvetica"/>
          <w:sz w:val="22"/>
          <w:szCs w:val="22"/>
        </w:rPr>
        <w:t xml:space="preserve">VT mL) /(90 ml </w:t>
      </w:r>
      <w:r w:rsidRPr="002E185B">
        <w:rPr>
          <w:rFonts w:cs="Times"/>
          <w:sz w:val="22"/>
          <w:szCs w:val="22"/>
        </w:rPr>
        <w:t xml:space="preserve">× </w:t>
      </w:r>
      <w:r w:rsidRPr="002E185B">
        <w:rPr>
          <w:rFonts w:cs="Helvetica"/>
          <w:sz w:val="22"/>
          <w:szCs w:val="22"/>
        </w:rPr>
        <w:t xml:space="preserve">kg BW) </w:t>
      </w:r>
    </w:p>
    <w:p w14:paraId="51195B1B" w14:textId="089499DF" w:rsidR="00170647" w:rsidRPr="002E185B" w:rsidRDefault="00170647" w:rsidP="00170647">
      <w:pPr>
        <w:pStyle w:val="ListParagraph"/>
        <w:widowControl w:val="0"/>
        <w:numPr>
          <w:ilvl w:val="0"/>
          <w:numId w:val="4"/>
        </w:numPr>
        <w:autoSpaceDE w:val="0"/>
        <w:autoSpaceDN w:val="0"/>
        <w:adjustRightInd w:val="0"/>
        <w:spacing w:after="240"/>
        <w:rPr>
          <w:rFonts w:cs="Times"/>
          <w:sz w:val="22"/>
          <w:szCs w:val="22"/>
        </w:rPr>
      </w:pPr>
      <w:r w:rsidRPr="002E185B">
        <w:rPr>
          <w:rFonts w:cs="Helvetica"/>
          <w:sz w:val="22"/>
          <w:szCs w:val="22"/>
        </w:rPr>
        <w:t xml:space="preserve">Formula 4: (2 </w:t>
      </w:r>
      <w:r w:rsidRPr="002E185B">
        <w:rPr>
          <w:rFonts w:cs="Times"/>
          <w:sz w:val="22"/>
          <w:szCs w:val="22"/>
        </w:rPr>
        <w:t xml:space="preserve">× </w:t>
      </w:r>
      <w:r w:rsidRPr="002E185B">
        <w:rPr>
          <w:rFonts w:cs="Helvetica"/>
          <w:sz w:val="22"/>
          <w:szCs w:val="22"/>
        </w:rPr>
        <w:t xml:space="preserve">VT mL) / (3 </w:t>
      </w:r>
      <w:r w:rsidRPr="002E185B">
        <w:rPr>
          <w:rFonts w:cs="Times"/>
          <w:sz w:val="22"/>
          <w:szCs w:val="22"/>
        </w:rPr>
        <w:t xml:space="preserve">× </w:t>
      </w:r>
      <w:r w:rsidRPr="002E185B">
        <w:rPr>
          <w:rFonts w:cs="Helvetica"/>
          <w:sz w:val="22"/>
          <w:szCs w:val="22"/>
        </w:rPr>
        <w:t>kg BW)</w:t>
      </w:r>
    </w:p>
    <w:p w14:paraId="032440D1" w14:textId="77777777" w:rsidR="00403EC7" w:rsidRPr="002E185B" w:rsidRDefault="004D4049" w:rsidP="00403EC7">
      <w:pPr>
        <w:widowControl w:val="0"/>
        <w:autoSpaceDE w:val="0"/>
        <w:autoSpaceDN w:val="0"/>
        <w:adjustRightInd w:val="0"/>
        <w:spacing w:after="240"/>
        <w:rPr>
          <w:rFonts w:cs="Palatino"/>
          <w:b/>
          <w:bCs/>
          <w:sz w:val="22"/>
          <w:szCs w:val="22"/>
        </w:rPr>
      </w:pPr>
      <w:r w:rsidRPr="002E185B">
        <w:rPr>
          <w:rFonts w:cs="Palatino"/>
          <w:sz w:val="22"/>
          <w:szCs w:val="22"/>
        </w:rPr>
        <w:lastRenderedPageBreak/>
        <w:t> </w:t>
      </w:r>
      <w:r w:rsidRPr="002E185B">
        <w:rPr>
          <w:rFonts w:cs="Palatino"/>
          <w:b/>
          <w:bCs/>
          <w:sz w:val="22"/>
          <w:szCs w:val="22"/>
        </w:rPr>
        <w:t>Results</w:t>
      </w:r>
      <w:r w:rsidR="00403EC7" w:rsidRPr="002E185B">
        <w:rPr>
          <w:rFonts w:cs="Palatino"/>
          <w:b/>
          <w:bCs/>
          <w:sz w:val="22"/>
          <w:szCs w:val="22"/>
        </w:rPr>
        <w:t xml:space="preserve">: </w:t>
      </w:r>
    </w:p>
    <w:p w14:paraId="037B5DA7" w14:textId="45B3DF6C" w:rsidR="00403EC7" w:rsidRPr="002E185B" w:rsidRDefault="004D4049" w:rsidP="00403EC7">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 xml:space="preserve">Accuracy of existing formulas to predict rise in PCV following transfusion varied significantly. </w:t>
      </w:r>
    </w:p>
    <w:p w14:paraId="66EC3014" w14:textId="77777777" w:rsidR="00403EC7" w:rsidRPr="002E185B" w:rsidRDefault="004D4049" w:rsidP="00403EC7">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 xml:space="preserve">Formula overestimated the expected rise </w:t>
      </w:r>
      <w:r w:rsidR="00403EC7" w:rsidRPr="002E185B">
        <w:rPr>
          <w:rFonts w:cs="Palatino"/>
          <w:sz w:val="22"/>
          <w:szCs w:val="22"/>
        </w:rPr>
        <w:t>in PCV (mean difference, 6.30)</w:t>
      </w:r>
    </w:p>
    <w:p w14:paraId="1CE40782" w14:textId="77777777" w:rsidR="00403EC7" w:rsidRPr="002E185B" w:rsidRDefault="00403EC7" w:rsidP="00403EC7">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F</w:t>
      </w:r>
      <w:r w:rsidR="004D4049" w:rsidRPr="002E185B">
        <w:rPr>
          <w:rFonts w:cs="Palatino"/>
          <w:sz w:val="22"/>
          <w:szCs w:val="22"/>
        </w:rPr>
        <w:t>ormula 2 underestimated the rise i</w:t>
      </w:r>
      <w:r w:rsidRPr="002E185B">
        <w:rPr>
          <w:rFonts w:cs="Palatino"/>
          <w:sz w:val="22"/>
          <w:szCs w:val="22"/>
        </w:rPr>
        <w:t>n PCV (mean difference, –3.01)</w:t>
      </w:r>
    </w:p>
    <w:p w14:paraId="746FAB74" w14:textId="588A6A35" w:rsidR="00170647" w:rsidRPr="002E185B" w:rsidRDefault="004D4049" w:rsidP="00170647">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Formula 3  and formula 4 performed well (mean difference 0.23 and 0.09, respectively) in predicting rise in PCV following pRBC transfusion. </w:t>
      </w:r>
    </w:p>
    <w:p w14:paraId="52D3CB38" w14:textId="1B22B5F9" w:rsidR="00351DBF" w:rsidRPr="002E185B" w:rsidRDefault="00351DBF" w:rsidP="00351DBF">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Both formula 1 and 2 were found to be unreliable models for predicting PCV rise in this patient population </w:t>
      </w:r>
    </w:p>
    <w:p w14:paraId="50FEED69" w14:textId="2E5D1361" w:rsidR="00351DBF" w:rsidRPr="002E185B" w:rsidRDefault="002E185B" w:rsidP="002E185B">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The current study revealed a mean post-PCV of 28.8% </w:t>
      </w:r>
      <w:r w:rsidRPr="002E185B">
        <w:rPr>
          <w:rFonts w:cs="Times"/>
          <w:sz w:val="22"/>
          <w:szCs w:val="22"/>
        </w:rPr>
        <w:t xml:space="preserve">± </w:t>
      </w:r>
      <w:r w:rsidRPr="002E185B">
        <w:rPr>
          <w:rFonts w:cs="Palatino"/>
          <w:sz w:val="22"/>
          <w:szCs w:val="22"/>
        </w:rPr>
        <w:t xml:space="preserve">SD 6.2 with a mean post-transfusion rise in PCV of 12.3% </w:t>
      </w:r>
      <w:r w:rsidRPr="002E185B">
        <w:rPr>
          <w:rFonts w:cs="Times"/>
          <w:sz w:val="22"/>
          <w:szCs w:val="22"/>
        </w:rPr>
        <w:t xml:space="preserve">± </w:t>
      </w:r>
      <w:r w:rsidRPr="002E185B">
        <w:rPr>
          <w:rFonts w:cs="Palatino"/>
          <w:sz w:val="22"/>
          <w:szCs w:val="22"/>
        </w:rPr>
        <w:t>SD 6.1. This is consistent with previous veterinary literature where a post-transfusion PCV of 25%–30% is the goal in anemic dogs</w:t>
      </w:r>
    </w:p>
    <w:p w14:paraId="67D52AC7" w14:textId="694E4AE4" w:rsidR="004D4049" w:rsidRPr="002E185B" w:rsidRDefault="004D4049" w:rsidP="00403EC7">
      <w:pPr>
        <w:widowControl w:val="0"/>
        <w:autoSpaceDE w:val="0"/>
        <w:autoSpaceDN w:val="0"/>
        <w:adjustRightInd w:val="0"/>
        <w:spacing w:after="240"/>
        <w:ind w:left="360"/>
        <w:rPr>
          <w:rFonts w:cs="Palatino"/>
          <w:sz w:val="22"/>
          <w:szCs w:val="22"/>
        </w:rPr>
      </w:pPr>
      <w:r w:rsidRPr="002E185B">
        <w:rPr>
          <w:rFonts w:cs="Palatino"/>
          <w:b/>
          <w:bCs/>
          <w:sz w:val="22"/>
          <w:szCs w:val="22"/>
        </w:rPr>
        <w:t xml:space="preserve">Conclusions </w:t>
      </w:r>
      <w:r w:rsidRPr="002E185B">
        <w:rPr>
          <w:rFonts w:cs="Palatino"/>
          <w:sz w:val="22"/>
          <w:szCs w:val="22"/>
        </w:rPr>
        <w:t xml:space="preserve">– Agreement between 2 formulas, “VT (mL) </w:t>
      </w:r>
      <w:r w:rsidRPr="002E185B">
        <w:rPr>
          <w:rFonts w:cs="Times"/>
          <w:sz w:val="22"/>
          <w:szCs w:val="22"/>
        </w:rPr>
        <w:t xml:space="preserve">= </w:t>
      </w:r>
      <w:r w:rsidRPr="002E185B">
        <w:rPr>
          <w:rFonts w:cs="Palatino"/>
          <w:sz w:val="22"/>
          <w:szCs w:val="22"/>
        </w:rPr>
        <w:t xml:space="preserve">kg BW </w:t>
      </w:r>
      <w:r w:rsidRPr="002E185B">
        <w:rPr>
          <w:rFonts w:cs="Times"/>
          <w:sz w:val="22"/>
          <w:szCs w:val="22"/>
        </w:rPr>
        <w:t xml:space="preserve">× </w:t>
      </w:r>
      <w:r w:rsidRPr="002E185B">
        <w:rPr>
          <w:rFonts w:cs="Palatino"/>
          <w:sz w:val="22"/>
          <w:szCs w:val="22"/>
        </w:rPr>
        <w:t xml:space="preserve">blood volume (90 mL) </w:t>
      </w:r>
      <w:r w:rsidRPr="002E185B">
        <w:rPr>
          <w:rFonts w:cs="Times"/>
          <w:sz w:val="22"/>
          <w:szCs w:val="22"/>
        </w:rPr>
        <w:t xml:space="preserve">× </w:t>
      </w:r>
      <w:r w:rsidRPr="002E185B">
        <w:rPr>
          <w:rFonts w:cs="Palatino"/>
          <w:sz w:val="22"/>
          <w:szCs w:val="22"/>
        </w:rPr>
        <w:t xml:space="preserve">[(desired PCV – recipient PCV)/Donor PCV]” and “VT (mL) </w:t>
      </w:r>
      <w:r w:rsidRPr="002E185B">
        <w:rPr>
          <w:rFonts w:cs="Times"/>
          <w:sz w:val="22"/>
          <w:szCs w:val="22"/>
        </w:rPr>
        <w:t xml:space="preserve">= </w:t>
      </w:r>
      <w:r w:rsidRPr="002E185B">
        <w:rPr>
          <w:rFonts w:cs="Palatino"/>
          <w:sz w:val="22"/>
          <w:szCs w:val="22"/>
        </w:rPr>
        <w:t xml:space="preserve">1.5 </w:t>
      </w:r>
      <w:r w:rsidRPr="002E185B">
        <w:rPr>
          <w:rFonts w:cs="Times"/>
          <w:sz w:val="22"/>
          <w:szCs w:val="22"/>
        </w:rPr>
        <w:t>×</w:t>
      </w:r>
      <w:r w:rsidRPr="002E185B">
        <w:rPr>
          <w:rFonts w:cs="Palatino"/>
          <w:sz w:val="22"/>
          <w:szCs w:val="22"/>
        </w:rPr>
        <w:t xml:space="preserve">desired rise in PCV </w:t>
      </w:r>
      <w:r w:rsidRPr="002E185B">
        <w:rPr>
          <w:rFonts w:cs="Times"/>
          <w:sz w:val="22"/>
          <w:szCs w:val="22"/>
        </w:rPr>
        <w:t xml:space="preserve">× </w:t>
      </w:r>
      <w:r w:rsidRPr="002E185B">
        <w:rPr>
          <w:rFonts w:cs="Palatino"/>
          <w:sz w:val="22"/>
          <w:szCs w:val="22"/>
        </w:rPr>
        <w:t>kg BW,” was found when they were compared to the actual rise in PCV following pRBC transfusion in anemic dogs. Further research is warranted to determine whether these formulas perform similarly well for other species.</w:t>
      </w:r>
    </w:p>
    <w:p w14:paraId="54755C60" w14:textId="17990B12" w:rsidR="00B83967" w:rsidRPr="002E185B" w:rsidRDefault="00B83967" w:rsidP="00B83967">
      <w:pPr>
        <w:widowControl w:val="0"/>
        <w:autoSpaceDE w:val="0"/>
        <w:autoSpaceDN w:val="0"/>
        <w:adjustRightInd w:val="0"/>
        <w:spacing w:after="240"/>
        <w:rPr>
          <w:rFonts w:cs="Palatino"/>
          <w:b/>
          <w:sz w:val="22"/>
          <w:szCs w:val="22"/>
        </w:rPr>
      </w:pPr>
      <w:r w:rsidRPr="002E185B">
        <w:rPr>
          <w:rFonts w:cs="Palatino"/>
          <w:b/>
          <w:sz w:val="22"/>
          <w:szCs w:val="22"/>
        </w:rPr>
        <w:t>Other:</w:t>
      </w:r>
    </w:p>
    <w:p w14:paraId="58939C0D" w14:textId="05CF69BA" w:rsidR="00B83967" w:rsidRPr="002E185B" w:rsidRDefault="00B83967" w:rsidP="00B83967">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In a normovolemic animal, anemia is characterized as having less number of RBCs than the normal, decreased Hb concentration, decreased HCT, or decreased PCV that causes the oxygen carrying capacity of blood, and thus oxygen delivery, to be decreased.</w:t>
      </w:r>
    </w:p>
    <w:p w14:paraId="611C3D17" w14:textId="6E9E26F3" w:rsidR="00351DBF" w:rsidRPr="002E185B" w:rsidRDefault="00351DBF" w:rsidP="00B83967">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Formula 3 is the most accurate because it takes into account the patient’s PCV and the donor’s PCV</w:t>
      </w:r>
    </w:p>
    <w:p w14:paraId="2E40B28D" w14:textId="77777777" w:rsidR="00C7554D" w:rsidRPr="002E185B" w:rsidRDefault="00351DBF" w:rsidP="00C7554D">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Thought that the reason formula 4 is nearly as accurate as formula 3 is that it includes a coefficient of 1.5, which is approximately the same as formula 3’s variable “90 mL/donor PCV” under most circumstances.</w:t>
      </w:r>
    </w:p>
    <w:p w14:paraId="1294C7B5" w14:textId="55C1B90C" w:rsidR="00C7554D" w:rsidRPr="002E185B" w:rsidRDefault="00C7554D" w:rsidP="00C7554D">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Formula 1 may accurately predict the rise in PCV if the donor PCV is </w:t>
      </w:r>
      <w:r w:rsidRPr="002E185B">
        <w:rPr>
          <w:rFonts w:cs="Times"/>
          <w:sz w:val="22"/>
          <w:szCs w:val="22"/>
        </w:rPr>
        <w:t>&gt;</w:t>
      </w:r>
      <w:r w:rsidRPr="002E185B">
        <w:rPr>
          <w:rFonts w:cs="Palatino"/>
          <w:sz w:val="22"/>
          <w:szCs w:val="22"/>
        </w:rPr>
        <w:t>80% as then the formula’s coefficient would be close to 1.  (as in pRBC units processed without addititves)</w:t>
      </w:r>
    </w:p>
    <w:p w14:paraId="0160DF80" w14:textId="156EC67F" w:rsidR="00C7554D" w:rsidRPr="002E185B" w:rsidRDefault="00C7554D" w:rsidP="00C7554D">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Formula 2 may be more precise for whole blood transfusions, as the PCV of whole blood is about 45% and the coefficient would be near 0.5, which is analogous to formula 2.</w:t>
      </w:r>
    </w:p>
    <w:p w14:paraId="3C819A4F" w14:textId="180DA2E0" w:rsidR="00773319" w:rsidRPr="002E185B" w:rsidRDefault="00351DBF" w:rsidP="00773319">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Further studies are needed to investigate whether the cause</w:t>
      </w:r>
      <w:r w:rsidR="00C7554D" w:rsidRPr="002E185B">
        <w:rPr>
          <w:rFonts w:cs="Palatino"/>
          <w:sz w:val="22"/>
          <w:szCs w:val="22"/>
        </w:rPr>
        <w:t xml:space="preserve"> of anemia impacts the ability of these formulas to predict post-transfusion PCV relative to each formula.</w:t>
      </w:r>
    </w:p>
    <w:p w14:paraId="5E2E3CD3" w14:textId="0BEAEC28" w:rsidR="00773319" w:rsidRPr="002E185B" w:rsidRDefault="00773319" w:rsidP="00773319">
      <w:pPr>
        <w:widowControl w:val="0"/>
        <w:autoSpaceDE w:val="0"/>
        <w:autoSpaceDN w:val="0"/>
        <w:adjustRightInd w:val="0"/>
        <w:spacing w:after="240"/>
        <w:rPr>
          <w:rFonts w:cs="Times"/>
          <w:b/>
          <w:sz w:val="22"/>
          <w:szCs w:val="22"/>
        </w:rPr>
      </w:pPr>
      <w:r w:rsidRPr="002E185B">
        <w:rPr>
          <w:rFonts w:cs="Times"/>
          <w:b/>
          <w:sz w:val="22"/>
          <w:szCs w:val="22"/>
        </w:rPr>
        <w:t>Questions:</w:t>
      </w:r>
    </w:p>
    <w:p w14:paraId="27FC0F7D" w14:textId="47CD4C7E" w:rsidR="00773319" w:rsidRPr="002E185B" w:rsidRDefault="00773319" w:rsidP="00773319">
      <w:pPr>
        <w:pStyle w:val="ListParagraph"/>
        <w:widowControl w:val="0"/>
        <w:numPr>
          <w:ilvl w:val="0"/>
          <w:numId w:val="9"/>
        </w:numPr>
        <w:autoSpaceDE w:val="0"/>
        <w:autoSpaceDN w:val="0"/>
        <w:adjustRightInd w:val="0"/>
        <w:spacing w:after="240"/>
        <w:rPr>
          <w:rFonts w:cs="Times"/>
          <w:sz w:val="22"/>
          <w:szCs w:val="22"/>
        </w:rPr>
      </w:pPr>
      <w:r w:rsidRPr="002E185B">
        <w:rPr>
          <w:rFonts w:cs="Times"/>
          <w:sz w:val="22"/>
          <w:szCs w:val="22"/>
        </w:rPr>
        <w:t>What were the formulas used to calculate volume to be transfused in this study?</w:t>
      </w:r>
    </w:p>
    <w:p w14:paraId="4DB59657" w14:textId="4E7492DB" w:rsidR="00773319" w:rsidRPr="002E185B" w:rsidRDefault="00773319" w:rsidP="00773319">
      <w:pPr>
        <w:pStyle w:val="ListParagraph"/>
        <w:widowControl w:val="0"/>
        <w:numPr>
          <w:ilvl w:val="0"/>
          <w:numId w:val="9"/>
        </w:numPr>
        <w:autoSpaceDE w:val="0"/>
        <w:autoSpaceDN w:val="0"/>
        <w:adjustRightInd w:val="0"/>
        <w:spacing w:after="240"/>
        <w:rPr>
          <w:rFonts w:cs="Times"/>
          <w:sz w:val="22"/>
          <w:szCs w:val="22"/>
        </w:rPr>
      </w:pPr>
      <w:r w:rsidRPr="002E185B">
        <w:rPr>
          <w:rFonts w:cs="Times"/>
          <w:sz w:val="22"/>
          <w:szCs w:val="22"/>
        </w:rPr>
        <w:t>Which two formulas appeared to most accurately predict the expected rise in PCV?</w:t>
      </w:r>
    </w:p>
    <w:p w14:paraId="7F817F2C" w14:textId="4ABE94B1" w:rsidR="00C43FD1" w:rsidRPr="002E185B" w:rsidRDefault="00C43FD1" w:rsidP="00773319">
      <w:pPr>
        <w:pStyle w:val="ListParagraph"/>
        <w:widowControl w:val="0"/>
        <w:numPr>
          <w:ilvl w:val="0"/>
          <w:numId w:val="9"/>
        </w:numPr>
        <w:autoSpaceDE w:val="0"/>
        <w:autoSpaceDN w:val="0"/>
        <w:adjustRightInd w:val="0"/>
        <w:spacing w:after="240"/>
        <w:rPr>
          <w:rFonts w:cs="Times"/>
          <w:sz w:val="22"/>
          <w:szCs w:val="22"/>
        </w:rPr>
      </w:pPr>
      <w:r w:rsidRPr="002E185B">
        <w:rPr>
          <w:rFonts w:cs="Times"/>
          <w:sz w:val="22"/>
          <w:szCs w:val="22"/>
        </w:rPr>
        <w:t>Why are these two formulas thought to be more accurate in most circumstances (when transfusing pRBCs)?</w:t>
      </w:r>
    </w:p>
    <w:p w14:paraId="6932AE34" w14:textId="5851E824" w:rsidR="00773319" w:rsidRPr="002E185B" w:rsidRDefault="00773319" w:rsidP="00773319">
      <w:pPr>
        <w:pStyle w:val="ListParagraph"/>
        <w:widowControl w:val="0"/>
        <w:numPr>
          <w:ilvl w:val="0"/>
          <w:numId w:val="9"/>
        </w:numPr>
        <w:autoSpaceDE w:val="0"/>
        <w:autoSpaceDN w:val="0"/>
        <w:adjustRightInd w:val="0"/>
        <w:spacing w:after="240"/>
        <w:rPr>
          <w:rFonts w:cs="Times"/>
          <w:sz w:val="22"/>
          <w:szCs w:val="22"/>
        </w:rPr>
      </w:pPr>
      <w:r w:rsidRPr="002E185B">
        <w:rPr>
          <w:rFonts w:cs="Times"/>
          <w:sz w:val="22"/>
          <w:szCs w:val="22"/>
        </w:rPr>
        <w:t>Name the circumstanced under which formula 1 and 2 may be more accurate</w:t>
      </w:r>
    </w:p>
    <w:p w14:paraId="035F9062" w14:textId="77777777" w:rsidR="0024097F" w:rsidRPr="002E185B" w:rsidRDefault="0024097F" w:rsidP="00C274BB">
      <w:pPr>
        <w:widowControl w:val="0"/>
        <w:autoSpaceDE w:val="0"/>
        <w:autoSpaceDN w:val="0"/>
        <w:adjustRightInd w:val="0"/>
        <w:spacing w:after="240"/>
        <w:rPr>
          <w:rFonts w:cs="Helvetica"/>
          <w:b/>
          <w:bCs/>
          <w:sz w:val="22"/>
          <w:szCs w:val="22"/>
          <w:u w:val="single"/>
        </w:rPr>
      </w:pPr>
    </w:p>
    <w:p w14:paraId="0432B029" w14:textId="77777777" w:rsidR="0024097F" w:rsidRPr="002E185B" w:rsidRDefault="0024097F" w:rsidP="00C274BB">
      <w:pPr>
        <w:widowControl w:val="0"/>
        <w:autoSpaceDE w:val="0"/>
        <w:autoSpaceDN w:val="0"/>
        <w:adjustRightInd w:val="0"/>
        <w:spacing w:after="240"/>
        <w:rPr>
          <w:rFonts w:cs="Helvetica"/>
          <w:b/>
          <w:bCs/>
          <w:sz w:val="22"/>
          <w:szCs w:val="22"/>
          <w:u w:val="single"/>
        </w:rPr>
      </w:pPr>
    </w:p>
    <w:p w14:paraId="279CBCFC" w14:textId="77777777" w:rsidR="0024097F" w:rsidRPr="002E185B" w:rsidRDefault="0024097F" w:rsidP="00C274BB">
      <w:pPr>
        <w:widowControl w:val="0"/>
        <w:autoSpaceDE w:val="0"/>
        <w:autoSpaceDN w:val="0"/>
        <w:adjustRightInd w:val="0"/>
        <w:spacing w:after="240"/>
        <w:rPr>
          <w:rFonts w:cs="Helvetica"/>
          <w:b/>
          <w:bCs/>
          <w:sz w:val="22"/>
          <w:szCs w:val="22"/>
          <w:u w:val="single"/>
        </w:rPr>
      </w:pPr>
    </w:p>
    <w:p w14:paraId="339B911D" w14:textId="77777777" w:rsidR="00C274BB" w:rsidRPr="002E185B" w:rsidRDefault="00C274BB" w:rsidP="00C274BB">
      <w:pPr>
        <w:widowControl w:val="0"/>
        <w:autoSpaceDE w:val="0"/>
        <w:autoSpaceDN w:val="0"/>
        <w:adjustRightInd w:val="0"/>
        <w:spacing w:after="240"/>
        <w:rPr>
          <w:rFonts w:cs="Times"/>
          <w:sz w:val="22"/>
          <w:szCs w:val="22"/>
          <w:u w:val="single"/>
        </w:rPr>
      </w:pPr>
      <w:r w:rsidRPr="002E185B">
        <w:rPr>
          <w:rFonts w:cs="Helvetica"/>
          <w:b/>
          <w:bCs/>
          <w:sz w:val="22"/>
          <w:szCs w:val="22"/>
          <w:u w:val="single"/>
        </w:rPr>
        <w:t>Evaluation of lidocaine treatment on frequency of cardiac arrhythmias, acute kidney injury, and hospitalization time in dogs with gastric dilatation volvulus</w:t>
      </w:r>
    </w:p>
    <w:p w14:paraId="721AD448" w14:textId="0A4ECAB1" w:rsidR="00C274BB" w:rsidRPr="002E185B" w:rsidRDefault="00C274BB" w:rsidP="00C274BB">
      <w:pPr>
        <w:widowControl w:val="0"/>
        <w:autoSpaceDE w:val="0"/>
        <w:autoSpaceDN w:val="0"/>
        <w:adjustRightInd w:val="0"/>
        <w:spacing w:after="240"/>
        <w:rPr>
          <w:rFonts w:cs="Times"/>
          <w:sz w:val="22"/>
          <w:szCs w:val="22"/>
        </w:rPr>
      </w:pPr>
      <w:r w:rsidRPr="002E185B">
        <w:rPr>
          <w:rFonts w:cs="Palatino"/>
          <w:b/>
          <w:sz w:val="22"/>
          <w:szCs w:val="22"/>
        </w:rPr>
        <w:t>Authors</w:t>
      </w:r>
      <w:r w:rsidRPr="002E185B">
        <w:rPr>
          <w:rFonts w:cs="Palatino"/>
          <w:sz w:val="22"/>
          <w:szCs w:val="22"/>
        </w:rPr>
        <w:t>: Yaron Bruchim, DVM; Srugo Itay, DVM; Ben-Halevy Shira, DVM; Efrat Kelmer, DVM, MS, DACVECC; Yudelecitch Sigal, DVM, DECVS; Aroch Itamar, DVM, DECVIM-CA and Segev Gilad, DVM, DECVIM-CA</w:t>
      </w:r>
    </w:p>
    <w:p w14:paraId="360B8A0A" w14:textId="3FE32733" w:rsidR="00C274BB" w:rsidRPr="002E185B" w:rsidRDefault="00C274BB" w:rsidP="00C274BB">
      <w:pPr>
        <w:widowControl w:val="0"/>
        <w:autoSpaceDE w:val="0"/>
        <w:autoSpaceDN w:val="0"/>
        <w:adjustRightInd w:val="0"/>
        <w:spacing w:after="240"/>
        <w:rPr>
          <w:rFonts w:cs="Palatino"/>
          <w:sz w:val="22"/>
          <w:szCs w:val="22"/>
        </w:rPr>
      </w:pPr>
      <w:r w:rsidRPr="002E185B">
        <w:rPr>
          <w:rFonts w:cs="Palatino"/>
          <w:b/>
          <w:bCs/>
          <w:sz w:val="22"/>
          <w:szCs w:val="22"/>
        </w:rPr>
        <w:t xml:space="preserve">Objective: </w:t>
      </w:r>
      <w:r w:rsidRPr="002E185B">
        <w:rPr>
          <w:rFonts w:cs="Palatino"/>
          <w:sz w:val="22"/>
          <w:szCs w:val="22"/>
        </w:rPr>
        <w:t>To assess the efficacy of IV lidocaine in decreasing complication rate and improving the outcome in dogs with gastric dilatation volvulus (GDV).</w:t>
      </w:r>
    </w:p>
    <w:p w14:paraId="3BB49D3E" w14:textId="445AA229" w:rsidR="00C274BB" w:rsidRPr="002E185B" w:rsidRDefault="00C274BB" w:rsidP="00C274BB">
      <w:pPr>
        <w:widowControl w:val="0"/>
        <w:autoSpaceDE w:val="0"/>
        <w:autoSpaceDN w:val="0"/>
        <w:adjustRightInd w:val="0"/>
        <w:spacing w:after="240"/>
        <w:rPr>
          <w:rFonts w:cs="Times"/>
          <w:sz w:val="22"/>
          <w:szCs w:val="22"/>
        </w:rPr>
      </w:pPr>
      <w:r w:rsidRPr="002E185B">
        <w:rPr>
          <w:rFonts w:cs="Palatino"/>
          <w:b/>
          <w:bCs/>
          <w:sz w:val="22"/>
          <w:szCs w:val="22"/>
        </w:rPr>
        <w:t xml:space="preserve">Design: </w:t>
      </w:r>
      <w:r w:rsidRPr="002E185B">
        <w:rPr>
          <w:rFonts w:cs="Palatino"/>
          <w:sz w:val="22"/>
          <w:szCs w:val="22"/>
        </w:rPr>
        <w:t>Prospective non-controlled study of 83 lidocaine-treated dogs with GDV compared to 47 untreated historical controls with GDV.</w:t>
      </w:r>
    </w:p>
    <w:p w14:paraId="3437F124" w14:textId="77777777" w:rsidR="00C274BB" w:rsidRPr="002E185B" w:rsidRDefault="00C274BB" w:rsidP="00C274BB">
      <w:pPr>
        <w:widowControl w:val="0"/>
        <w:autoSpaceDE w:val="0"/>
        <w:autoSpaceDN w:val="0"/>
        <w:adjustRightInd w:val="0"/>
        <w:spacing w:after="240"/>
        <w:rPr>
          <w:rFonts w:cs="Palatino"/>
          <w:sz w:val="22"/>
          <w:szCs w:val="22"/>
        </w:rPr>
      </w:pPr>
      <w:r w:rsidRPr="002E185B">
        <w:rPr>
          <w:rFonts w:cs="Palatino"/>
          <w:b/>
          <w:bCs/>
          <w:sz w:val="22"/>
          <w:szCs w:val="22"/>
        </w:rPr>
        <w:t xml:space="preserve">Interventions: </w:t>
      </w:r>
      <w:r w:rsidRPr="002E185B">
        <w:rPr>
          <w:rFonts w:cs="Palatino"/>
          <w:sz w:val="22"/>
          <w:szCs w:val="22"/>
        </w:rPr>
        <w:t xml:space="preserve">Study group dogs were treated at presentation with lidocaine (2 mg/kg, IV bolus) followed by constant rate infusion (CRI) of 0.05 mg/kg/min for 24 h. Historical control dogs did not receive any lidocaine. </w:t>
      </w:r>
    </w:p>
    <w:p w14:paraId="040B223E" w14:textId="120A4FE8" w:rsidR="00C274BB" w:rsidRPr="002E185B" w:rsidRDefault="00C274BB" w:rsidP="008E6CB3">
      <w:pPr>
        <w:widowControl w:val="0"/>
        <w:autoSpaceDE w:val="0"/>
        <w:autoSpaceDN w:val="0"/>
        <w:adjustRightInd w:val="0"/>
        <w:spacing w:after="240"/>
        <w:rPr>
          <w:rFonts w:cs="Palatino"/>
          <w:b/>
          <w:bCs/>
          <w:sz w:val="22"/>
          <w:szCs w:val="22"/>
        </w:rPr>
      </w:pPr>
      <w:r w:rsidRPr="002E185B">
        <w:rPr>
          <w:rFonts w:cs="Palatino"/>
          <w:b/>
          <w:bCs/>
          <w:sz w:val="22"/>
          <w:szCs w:val="22"/>
        </w:rPr>
        <w:t>Results:</w:t>
      </w:r>
    </w:p>
    <w:p w14:paraId="6077EBCE" w14:textId="77777777" w:rsidR="00C274BB" w:rsidRPr="002E185B" w:rsidRDefault="00C274BB" w:rsidP="00C274BB">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proportions of cardiac arrhythmias and acute kidney injury (AKI) were significantly (</w:t>
      </w:r>
      <w:r w:rsidRPr="002E185B">
        <w:rPr>
          <w:rFonts w:cs="Palatino"/>
          <w:i/>
          <w:iCs/>
          <w:sz w:val="22"/>
          <w:szCs w:val="22"/>
        </w:rPr>
        <w:t>P</w:t>
      </w:r>
      <w:r w:rsidRPr="002E185B">
        <w:rPr>
          <w:rFonts w:cs="Times"/>
          <w:sz w:val="22"/>
          <w:szCs w:val="22"/>
        </w:rPr>
        <w:t xml:space="preserve">&lt; </w:t>
      </w:r>
      <w:r w:rsidRPr="002E185B">
        <w:rPr>
          <w:rFonts w:cs="Palatino"/>
          <w:sz w:val="22"/>
          <w:szCs w:val="22"/>
        </w:rPr>
        <w:t xml:space="preserve">0.001 and </w:t>
      </w:r>
      <w:r w:rsidRPr="002E185B">
        <w:rPr>
          <w:rFonts w:cs="Palatino"/>
          <w:i/>
          <w:iCs/>
          <w:sz w:val="22"/>
          <w:szCs w:val="22"/>
        </w:rPr>
        <w:t xml:space="preserve">P </w:t>
      </w:r>
      <w:r w:rsidRPr="002E185B">
        <w:rPr>
          <w:rFonts w:cs="Times"/>
          <w:sz w:val="22"/>
          <w:szCs w:val="22"/>
        </w:rPr>
        <w:t xml:space="preserve">= </w:t>
      </w:r>
      <w:r w:rsidRPr="002E185B">
        <w:rPr>
          <w:rFonts w:cs="Palatino"/>
          <w:sz w:val="22"/>
          <w:szCs w:val="22"/>
        </w:rPr>
        <w:t>0.045</w:t>
      </w:r>
      <w:r w:rsidRPr="002E185B">
        <w:rPr>
          <w:rFonts w:cs="Palatino"/>
          <w:i/>
          <w:iCs/>
          <w:sz w:val="22"/>
          <w:szCs w:val="22"/>
        </w:rPr>
        <w:t xml:space="preserve">, </w:t>
      </w:r>
      <w:r w:rsidRPr="002E185B">
        <w:rPr>
          <w:rFonts w:cs="Palatino"/>
          <w:sz w:val="22"/>
          <w:szCs w:val="22"/>
        </w:rPr>
        <w:t xml:space="preserve">respectively) lower in the lidocaine group ([12%] versus 1 [38.3%] and 3/83 [3.6] versus 0/47). </w:t>
      </w:r>
    </w:p>
    <w:p w14:paraId="639D6313" w14:textId="27EEA9BE" w:rsidR="001E1318" w:rsidRPr="002E185B" w:rsidRDefault="001E1318" w:rsidP="00C274BB">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presence of cardiac arrhythmias did not have an effect on outcome</w:t>
      </w:r>
    </w:p>
    <w:p w14:paraId="30A82EA8" w14:textId="29BA89FF" w:rsidR="008E6CB3" w:rsidRPr="002E185B" w:rsidRDefault="00C274BB" w:rsidP="00C274BB">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Median hospitalization time period was shorter (</w:t>
      </w:r>
      <w:r w:rsidRPr="002E185B">
        <w:rPr>
          <w:rFonts w:cs="Palatino"/>
          <w:i/>
          <w:iCs/>
          <w:sz w:val="22"/>
          <w:szCs w:val="22"/>
        </w:rPr>
        <w:t xml:space="preserve">P </w:t>
      </w:r>
      <w:r w:rsidRPr="002E185B">
        <w:rPr>
          <w:rFonts w:cs="Times"/>
          <w:sz w:val="22"/>
          <w:szCs w:val="22"/>
        </w:rPr>
        <w:t xml:space="preserve">= </w:t>
      </w:r>
      <w:r w:rsidRPr="002E185B">
        <w:rPr>
          <w:rFonts w:cs="Palatino"/>
          <w:sz w:val="22"/>
          <w:szCs w:val="22"/>
        </w:rPr>
        <w:t>0.05) in the lidocaine group compared to the controls (median 48 h; range 24–360 h versus median 72 h;</w:t>
      </w:r>
      <w:r w:rsidR="009B50F9" w:rsidRPr="002E185B">
        <w:rPr>
          <w:rFonts w:cs="Palatino"/>
          <w:sz w:val="22"/>
          <w:szCs w:val="22"/>
        </w:rPr>
        <w:t xml:space="preserve"> range 24–144 h, respectively).</w:t>
      </w:r>
    </w:p>
    <w:p w14:paraId="7D0FD64E" w14:textId="09F2AFB3" w:rsidR="001E1318" w:rsidRPr="002E185B" w:rsidRDefault="001E1318" w:rsidP="00C274BB">
      <w:pPr>
        <w:pStyle w:val="ListParagraph"/>
        <w:widowControl w:val="0"/>
        <w:numPr>
          <w:ilvl w:val="0"/>
          <w:numId w:val="1"/>
        </w:numPr>
        <w:autoSpaceDE w:val="0"/>
        <w:autoSpaceDN w:val="0"/>
        <w:adjustRightInd w:val="0"/>
        <w:spacing w:after="240"/>
        <w:rPr>
          <w:rFonts w:cs="Times"/>
          <w:sz w:val="22"/>
          <w:szCs w:val="22"/>
        </w:rPr>
      </w:pPr>
      <w:r w:rsidRPr="002E185B">
        <w:rPr>
          <w:rFonts w:cs="Times"/>
          <w:sz w:val="22"/>
          <w:szCs w:val="22"/>
        </w:rPr>
        <w:t>Mortality rate tended to be lower in the study group</w:t>
      </w:r>
    </w:p>
    <w:p w14:paraId="57DBCAA1" w14:textId="3093AEC0" w:rsidR="004A620C" w:rsidRPr="002E185B" w:rsidRDefault="004A620C" w:rsidP="00C274BB">
      <w:pPr>
        <w:pStyle w:val="ListParagraph"/>
        <w:widowControl w:val="0"/>
        <w:numPr>
          <w:ilvl w:val="0"/>
          <w:numId w:val="1"/>
        </w:numPr>
        <w:autoSpaceDE w:val="0"/>
        <w:autoSpaceDN w:val="0"/>
        <w:adjustRightInd w:val="0"/>
        <w:spacing w:after="240"/>
        <w:rPr>
          <w:rFonts w:cs="Times"/>
          <w:sz w:val="22"/>
          <w:szCs w:val="22"/>
        </w:rPr>
      </w:pPr>
      <w:r w:rsidRPr="002E185B">
        <w:rPr>
          <w:rFonts w:cs="Times"/>
          <w:sz w:val="22"/>
          <w:szCs w:val="22"/>
        </w:rPr>
        <w:t>The cause for shorter hospital stay</w:t>
      </w:r>
      <w:r w:rsidR="00BE681F" w:rsidRPr="002E185B">
        <w:rPr>
          <w:rFonts w:cs="Times"/>
          <w:sz w:val="22"/>
          <w:szCs w:val="22"/>
        </w:rPr>
        <w:t>, reduced incidence of AKI were</w:t>
      </w:r>
      <w:r w:rsidRPr="002E185B">
        <w:rPr>
          <w:rFonts w:cs="Times"/>
          <w:sz w:val="22"/>
          <w:szCs w:val="22"/>
        </w:rPr>
        <w:t xml:space="preserve"> not determined</w:t>
      </w:r>
    </w:p>
    <w:p w14:paraId="1B013322" w14:textId="078292C9" w:rsidR="00C274BB" w:rsidRPr="002E185B" w:rsidRDefault="00C274BB" w:rsidP="008E6CB3">
      <w:pPr>
        <w:widowControl w:val="0"/>
        <w:autoSpaceDE w:val="0"/>
        <w:autoSpaceDN w:val="0"/>
        <w:adjustRightInd w:val="0"/>
        <w:spacing w:after="240"/>
        <w:rPr>
          <w:rFonts w:cs="Palatino"/>
          <w:sz w:val="22"/>
          <w:szCs w:val="22"/>
        </w:rPr>
      </w:pPr>
      <w:r w:rsidRPr="002E185B">
        <w:rPr>
          <w:rFonts w:cs="Palatino"/>
          <w:b/>
          <w:bCs/>
          <w:sz w:val="22"/>
          <w:szCs w:val="22"/>
        </w:rPr>
        <w:t>C</w:t>
      </w:r>
      <w:r w:rsidR="008E6CB3" w:rsidRPr="002E185B">
        <w:rPr>
          <w:rFonts w:cs="Palatino"/>
          <w:b/>
          <w:bCs/>
          <w:sz w:val="22"/>
          <w:szCs w:val="22"/>
        </w:rPr>
        <w:t>onclusion:</w:t>
      </w:r>
      <w:r w:rsidRPr="002E185B">
        <w:rPr>
          <w:rFonts w:cs="Palatino"/>
          <w:sz w:val="22"/>
          <w:szCs w:val="22"/>
        </w:rPr>
        <w:t xml:space="preserve"> Early treatment with IV lidocaine bolus, followed by CRI of lidocaine for 24 h post presentation decreased the occurrence of cardiac arrhythmias, AKI and hospitalization time pe</w:t>
      </w:r>
      <w:r w:rsidR="004B4189" w:rsidRPr="002E185B">
        <w:rPr>
          <w:rFonts w:cs="Palatino"/>
          <w:sz w:val="22"/>
          <w:szCs w:val="22"/>
        </w:rPr>
        <w:t xml:space="preserve">riod significantly in lidocaine </w:t>
      </w:r>
      <w:r w:rsidRPr="002E185B">
        <w:rPr>
          <w:rFonts w:cs="Palatino"/>
          <w:sz w:val="22"/>
          <w:szCs w:val="22"/>
        </w:rPr>
        <w:t>treated dogs with GDV compared to untreated historical controls. Due to the nonblinded, placebo-uncontrolled, nonrandomized nature of the current study, further evaluation of the efficacy of lidocaine in dogs with GDV is warranted.</w:t>
      </w:r>
    </w:p>
    <w:p w14:paraId="47E2C585" w14:textId="2E22F9F0" w:rsidR="00060263" w:rsidRPr="002E185B" w:rsidRDefault="00060263" w:rsidP="008E6CB3">
      <w:pPr>
        <w:widowControl w:val="0"/>
        <w:autoSpaceDE w:val="0"/>
        <w:autoSpaceDN w:val="0"/>
        <w:adjustRightInd w:val="0"/>
        <w:spacing w:after="240"/>
        <w:rPr>
          <w:rFonts w:cs="Palatino"/>
          <w:b/>
          <w:sz w:val="22"/>
          <w:szCs w:val="22"/>
        </w:rPr>
      </w:pPr>
      <w:r w:rsidRPr="002E185B">
        <w:rPr>
          <w:rFonts w:cs="Palatino"/>
          <w:b/>
          <w:sz w:val="22"/>
          <w:szCs w:val="22"/>
        </w:rPr>
        <w:t xml:space="preserve">Other: </w:t>
      </w:r>
    </w:p>
    <w:p w14:paraId="457251B8" w14:textId="2010BFF6" w:rsidR="00060263" w:rsidRPr="002E185B" w:rsidRDefault="00060263" w:rsidP="00060263">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Because the pathogene</w:t>
      </w:r>
      <w:r w:rsidR="001E1318" w:rsidRPr="002E185B">
        <w:rPr>
          <w:rFonts w:cs="Palatino"/>
          <w:sz w:val="22"/>
          <w:szCs w:val="22"/>
        </w:rPr>
        <w:t xml:space="preserve">sis of GDV involves tissue ischemia, followed by </w:t>
      </w:r>
      <w:r w:rsidRPr="002E185B">
        <w:rPr>
          <w:rFonts w:cs="Palatino"/>
          <w:sz w:val="22"/>
          <w:szCs w:val="22"/>
        </w:rPr>
        <w:t>reperfusion, it has been hypothesized that I</w:t>
      </w:r>
      <w:r w:rsidR="001E1318" w:rsidRPr="002E185B">
        <w:rPr>
          <w:rFonts w:cs="Palatino"/>
          <w:sz w:val="22"/>
          <w:szCs w:val="22"/>
        </w:rPr>
        <w:t xml:space="preserve">RI plays a role in the disease </w:t>
      </w:r>
      <w:r w:rsidRPr="002E185B">
        <w:rPr>
          <w:rFonts w:cs="Palatino"/>
          <w:sz w:val="22"/>
          <w:szCs w:val="22"/>
        </w:rPr>
        <w:t>related complications, leading to increased morbidity and mortality</w:t>
      </w:r>
    </w:p>
    <w:p w14:paraId="19F7CA72" w14:textId="3AA17B70" w:rsidR="004B4189" w:rsidRPr="002E185B" w:rsidRDefault="004B4189" w:rsidP="00060263">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This study wanted to evaluate the use of lidocaine to help reduce IRI</w:t>
      </w:r>
    </w:p>
    <w:p w14:paraId="25761BFA" w14:textId="3B39E74A" w:rsidR="00947795" w:rsidRPr="002E185B" w:rsidRDefault="00060263" w:rsidP="003D502D">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most severe complications of GDV are believed to be related to ischemia-reperfusion injury (IRI), systemic inflammatory response syndrome (SIRS), hypotension, acute kidney injury (AKI), disseminated intravascular coagulation, and cardiac arrhythmias</w:t>
      </w:r>
    </w:p>
    <w:p w14:paraId="5D51AAB3" w14:textId="77777777" w:rsidR="00060263" w:rsidRPr="002E185B" w:rsidRDefault="00060263" w:rsidP="00060263">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lastRenderedPageBreak/>
        <w:t>During ischemia, cells cannot maintain adequate ATP synthesis. This results in ATP degradation to adenosine, which is later metabolized to hypoxanthine, which then accumulates in the cells.</w:t>
      </w:r>
      <w:r w:rsidRPr="002E185B">
        <w:rPr>
          <w:rFonts w:cs="Palatino"/>
          <w:position w:val="8"/>
          <w:sz w:val="22"/>
          <w:szCs w:val="22"/>
        </w:rPr>
        <w:t xml:space="preserve"> </w:t>
      </w:r>
      <w:r w:rsidRPr="002E185B">
        <w:rPr>
          <w:rFonts w:cs="Palatino"/>
          <w:sz w:val="22"/>
          <w:szCs w:val="22"/>
        </w:rPr>
        <w:t>Concurrently, during ischemia, intracellular pH decreases due to anaerobic metabolism and accumulation of lac-ate and hydrogen ions leading to protein dysfunction.</w:t>
      </w:r>
    </w:p>
    <w:p w14:paraId="5066F0D2" w14:textId="77777777" w:rsidR="00060263" w:rsidRPr="002E185B" w:rsidRDefault="00060263" w:rsidP="00060263">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Decreased cellular ATP concentration and acidosis result in functional alterations in cellular ATP-dependent ion pump activity, allowing influx of calcium, sodium, and water into cells leading to their swelling.</w:t>
      </w:r>
    </w:p>
    <w:p w14:paraId="28E61FF8" w14:textId="77777777" w:rsidR="004A620C" w:rsidRPr="002E185B" w:rsidRDefault="00060263" w:rsidP="004A620C">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Increased cytosolic calcium has been shown to cause cellular apoptosis and necrosis</w:t>
      </w:r>
      <w:r w:rsidRPr="002E185B">
        <w:rPr>
          <w:rFonts w:cs="Palatino"/>
          <w:position w:val="8"/>
          <w:sz w:val="22"/>
          <w:szCs w:val="22"/>
        </w:rPr>
        <w:t xml:space="preserve"> </w:t>
      </w:r>
      <w:r w:rsidRPr="002E185B">
        <w:rPr>
          <w:rFonts w:cs="Palatino"/>
          <w:sz w:val="22"/>
          <w:szCs w:val="22"/>
        </w:rPr>
        <w:t xml:space="preserve">and proteases activation, particularly calpain. The latter acts on the enzyme xanthine dehydrogenase altering its activity to that of a xanthine oxidase (XO). When tissue perfusion is restored, oxygen molecules reenter previously ischemic tissues, and serve as substrates for cellular XO, which catalyzes breakdown of the hypoxanthine excess into urea and reactive oxygen species </w:t>
      </w:r>
    </w:p>
    <w:p w14:paraId="273854D1" w14:textId="7530B21B" w:rsidR="004A620C" w:rsidRPr="002E185B" w:rsidRDefault="004A620C" w:rsidP="004B4189">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Previous studies of GDV in dogs have reported that AKI is a common complication (8%).</w:t>
      </w:r>
      <w:r w:rsidRPr="002E185B">
        <w:rPr>
          <w:rFonts w:cs="Palatino"/>
          <w:position w:val="8"/>
          <w:sz w:val="22"/>
          <w:szCs w:val="22"/>
        </w:rPr>
        <w:t xml:space="preserve"> </w:t>
      </w:r>
      <w:r w:rsidRPr="002E185B">
        <w:rPr>
          <w:rFonts w:cs="Palatino"/>
          <w:sz w:val="22"/>
          <w:szCs w:val="22"/>
        </w:rPr>
        <w:t xml:space="preserve">This potentially results from one or </w:t>
      </w:r>
      <w:r w:rsidR="00D46847" w:rsidRPr="002E185B">
        <w:rPr>
          <w:rFonts w:cs="Palatino"/>
          <w:sz w:val="22"/>
          <w:szCs w:val="22"/>
        </w:rPr>
        <w:t>several factors, including sus</w:t>
      </w:r>
      <w:r w:rsidRPr="002E185B">
        <w:rPr>
          <w:rFonts w:cs="Palatino"/>
          <w:sz w:val="22"/>
          <w:szCs w:val="22"/>
        </w:rPr>
        <w:t>tained poor perfusion</w:t>
      </w:r>
      <w:r w:rsidR="00D46847" w:rsidRPr="002E185B">
        <w:rPr>
          <w:rFonts w:cs="Palatino"/>
          <w:sz w:val="22"/>
          <w:szCs w:val="22"/>
        </w:rPr>
        <w:t>, exposure to endotoxin, throm</w:t>
      </w:r>
      <w:r w:rsidRPr="002E185B">
        <w:rPr>
          <w:rFonts w:cs="Palatino"/>
          <w:sz w:val="22"/>
          <w:szCs w:val="22"/>
        </w:rPr>
        <w:t>boembolism, and IRI. Potential beneficial and preventive effects of lidocaine through its vasodilatory and vascular protective properties.</w:t>
      </w:r>
    </w:p>
    <w:p w14:paraId="11ED8C2F" w14:textId="77777777" w:rsidR="001E1318" w:rsidRPr="002E185B" w:rsidRDefault="001E1318" w:rsidP="001E1318">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Lidocaine is a potent local anesthetic and class Ib antiarrhythmic, acting on fast sodium channels during the inactive phase, inhibiting their depolarization.</w:t>
      </w:r>
    </w:p>
    <w:p w14:paraId="5A5C7B9C" w14:textId="77777777" w:rsidR="001E1318" w:rsidRPr="002E185B" w:rsidRDefault="001E1318" w:rsidP="001E1318">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 Lidocaine is a potent potassium-ATP- sensitive channel blocker.</w:t>
      </w:r>
    </w:p>
    <w:p w14:paraId="67662136" w14:textId="2311CDC5" w:rsidR="001E1318" w:rsidRPr="002E185B" w:rsidRDefault="001E1318" w:rsidP="001E1318">
      <w:pPr>
        <w:pStyle w:val="ListParagraph"/>
        <w:widowControl w:val="0"/>
        <w:numPr>
          <w:ilvl w:val="0"/>
          <w:numId w:val="1"/>
        </w:numPr>
        <w:autoSpaceDE w:val="0"/>
        <w:autoSpaceDN w:val="0"/>
        <w:adjustRightInd w:val="0"/>
        <w:spacing w:after="240"/>
        <w:rPr>
          <w:rFonts w:cs="Times"/>
          <w:sz w:val="22"/>
          <w:szCs w:val="22"/>
        </w:rPr>
      </w:pPr>
      <w:r w:rsidRPr="002E185B">
        <w:rPr>
          <w:rFonts w:cs="Palatino"/>
          <w:position w:val="8"/>
          <w:sz w:val="22"/>
          <w:szCs w:val="22"/>
        </w:rPr>
        <w:t xml:space="preserve"> </w:t>
      </w:r>
      <w:r w:rsidRPr="002E185B">
        <w:rPr>
          <w:rFonts w:cs="Palatino"/>
          <w:sz w:val="22"/>
          <w:szCs w:val="22"/>
        </w:rPr>
        <w:t>Lidocaine has been shown to be effective in decreasing the severity of IRI and SIRS in human medicine and in laboratory animals.</w:t>
      </w:r>
    </w:p>
    <w:p w14:paraId="153206C1" w14:textId="4A4D489B" w:rsidR="00060263" w:rsidRPr="002E185B" w:rsidRDefault="004B4189" w:rsidP="004B4189">
      <w:pPr>
        <w:widowControl w:val="0"/>
        <w:autoSpaceDE w:val="0"/>
        <w:autoSpaceDN w:val="0"/>
        <w:adjustRightInd w:val="0"/>
        <w:spacing w:after="240"/>
        <w:rPr>
          <w:rFonts w:cs="Times"/>
          <w:b/>
          <w:sz w:val="22"/>
          <w:szCs w:val="22"/>
        </w:rPr>
      </w:pPr>
      <w:r w:rsidRPr="002E185B">
        <w:rPr>
          <w:rFonts w:cs="Times"/>
          <w:b/>
          <w:sz w:val="22"/>
          <w:szCs w:val="22"/>
        </w:rPr>
        <w:t>Questions:</w:t>
      </w:r>
    </w:p>
    <w:p w14:paraId="449832A8" w14:textId="3BF4A09C" w:rsidR="008075DF" w:rsidRPr="002E185B" w:rsidRDefault="008075DF" w:rsidP="004B4189">
      <w:pPr>
        <w:pStyle w:val="ListParagraph"/>
        <w:widowControl w:val="0"/>
        <w:numPr>
          <w:ilvl w:val="0"/>
          <w:numId w:val="10"/>
        </w:numPr>
        <w:autoSpaceDE w:val="0"/>
        <w:autoSpaceDN w:val="0"/>
        <w:adjustRightInd w:val="0"/>
        <w:spacing w:after="240"/>
        <w:rPr>
          <w:rFonts w:cs="Times"/>
          <w:sz w:val="22"/>
          <w:szCs w:val="22"/>
        </w:rPr>
      </w:pPr>
      <w:r w:rsidRPr="002E185B">
        <w:rPr>
          <w:rFonts w:cs="Times"/>
          <w:sz w:val="22"/>
          <w:szCs w:val="22"/>
        </w:rPr>
        <w:t>Is IRI thought to be a component in the pathophysiology of canine GDV?</w:t>
      </w:r>
    </w:p>
    <w:p w14:paraId="4E025395" w14:textId="1DDC24BC" w:rsidR="004B4189" w:rsidRPr="002E185B" w:rsidRDefault="004B4189" w:rsidP="004B4189">
      <w:pPr>
        <w:pStyle w:val="ListParagraph"/>
        <w:widowControl w:val="0"/>
        <w:numPr>
          <w:ilvl w:val="0"/>
          <w:numId w:val="10"/>
        </w:numPr>
        <w:autoSpaceDE w:val="0"/>
        <w:autoSpaceDN w:val="0"/>
        <w:adjustRightInd w:val="0"/>
        <w:spacing w:after="240"/>
        <w:rPr>
          <w:rFonts w:cs="Times"/>
          <w:sz w:val="22"/>
          <w:szCs w:val="22"/>
        </w:rPr>
      </w:pPr>
      <w:r w:rsidRPr="002E185B">
        <w:rPr>
          <w:rFonts w:cs="Times"/>
          <w:sz w:val="22"/>
          <w:szCs w:val="22"/>
        </w:rPr>
        <w:t xml:space="preserve">In this study, did licocaine treatment appear to have an effect on duration of hospitalization? </w:t>
      </w:r>
    </w:p>
    <w:p w14:paraId="11E7351C" w14:textId="474DB134" w:rsidR="004B4189" w:rsidRPr="002E185B" w:rsidRDefault="004B4189" w:rsidP="004B4189">
      <w:pPr>
        <w:pStyle w:val="ListParagraph"/>
        <w:widowControl w:val="0"/>
        <w:numPr>
          <w:ilvl w:val="0"/>
          <w:numId w:val="10"/>
        </w:numPr>
        <w:autoSpaceDE w:val="0"/>
        <w:autoSpaceDN w:val="0"/>
        <w:adjustRightInd w:val="0"/>
        <w:spacing w:after="240"/>
        <w:rPr>
          <w:rFonts w:cs="Times"/>
          <w:sz w:val="22"/>
          <w:szCs w:val="22"/>
        </w:rPr>
      </w:pPr>
      <w:r w:rsidRPr="002E185B">
        <w:rPr>
          <w:rFonts w:cs="Times"/>
          <w:sz w:val="22"/>
          <w:szCs w:val="22"/>
        </w:rPr>
        <w:t xml:space="preserve">What other organ complication appeared to be decreased in the lidocaine treated group? </w:t>
      </w:r>
    </w:p>
    <w:p w14:paraId="4AFB9634" w14:textId="55DBE428" w:rsidR="004B4189" w:rsidRPr="002E185B" w:rsidRDefault="004B4189" w:rsidP="004B4189">
      <w:pPr>
        <w:pStyle w:val="ListParagraph"/>
        <w:widowControl w:val="0"/>
        <w:numPr>
          <w:ilvl w:val="0"/>
          <w:numId w:val="10"/>
        </w:numPr>
        <w:autoSpaceDE w:val="0"/>
        <w:autoSpaceDN w:val="0"/>
        <w:adjustRightInd w:val="0"/>
        <w:spacing w:after="240"/>
        <w:rPr>
          <w:rFonts w:cs="Times"/>
          <w:sz w:val="22"/>
          <w:szCs w:val="22"/>
        </w:rPr>
      </w:pPr>
      <w:r w:rsidRPr="002E185B">
        <w:rPr>
          <w:rFonts w:cs="Times"/>
          <w:sz w:val="22"/>
          <w:szCs w:val="22"/>
        </w:rPr>
        <w:t xml:space="preserve">What type of anti-arrhythmic is lidocaine? </w:t>
      </w:r>
    </w:p>
    <w:p w14:paraId="0A93FDB9" w14:textId="32C26501" w:rsidR="004B4189" w:rsidRPr="002E185B" w:rsidRDefault="004B4189" w:rsidP="004B4189">
      <w:pPr>
        <w:pStyle w:val="ListParagraph"/>
        <w:widowControl w:val="0"/>
        <w:numPr>
          <w:ilvl w:val="0"/>
          <w:numId w:val="10"/>
        </w:numPr>
        <w:autoSpaceDE w:val="0"/>
        <w:autoSpaceDN w:val="0"/>
        <w:adjustRightInd w:val="0"/>
        <w:spacing w:after="240"/>
        <w:rPr>
          <w:rFonts w:cs="Times"/>
          <w:sz w:val="22"/>
          <w:szCs w:val="22"/>
        </w:rPr>
      </w:pPr>
      <w:r w:rsidRPr="002E185B">
        <w:rPr>
          <w:rFonts w:cs="Times"/>
          <w:sz w:val="22"/>
          <w:szCs w:val="22"/>
        </w:rPr>
        <w:t>Did the presence of arrhythmias appear to have an effect on outcome</w:t>
      </w:r>
      <w:r w:rsidR="008075DF" w:rsidRPr="002E185B">
        <w:rPr>
          <w:rFonts w:cs="Times"/>
          <w:sz w:val="22"/>
          <w:szCs w:val="22"/>
        </w:rPr>
        <w:t xml:space="preserve"> in this study</w:t>
      </w:r>
      <w:r w:rsidRPr="002E185B">
        <w:rPr>
          <w:rFonts w:cs="Times"/>
          <w:sz w:val="22"/>
          <w:szCs w:val="22"/>
        </w:rPr>
        <w:t>?</w:t>
      </w:r>
    </w:p>
    <w:p w14:paraId="0854E084" w14:textId="77777777" w:rsidR="003D502D" w:rsidRPr="002E185B" w:rsidRDefault="003D502D" w:rsidP="00016B1C">
      <w:pPr>
        <w:widowControl w:val="0"/>
        <w:autoSpaceDE w:val="0"/>
        <w:autoSpaceDN w:val="0"/>
        <w:adjustRightInd w:val="0"/>
        <w:spacing w:after="240"/>
        <w:rPr>
          <w:rFonts w:cs="Times"/>
          <w:sz w:val="22"/>
          <w:szCs w:val="22"/>
        </w:rPr>
      </w:pPr>
    </w:p>
    <w:p w14:paraId="75B88B2E" w14:textId="77777777" w:rsidR="00633D40" w:rsidRPr="002E185B" w:rsidRDefault="00633D40" w:rsidP="006D49C0">
      <w:pPr>
        <w:widowControl w:val="0"/>
        <w:autoSpaceDE w:val="0"/>
        <w:autoSpaceDN w:val="0"/>
        <w:adjustRightInd w:val="0"/>
        <w:spacing w:after="240"/>
        <w:rPr>
          <w:rFonts w:cs="Helvetica"/>
          <w:b/>
          <w:bCs/>
          <w:sz w:val="22"/>
          <w:szCs w:val="22"/>
          <w:u w:val="single"/>
        </w:rPr>
      </w:pPr>
    </w:p>
    <w:p w14:paraId="43C064AA" w14:textId="77777777" w:rsidR="00633D40" w:rsidRPr="002E185B" w:rsidRDefault="00633D40" w:rsidP="006D49C0">
      <w:pPr>
        <w:widowControl w:val="0"/>
        <w:autoSpaceDE w:val="0"/>
        <w:autoSpaceDN w:val="0"/>
        <w:adjustRightInd w:val="0"/>
        <w:spacing w:after="240"/>
        <w:rPr>
          <w:rFonts w:cs="Helvetica"/>
          <w:b/>
          <w:bCs/>
          <w:sz w:val="22"/>
          <w:szCs w:val="22"/>
          <w:u w:val="single"/>
        </w:rPr>
      </w:pPr>
    </w:p>
    <w:p w14:paraId="46E29876" w14:textId="77777777" w:rsidR="00633D40" w:rsidRPr="002E185B" w:rsidRDefault="00633D40" w:rsidP="006D49C0">
      <w:pPr>
        <w:widowControl w:val="0"/>
        <w:autoSpaceDE w:val="0"/>
        <w:autoSpaceDN w:val="0"/>
        <w:adjustRightInd w:val="0"/>
        <w:spacing w:after="240"/>
        <w:rPr>
          <w:rFonts w:cs="Helvetica"/>
          <w:b/>
          <w:bCs/>
          <w:sz w:val="22"/>
          <w:szCs w:val="22"/>
          <w:u w:val="single"/>
        </w:rPr>
      </w:pPr>
    </w:p>
    <w:p w14:paraId="7DFFC460" w14:textId="77777777" w:rsidR="00633D40" w:rsidRPr="002E185B" w:rsidRDefault="00633D40" w:rsidP="006D49C0">
      <w:pPr>
        <w:widowControl w:val="0"/>
        <w:autoSpaceDE w:val="0"/>
        <w:autoSpaceDN w:val="0"/>
        <w:adjustRightInd w:val="0"/>
        <w:spacing w:after="240"/>
        <w:rPr>
          <w:rFonts w:cs="Helvetica"/>
          <w:b/>
          <w:bCs/>
          <w:sz w:val="22"/>
          <w:szCs w:val="22"/>
          <w:u w:val="single"/>
        </w:rPr>
      </w:pPr>
    </w:p>
    <w:p w14:paraId="581D8B16" w14:textId="77777777" w:rsidR="00633D40" w:rsidRPr="002E185B" w:rsidRDefault="00633D40" w:rsidP="006D49C0">
      <w:pPr>
        <w:widowControl w:val="0"/>
        <w:autoSpaceDE w:val="0"/>
        <w:autoSpaceDN w:val="0"/>
        <w:adjustRightInd w:val="0"/>
        <w:spacing w:after="240"/>
        <w:rPr>
          <w:rFonts w:cs="Helvetica"/>
          <w:b/>
          <w:bCs/>
          <w:sz w:val="22"/>
          <w:szCs w:val="22"/>
          <w:u w:val="single"/>
        </w:rPr>
      </w:pPr>
    </w:p>
    <w:p w14:paraId="006DC0B5" w14:textId="77777777" w:rsidR="00633D40" w:rsidRPr="002E185B" w:rsidRDefault="00633D40" w:rsidP="006D49C0">
      <w:pPr>
        <w:widowControl w:val="0"/>
        <w:autoSpaceDE w:val="0"/>
        <w:autoSpaceDN w:val="0"/>
        <w:adjustRightInd w:val="0"/>
        <w:spacing w:after="240"/>
        <w:rPr>
          <w:rFonts w:cs="Helvetica"/>
          <w:b/>
          <w:bCs/>
          <w:sz w:val="22"/>
          <w:szCs w:val="22"/>
          <w:u w:val="single"/>
        </w:rPr>
      </w:pPr>
    </w:p>
    <w:p w14:paraId="0D86A0F2" w14:textId="77777777" w:rsidR="00633D40" w:rsidRPr="002E185B" w:rsidRDefault="00633D40" w:rsidP="006D49C0">
      <w:pPr>
        <w:widowControl w:val="0"/>
        <w:autoSpaceDE w:val="0"/>
        <w:autoSpaceDN w:val="0"/>
        <w:adjustRightInd w:val="0"/>
        <w:spacing w:after="240"/>
        <w:rPr>
          <w:rFonts w:cs="Helvetica"/>
          <w:b/>
          <w:bCs/>
          <w:sz w:val="22"/>
          <w:szCs w:val="22"/>
          <w:u w:val="single"/>
        </w:rPr>
      </w:pPr>
    </w:p>
    <w:p w14:paraId="00D91872" w14:textId="77777777" w:rsidR="00633D40" w:rsidRPr="002E185B" w:rsidRDefault="00633D40" w:rsidP="006D49C0">
      <w:pPr>
        <w:widowControl w:val="0"/>
        <w:autoSpaceDE w:val="0"/>
        <w:autoSpaceDN w:val="0"/>
        <w:adjustRightInd w:val="0"/>
        <w:spacing w:after="240"/>
        <w:rPr>
          <w:rFonts w:cs="Helvetica"/>
          <w:b/>
          <w:bCs/>
          <w:sz w:val="22"/>
          <w:szCs w:val="22"/>
          <w:u w:val="single"/>
        </w:rPr>
      </w:pPr>
    </w:p>
    <w:p w14:paraId="2ED0FD6F" w14:textId="77777777" w:rsidR="006D49C0" w:rsidRPr="002E185B" w:rsidRDefault="006D49C0" w:rsidP="006D49C0">
      <w:pPr>
        <w:widowControl w:val="0"/>
        <w:autoSpaceDE w:val="0"/>
        <w:autoSpaceDN w:val="0"/>
        <w:adjustRightInd w:val="0"/>
        <w:spacing w:after="240"/>
        <w:rPr>
          <w:rFonts w:cs="Times"/>
          <w:b/>
          <w:sz w:val="22"/>
          <w:szCs w:val="22"/>
          <w:u w:val="single"/>
        </w:rPr>
      </w:pPr>
      <w:r w:rsidRPr="002E185B">
        <w:rPr>
          <w:rFonts w:cs="Helvetica"/>
          <w:b/>
          <w:bCs/>
          <w:sz w:val="22"/>
          <w:szCs w:val="22"/>
          <w:u w:val="single"/>
        </w:rPr>
        <w:t>Changes in tissue perfusion parameters in dogs with severe sepsis/septic shock in response to goal-directed hemodynamic optimization at admission to ICU and the relation to outcome</w:t>
      </w:r>
    </w:p>
    <w:p w14:paraId="5CCF2B90" w14:textId="77777777" w:rsidR="006D49C0" w:rsidRPr="002E185B" w:rsidRDefault="006D49C0" w:rsidP="006D49C0">
      <w:pPr>
        <w:widowControl w:val="0"/>
        <w:autoSpaceDE w:val="0"/>
        <w:autoSpaceDN w:val="0"/>
        <w:adjustRightInd w:val="0"/>
        <w:spacing w:after="240"/>
        <w:rPr>
          <w:rFonts w:cs="Palatino"/>
          <w:b/>
          <w:sz w:val="22"/>
          <w:szCs w:val="22"/>
        </w:rPr>
      </w:pPr>
      <w:r w:rsidRPr="002E185B">
        <w:rPr>
          <w:rFonts w:cs="Palatino"/>
          <w:b/>
          <w:sz w:val="22"/>
          <w:szCs w:val="22"/>
        </w:rPr>
        <w:t>Authors:</w:t>
      </w:r>
    </w:p>
    <w:p w14:paraId="22975A27" w14:textId="12C72D86" w:rsidR="006D49C0" w:rsidRPr="002E185B" w:rsidRDefault="006D49C0" w:rsidP="006D49C0">
      <w:pPr>
        <w:widowControl w:val="0"/>
        <w:autoSpaceDE w:val="0"/>
        <w:autoSpaceDN w:val="0"/>
        <w:adjustRightInd w:val="0"/>
        <w:spacing w:after="240"/>
        <w:rPr>
          <w:rFonts w:cs="Palatino"/>
          <w:sz w:val="22"/>
          <w:szCs w:val="22"/>
        </w:rPr>
      </w:pPr>
      <w:r w:rsidRPr="002E185B">
        <w:rPr>
          <w:rFonts w:cs="Palatino"/>
          <w:sz w:val="22"/>
          <w:szCs w:val="22"/>
        </w:rPr>
        <w:t>AndrezaConti-Patara,DVM,MSc,PhD;JulianadeArau ́joCaldeira,DVM;EwaldodeMattos-Junior, DVM, MS; Haley da Silva de Carvalho, DVM, MSc; Adriane Reinoldes, DVM; Bruno Gregnanin Pedron, DVM; Marcelo Patara, MD; Mariana Semia ̃o Francisco Talib, DVM; Marcelo Faustino, DVM; Clair Motos de Oliveira, DVM, MSc, PhD and Silvia Renata Gaido Cortopassi, DVM, MSc, PhD</w:t>
      </w:r>
    </w:p>
    <w:p w14:paraId="24C81CAD" w14:textId="77777777" w:rsidR="00421AEE" w:rsidRPr="002E185B" w:rsidRDefault="00421AEE" w:rsidP="00421AEE">
      <w:pPr>
        <w:widowControl w:val="0"/>
        <w:autoSpaceDE w:val="0"/>
        <w:autoSpaceDN w:val="0"/>
        <w:adjustRightInd w:val="0"/>
        <w:spacing w:after="240"/>
        <w:rPr>
          <w:rFonts w:cs="Palatino"/>
          <w:sz w:val="22"/>
          <w:szCs w:val="22"/>
        </w:rPr>
      </w:pPr>
      <w:r w:rsidRPr="002E185B">
        <w:rPr>
          <w:rFonts w:cs="Palatino"/>
          <w:b/>
          <w:bCs/>
          <w:sz w:val="22"/>
          <w:szCs w:val="22"/>
        </w:rPr>
        <w:t xml:space="preserve">Objective: </w:t>
      </w:r>
      <w:r w:rsidRPr="002E185B">
        <w:rPr>
          <w:rFonts w:cs="Palatino"/>
          <w:bCs/>
          <w:sz w:val="22"/>
          <w:szCs w:val="22"/>
        </w:rPr>
        <w:t>T</w:t>
      </w:r>
      <w:r w:rsidRPr="002E185B">
        <w:rPr>
          <w:rFonts w:cs="Palatino"/>
          <w:sz w:val="22"/>
          <w:szCs w:val="22"/>
        </w:rPr>
        <w:t>o evaluate the changes in tissue perfusion parameters in dogs with severe sepsis/septic shock in response to goal-directed hemodynamic optimization in the ICU and their relation to outcome.</w:t>
      </w:r>
    </w:p>
    <w:p w14:paraId="4A9BA261" w14:textId="7C77B4A8" w:rsidR="00725C90" w:rsidRPr="002E185B" w:rsidRDefault="00725C90" w:rsidP="00421AEE">
      <w:pPr>
        <w:widowControl w:val="0"/>
        <w:autoSpaceDE w:val="0"/>
        <w:autoSpaceDN w:val="0"/>
        <w:adjustRightInd w:val="0"/>
        <w:spacing w:after="240"/>
        <w:rPr>
          <w:rFonts w:cs="Times"/>
          <w:sz w:val="22"/>
          <w:szCs w:val="22"/>
        </w:rPr>
      </w:pPr>
      <w:r w:rsidRPr="002E185B">
        <w:rPr>
          <w:rFonts w:cs="Palatino"/>
          <w:sz w:val="22"/>
          <w:szCs w:val="22"/>
        </w:rPr>
        <w:t>Thus, the first aim of this study was to evaluate the changes in ScvO</w:t>
      </w:r>
      <w:r w:rsidRPr="002E185B">
        <w:rPr>
          <w:rFonts w:cs="Palatino"/>
          <w:position w:val="-2"/>
          <w:sz w:val="22"/>
          <w:szCs w:val="22"/>
        </w:rPr>
        <w:t xml:space="preserve">2 </w:t>
      </w:r>
      <w:r w:rsidRPr="002E185B">
        <w:rPr>
          <w:rFonts w:cs="Palatino"/>
          <w:sz w:val="22"/>
          <w:szCs w:val="22"/>
        </w:rPr>
        <w:t>, lactate, and base deficit levels in canine patients with severe sepsis/septic shock in response to goal-directed hemodynamic optimization at admission to the ICU. The second goal was to correlate values obtained at ICU admission to mortality and to determine cut-off values and their sensitivity and specificity for predicting death.</w:t>
      </w:r>
    </w:p>
    <w:p w14:paraId="610BFD85" w14:textId="5F277FDE" w:rsidR="00421AEE" w:rsidRPr="002E185B" w:rsidRDefault="00421AEE" w:rsidP="00421AEE">
      <w:pPr>
        <w:widowControl w:val="0"/>
        <w:autoSpaceDE w:val="0"/>
        <w:autoSpaceDN w:val="0"/>
        <w:adjustRightInd w:val="0"/>
        <w:spacing w:after="240"/>
        <w:rPr>
          <w:rFonts w:cs="Times"/>
          <w:sz w:val="22"/>
          <w:szCs w:val="22"/>
        </w:rPr>
      </w:pPr>
      <w:r w:rsidRPr="002E185B">
        <w:rPr>
          <w:rFonts w:cs="Palatino"/>
          <w:sz w:val="22"/>
          <w:szCs w:val="22"/>
        </w:rPr>
        <w:t> </w:t>
      </w:r>
      <w:r w:rsidRPr="002E185B">
        <w:rPr>
          <w:rFonts w:cs="Palatino"/>
          <w:b/>
          <w:bCs/>
          <w:sz w:val="22"/>
          <w:szCs w:val="22"/>
        </w:rPr>
        <w:t xml:space="preserve">Design: </w:t>
      </w:r>
      <w:r w:rsidRPr="002E185B">
        <w:rPr>
          <w:rFonts w:cs="Palatino"/>
          <w:sz w:val="22"/>
          <w:szCs w:val="22"/>
        </w:rPr>
        <w:t>P</w:t>
      </w:r>
      <w:r w:rsidR="00F35DAC" w:rsidRPr="002E185B">
        <w:rPr>
          <w:rFonts w:cs="Palatino"/>
          <w:sz w:val="22"/>
          <w:szCs w:val="22"/>
        </w:rPr>
        <w:t>rospective observational study.</w:t>
      </w:r>
    </w:p>
    <w:p w14:paraId="2D31F8D6" w14:textId="748739A8" w:rsidR="00421AEE" w:rsidRPr="002E185B" w:rsidRDefault="00421AEE" w:rsidP="00421AEE">
      <w:pPr>
        <w:widowControl w:val="0"/>
        <w:autoSpaceDE w:val="0"/>
        <w:autoSpaceDN w:val="0"/>
        <w:adjustRightInd w:val="0"/>
        <w:spacing w:after="240"/>
        <w:rPr>
          <w:rFonts w:cs="Palatino"/>
          <w:sz w:val="22"/>
          <w:szCs w:val="22"/>
        </w:rPr>
      </w:pPr>
      <w:r w:rsidRPr="002E185B">
        <w:rPr>
          <w:rFonts w:cs="Palatino"/>
          <w:b/>
          <w:bCs/>
          <w:sz w:val="22"/>
          <w:szCs w:val="22"/>
        </w:rPr>
        <w:t xml:space="preserve">Animals: </w:t>
      </w:r>
      <w:r w:rsidRPr="002E185B">
        <w:rPr>
          <w:rFonts w:cs="Palatino"/>
          <w:sz w:val="22"/>
          <w:szCs w:val="22"/>
        </w:rPr>
        <w:t>Thirty dogs with severe sepsis or septic shock caused by pyometra who underwent surger</w:t>
      </w:r>
      <w:r w:rsidR="00F35DAC" w:rsidRPr="002E185B">
        <w:rPr>
          <w:rFonts w:cs="Palatino"/>
          <w:sz w:val="22"/>
          <w:szCs w:val="22"/>
        </w:rPr>
        <w:t>y and were admitted to the ICU.</w:t>
      </w:r>
    </w:p>
    <w:p w14:paraId="17348F9A" w14:textId="380E8108" w:rsidR="00421AEE" w:rsidRPr="002E185B" w:rsidRDefault="00421AEE" w:rsidP="00421AEE">
      <w:pPr>
        <w:widowControl w:val="0"/>
        <w:autoSpaceDE w:val="0"/>
        <w:autoSpaceDN w:val="0"/>
        <w:adjustRightInd w:val="0"/>
        <w:spacing w:after="240"/>
        <w:rPr>
          <w:rFonts w:cs="Palatino"/>
          <w:b/>
          <w:bCs/>
          <w:sz w:val="22"/>
          <w:szCs w:val="22"/>
        </w:rPr>
      </w:pPr>
      <w:r w:rsidRPr="002E185B">
        <w:rPr>
          <w:rFonts w:cs="Palatino"/>
          <w:b/>
          <w:bCs/>
          <w:sz w:val="22"/>
          <w:szCs w:val="22"/>
        </w:rPr>
        <w:t xml:space="preserve">Measurements/Results: </w:t>
      </w:r>
    </w:p>
    <w:p w14:paraId="16AB53EB" w14:textId="51979B69" w:rsidR="00421AEE" w:rsidRPr="002E185B" w:rsidRDefault="00421AEE" w:rsidP="00421AEE">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 xml:space="preserve">Severe sepsis was defined as the presence of sepsis and sepsis-induced dysfunction of one or more organs. </w:t>
      </w:r>
    </w:p>
    <w:p w14:paraId="30F2FEE5" w14:textId="5582FC5E" w:rsidR="00BA550E" w:rsidRPr="002E185B" w:rsidRDefault="00BA550E" w:rsidP="00BA550E">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Variables associated with organ dysfunction included arterial hypotension, PaO</w:t>
      </w:r>
      <w:r w:rsidRPr="002E185B">
        <w:rPr>
          <w:rFonts w:cs="Palatino"/>
          <w:position w:val="-2"/>
          <w:sz w:val="22"/>
          <w:szCs w:val="22"/>
        </w:rPr>
        <w:t>2</w:t>
      </w:r>
      <w:r w:rsidRPr="002E185B">
        <w:rPr>
          <w:rFonts w:cs="Palatino"/>
          <w:sz w:val="22"/>
          <w:szCs w:val="22"/>
        </w:rPr>
        <w:t>/FIO</w:t>
      </w:r>
      <w:r w:rsidRPr="002E185B">
        <w:rPr>
          <w:rFonts w:cs="Palatino"/>
          <w:position w:val="-2"/>
          <w:sz w:val="22"/>
          <w:szCs w:val="22"/>
        </w:rPr>
        <w:t xml:space="preserve">2 </w:t>
      </w:r>
      <w:r w:rsidRPr="002E185B">
        <w:rPr>
          <w:rFonts w:cs="Times"/>
          <w:sz w:val="22"/>
          <w:szCs w:val="22"/>
        </w:rPr>
        <w:t xml:space="preserve">&lt; </w:t>
      </w:r>
      <w:r w:rsidRPr="002E185B">
        <w:rPr>
          <w:rFonts w:cs="Palatino"/>
          <w:sz w:val="22"/>
          <w:szCs w:val="22"/>
        </w:rPr>
        <w:t xml:space="preserve">300, acute oliguria, increased serum creatinine concentration, thrombocytopenia, hyperbilirubinmia, and plasma lactate concentrations </w:t>
      </w:r>
      <w:r w:rsidRPr="002E185B">
        <w:rPr>
          <w:rFonts w:cs="Times"/>
          <w:sz w:val="22"/>
          <w:szCs w:val="22"/>
        </w:rPr>
        <w:t xml:space="preserve">&gt; </w:t>
      </w:r>
      <w:r w:rsidRPr="002E185B">
        <w:rPr>
          <w:rFonts w:cs="Palatino"/>
          <w:sz w:val="22"/>
          <w:szCs w:val="22"/>
        </w:rPr>
        <w:t>2.5 mmol/L</w:t>
      </w:r>
    </w:p>
    <w:p w14:paraId="777E4EE0" w14:textId="77777777" w:rsidR="00421AEE" w:rsidRPr="002E185B" w:rsidRDefault="00421AEE" w:rsidP="00421AEE">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Septic shock was defined as the presence of severe sepsis plus hypotension not reversed with fluid resuscitation. </w:t>
      </w:r>
    </w:p>
    <w:p w14:paraId="4BE47E90" w14:textId="77777777" w:rsidR="009A344A" w:rsidRPr="002E185B" w:rsidRDefault="00421AEE" w:rsidP="00421AEE">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After surgery, the animals were admitted to the ICU, where resuscitation was guided by the clinical parameters, central venous oxygen saturation (ScvO</w:t>
      </w:r>
      <w:r w:rsidRPr="002E185B">
        <w:rPr>
          <w:rFonts w:cs="Palatino"/>
          <w:position w:val="-2"/>
          <w:sz w:val="22"/>
          <w:szCs w:val="22"/>
        </w:rPr>
        <w:t>2</w:t>
      </w:r>
      <w:r w:rsidRPr="002E185B">
        <w:rPr>
          <w:rFonts w:cs="Palatino"/>
          <w:sz w:val="22"/>
          <w:szCs w:val="22"/>
        </w:rPr>
        <w:t xml:space="preserve">), lactate, and base deficit. </w:t>
      </w:r>
    </w:p>
    <w:p w14:paraId="5CA04A7A" w14:textId="77777777" w:rsidR="009A344A" w:rsidRPr="002E185B" w:rsidRDefault="00421AEE" w:rsidP="00421AEE">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Between survivors and nonsurvivors it was observed that the ScvO</w:t>
      </w:r>
      <w:r w:rsidRPr="002E185B">
        <w:rPr>
          <w:rFonts w:cs="Palatino"/>
          <w:position w:val="-2"/>
          <w:sz w:val="22"/>
          <w:szCs w:val="22"/>
        </w:rPr>
        <w:t>2</w:t>
      </w:r>
      <w:r w:rsidRPr="002E185B">
        <w:rPr>
          <w:rFonts w:cs="Palatino"/>
          <w:sz w:val="22"/>
          <w:szCs w:val="22"/>
        </w:rPr>
        <w:t>, lactate, and base deficit on ICU admission were each related independently to death (</w:t>
      </w:r>
      <w:r w:rsidRPr="002E185B">
        <w:rPr>
          <w:rFonts w:cs="Palatino"/>
          <w:i/>
          <w:iCs/>
          <w:sz w:val="22"/>
          <w:szCs w:val="22"/>
        </w:rPr>
        <w:t xml:space="preserve">P </w:t>
      </w:r>
      <w:r w:rsidRPr="002E185B">
        <w:rPr>
          <w:rFonts w:cs="Times"/>
          <w:sz w:val="22"/>
          <w:szCs w:val="22"/>
        </w:rPr>
        <w:t xml:space="preserve">= </w:t>
      </w:r>
      <w:r w:rsidRPr="002E185B">
        <w:rPr>
          <w:rFonts w:cs="Palatino"/>
          <w:sz w:val="22"/>
          <w:szCs w:val="22"/>
        </w:rPr>
        <w:t xml:space="preserve">0.001, </w:t>
      </w:r>
      <w:r w:rsidRPr="002E185B">
        <w:rPr>
          <w:rFonts w:cs="Palatino"/>
          <w:i/>
          <w:iCs/>
          <w:sz w:val="22"/>
          <w:szCs w:val="22"/>
        </w:rPr>
        <w:t xml:space="preserve">P </w:t>
      </w:r>
      <w:r w:rsidRPr="002E185B">
        <w:rPr>
          <w:rFonts w:cs="Times"/>
          <w:sz w:val="22"/>
          <w:szCs w:val="22"/>
        </w:rPr>
        <w:t xml:space="preserve">= </w:t>
      </w:r>
      <w:r w:rsidRPr="002E185B">
        <w:rPr>
          <w:rFonts w:cs="Palatino"/>
          <w:sz w:val="22"/>
          <w:szCs w:val="22"/>
        </w:rPr>
        <w:t xml:space="preserve">0.030, and </w:t>
      </w:r>
      <w:r w:rsidRPr="002E185B">
        <w:rPr>
          <w:rFonts w:cs="Palatino"/>
          <w:i/>
          <w:iCs/>
          <w:sz w:val="22"/>
          <w:szCs w:val="22"/>
        </w:rPr>
        <w:t xml:space="preserve">P </w:t>
      </w:r>
      <w:r w:rsidRPr="002E185B">
        <w:rPr>
          <w:rFonts w:cs="Times"/>
          <w:sz w:val="22"/>
          <w:szCs w:val="22"/>
        </w:rPr>
        <w:t xml:space="preserve">&lt; </w:t>
      </w:r>
      <w:r w:rsidRPr="002E185B">
        <w:rPr>
          <w:rFonts w:cs="Palatino"/>
          <w:sz w:val="22"/>
          <w:szCs w:val="22"/>
        </w:rPr>
        <w:t xml:space="preserve">0.001, respectively). </w:t>
      </w:r>
    </w:p>
    <w:p w14:paraId="2409B641" w14:textId="0C560BA8" w:rsidR="00421AEE" w:rsidRPr="002E185B" w:rsidRDefault="00421AEE" w:rsidP="00421AEE">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ScvO</w:t>
      </w:r>
      <w:r w:rsidRPr="002E185B">
        <w:rPr>
          <w:rFonts w:cs="Palatino"/>
          <w:position w:val="-2"/>
          <w:sz w:val="22"/>
          <w:szCs w:val="22"/>
        </w:rPr>
        <w:t xml:space="preserve">2 </w:t>
      </w:r>
      <w:r w:rsidRPr="002E185B">
        <w:rPr>
          <w:rFonts w:cs="Palatino"/>
          <w:sz w:val="22"/>
          <w:szCs w:val="22"/>
        </w:rPr>
        <w:t>and base deficit were found to be the best discriminators between survivors and nonsurvivors as assessed via receiver operator characteristic curve analysis.</w:t>
      </w:r>
    </w:p>
    <w:p w14:paraId="5961A42C" w14:textId="77777777" w:rsidR="00F35DAC" w:rsidRPr="002E185B" w:rsidRDefault="00F35DAC" w:rsidP="00F35DAC">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survivors demonstrated higher ScvO</w:t>
      </w:r>
      <w:r w:rsidRPr="002E185B">
        <w:rPr>
          <w:rFonts w:cs="Palatino"/>
          <w:position w:val="-2"/>
          <w:sz w:val="22"/>
          <w:szCs w:val="22"/>
        </w:rPr>
        <w:t xml:space="preserve">2 </w:t>
      </w:r>
      <w:r w:rsidRPr="002E185B">
        <w:rPr>
          <w:rFonts w:cs="Palatino"/>
          <w:sz w:val="22"/>
          <w:szCs w:val="22"/>
        </w:rPr>
        <w:t xml:space="preserve">than the nonsurvivors, and the nonsurvivors had higher base deficits than the survivors . </w:t>
      </w:r>
    </w:p>
    <w:p w14:paraId="1F1321F5" w14:textId="55878959" w:rsidR="00F35DAC" w:rsidRPr="002E185B" w:rsidRDefault="00F35DAC" w:rsidP="00F35DAC">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Animals that did not survive had a greater base deficit than the animals that </w:t>
      </w:r>
      <w:r w:rsidRPr="002E185B">
        <w:rPr>
          <w:rFonts w:cs="Palatino"/>
          <w:sz w:val="22"/>
          <w:szCs w:val="22"/>
        </w:rPr>
        <w:lastRenderedPageBreak/>
        <w:t xml:space="preserve">survived. At ICU admission, lower base deficit was also associated with a lower probability of death (odds ratio </w:t>
      </w:r>
      <w:r w:rsidRPr="002E185B">
        <w:rPr>
          <w:rFonts w:cs="Times"/>
          <w:sz w:val="22"/>
          <w:szCs w:val="22"/>
        </w:rPr>
        <w:t xml:space="preserve">= </w:t>
      </w:r>
      <w:r w:rsidRPr="002E185B">
        <w:rPr>
          <w:rFonts w:cs="Palatino"/>
          <w:sz w:val="22"/>
          <w:szCs w:val="22"/>
        </w:rPr>
        <w:t xml:space="preserve">0.55; </w:t>
      </w:r>
      <w:r w:rsidRPr="002E185B">
        <w:rPr>
          <w:rFonts w:cs="Palatino"/>
          <w:i/>
          <w:iCs/>
          <w:sz w:val="22"/>
          <w:szCs w:val="22"/>
        </w:rPr>
        <w:t xml:space="preserve">P </w:t>
      </w:r>
      <w:r w:rsidRPr="002E185B">
        <w:rPr>
          <w:rFonts w:cs="Times"/>
          <w:sz w:val="22"/>
          <w:szCs w:val="22"/>
        </w:rPr>
        <w:t xml:space="preserve">= </w:t>
      </w:r>
      <w:r w:rsidRPr="002E185B">
        <w:rPr>
          <w:rFonts w:cs="Palatino"/>
          <w:sz w:val="22"/>
          <w:szCs w:val="22"/>
        </w:rPr>
        <w:t xml:space="preserve">0.032), characterizing the base deficit as a prognostic marker. This study suggests that base deficit </w:t>
      </w:r>
      <w:r w:rsidRPr="002E185B">
        <w:rPr>
          <w:rFonts w:cs="Times"/>
          <w:sz w:val="22"/>
          <w:szCs w:val="22"/>
        </w:rPr>
        <w:t>&lt; −</w:t>
      </w:r>
      <w:r w:rsidRPr="002E185B">
        <w:rPr>
          <w:rFonts w:cs="Palatino"/>
          <w:sz w:val="22"/>
          <w:szCs w:val="22"/>
        </w:rPr>
        <w:t>14.5 mmol/L on ICU admission identified animals at high risk of death (72.7% sensitivity and 84.2% specificity)</w:t>
      </w:r>
    </w:p>
    <w:p w14:paraId="516A7512" w14:textId="11E4077A" w:rsidR="00F35DAC" w:rsidRPr="002E185B" w:rsidRDefault="00F35DAC" w:rsidP="00F35DAC">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In the analysis of variance of plasma lactate concentrations, there was significant change over time (</w:t>
      </w:r>
      <w:r w:rsidRPr="002E185B">
        <w:rPr>
          <w:rFonts w:cs="Palatino"/>
          <w:i/>
          <w:iCs/>
          <w:sz w:val="22"/>
          <w:szCs w:val="22"/>
        </w:rPr>
        <w:t xml:space="preserve">P </w:t>
      </w:r>
      <w:r w:rsidRPr="002E185B">
        <w:rPr>
          <w:rFonts w:cs="Times"/>
          <w:sz w:val="22"/>
          <w:szCs w:val="22"/>
        </w:rPr>
        <w:t xml:space="preserve">= </w:t>
      </w:r>
      <w:r w:rsidRPr="002E185B">
        <w:rPr>
          <w:rFonts w:cs="Palatino"/>
          <w:sz w:val="22"/>
          <w:szCs w:val="22"/>
        </w:rPr>
        <w:t>0.001) as well as between the groups (</w:t>
      </w:r>
      <w:r w:rsidRPr="002E185B">
        <w:rPr>
          <w:rFonts w:cs="Palatino"/>
          <w:i/>
          <w:iCs/>
          <w:sz w:val="22"/>
          <w:szCs w:val="22"/>
        </w:rPr>
        <w:t xml:space="preserve">P </w:t>
      </w:r>
      <w:r w:rsidRPr="002E185B">
        <w:rPr>
          <w:rFonts w:cs="Times"/>
          <w:sz w:val="22"/>
          <w:szCs w:val="22"/>
        </w:rPr>
        <w:t xml:space="preserve">&lt; </w:t>
      </w:r>
      <w:r w:rsidRPr="002E185B">
        <w:rPr>
          <w:rFonts w:cs="Palatino"/>
          <w:sz w:val="22"/>
          <w:szCs w:val="22"/>
        </w:rPr>
        <w:t>0.001). The survivors showed lower lactate concentrations than nonsurvivors.</w:t>
      </w:r>
    </w:p>
    <w:p w14:paraId="75FA3BA6" w14:textId="77777777" w:rsidR="00BB2E62" w:rsidRPr="002E185B" w:rsidRDefault="00BB2E62" w:rsidP="00BB2E62">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The mortality was 36.7%. </w:t>
      </w:r>
    </w:p>
    <w:p w14:paraId="153095D6" w14:textId="77777777" w:rsidR="00BB2E62" w:rsidRPr="002E185B" w:rsidRDefault="00BB2E62" w:rsidP="00BB2E62">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54% (17/30) had severe sepsis; 46% (13/30) had septic shock, with persistent arterial hypotension after volume resuscitation. </w:t>
      </w:r>
    </w:p>
    <w:p w14:paraId="4C498115" w14:textId="03F0FBBA" w:rsidR="00BB2E62" w:rsidRPr="002E185B" w:rsidRDefault="00BB2E62" w:rsidP="00BB2E62">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Out of the survivors, only one animal had septic shock and 18 animals had severe sepsis. Most of the nonsurvivors (90.9%) had septic shock.</w:t>
      </w:r>
    </w:p>
    <w:p w14:paraId="26784CF2" w14:textId="77777777" w:rsidR="00BB2E62" w:rsidRPr="002E185B" w:rsidRDefault="00BB2E62" w:rsidP="00BB2E62">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need for vasoactive drugs was significantly higher among the animals that did not survive (</w:t>
      </w:r>
      <w:r w:rsidRPr="002E185B">
        <w:rPr>
          <w:rFonts w:cs="Palatino"/>
          <w:i/>
          <w:iCs/>
          <w:sz w:val="22"/>
          <w:szCs w:val="22"/>
        </w:rPr>
        <w:t xml:space="preserve">P </w:t>
      </w:r>
      <w:r w:rsidRPr="002E185B">
        <w:rPr>
          <w:rFonts w:cs="Times"/>
          <w:sz w:val="22"/>
          <w:szCs w:val="22"/>
        </w:rPr>
        <w:t xml:space="preserve">&lt; </w:t>
      </w:r>
      <w:r w:rsidRPr="002E185B">
        <w:rPr>
          <w:rFonts w:cs="Palatino"/>
          <w:sz w:val="22"/>
          <w:szCs w:val="22"/>
        </w:rPr>
        <w:t>0.001). All of the nonsurvivors needed vasoactive drugs</w:t>
      </w:r>
    </w:p>
    <w:p w14:paraId="1450783F" w14:textId="66A8A815" w:rsidR="00A60139" w:rsidRPr="002E185B" w:rsidRDefault="00A60139" w:rsidP="00A60139">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Based on the ROC curve analysis, lactate concentrations are a poor test for the identification of nonsurvivors compared to base deficit and ScvO</w:t>
      </w:r>
      <w:r w:rsidRPr="002E185B">
        <w:rPr>
          <w:rFonts w:cs="Palatino"/>
          <w:position w:val="-2"/>
          <w:sz w:val="22"/>
          <w:szCs w:val="22"/>
        </w:rPr>
        <w:t>2</w:t>
      </w:r>
      <w:r w:rsidRPr="002E185B">
        <w:rPr>
          <w:rFonts w:cs="Palatino"/>
          <w:sz w:val="22"/>
          <w:szCs w:val="22"/>
        </w:rPr>
        <w:t>,. Thus, it is recommended that lactate should be evaluated along with other markers of tissue hypoperfusion, especially in septic patients with relative hypovolemia</w:t>
      </w:r>
    </w:p>
    <w:p w14:paraId="24BBD59D" w14:textId="77777777" w:rsidR="00BB2E62" w:rsidRPr="002E185B" w:rsidRDefault="00BB2E62" w:rsidP="00A60139">
      <w:pPr>
        <w:pStyle w:val="ListParagraph"/>
        <w:widowControl w:val="0"/>
        <w:autoSpaceDE w:val="0"/>
        <w:autoSpaceDN w:val="0"/>
        <w:adjustRightInd w:val="0"/>
        <w:spacing w:after="240"/>
        <w:rPr>
          <w:rFonts w:cs="Times"/>
          <w:sz w:val="22"/>
          <w:szCs w:val="22"/>
        </w:rPr>
      </w:pPr>
    </w:p>
    <w:p w14:paraId="23A19469" w14:textId="6AB5ACAD" w:rsidR="00421AEE" w:rsidRPr="002E185B" w:rsidRDefault="00421AEE" w:rsidP="00421AEE">
      <w:pPr>
        <w:widowControl w:val="0"/>
        <w:autoSpaceDE w:val="0"/>
        <w:autoSpaceDN w:val="0"/>
        <w:adjustRightInd w:val="0"/>
        <w:spacing w:after="240"/>
        <w:rPr>
          <w:rFonts w:cs="Palatino"/>
          <w:sz w:val="22"/>
          <w:szCs w:val="22"/>
        </w:rPr>
      </w:pPr>
      <w:r w:rsidRPr="002E185B">
        <w:rPr>
          <w:rFonts w:cs="Palatino"/>
          <w:b/>
          <w:bCs/>
          <w:sz w:val="22"/>
          <w:szCs w:val="22"/>
        </w:rPr>
        <w:t>Conclusion</w:t>
      </w:r>
      <w:r w:rsidR="009A344A" w:rsidRPr="002E185B">
        <w:rPr>
          <w:rFonts w:cs="Palatino"/>
          <w:b/>
          <w:bCs/>
          <w:sz w:val="22"/>
          <w:szCs w:val="22"/>
        </w:rPr>
        <w:t xml:space="preserve">: </w:t>
      </w:r>
      <w:r w:rsidR="009A344A" w:rsidRPr="002E185B">
        <w:rPr>
          <w:rFonts w:cs="Palatino"/>
          <w:bCs/>
          <w:sz w:val="22"/>
          <w:szCs w:val="22"/>
        </w:rPr>
        <w:t xml:space="preserve">This </w:t>
      </w:r>
      <w:r w:rsidRPr="002E185B">
        <w:rPr>
          <w:rFonts w:cs="Palatino"/>
          <w:sz w:val="22"/>
          <w:szCs w:val="22"/>
        </w:rPr>
        <w:t>study suggests that ScvO</w:t>
      </w:r>
      <w:r w:rsidRPr="002E185B">
        <w:rPr>
          <w:rFonts w:cs="Palatino"/>
          <w:position w:val="-2"/>
          <w:sz w:val="22"/>
          <w:szCs w:val="22"/>
        </w:rPr>
        <w:t xml:space="preserve">2 </w:t>
      </w:r>
      <w:r w:rsidRPr="002E185B">
        <w:rPr>
          <w:rFonts w:cs="Palatino"/>
          <w:sz w:val="22"/>
          <w:szCs w:val="22"/>
        </w:rPr>
        <w:t>and base deficit are useful in predicting the prognosis of dogs with severe sepsis and septic shock; animals with a higher ScvO</w:t>
      </w:r>
      <w:r w:rsidRPr="002E185B">
        <w:rPr>
          <w:rFonts w:cs="Palatino"/>
          <w:position w:val="-2"/>
          <w:sz w:val="22"/>
          <w:szCs w:val="22"/>
        </w:rPr>
        <w:t xml:space="preserve">2 </w:t>
      </w:r>
      <w:r w:rsidRPr="002E185B">
        <w:rPr>
          <w:rFonts w:cs="Palatino"/>
          <w:sz w:val="22"/>
          <w:szCs w:val="22"/>
        </w:rPr>
        <w:t>and lower base deficit at admission to the ICU have a lower probability of death.</w:t>
      </w:r>
    </w:p>
    <w:p w14:paraId="29D26CC2" w14:textId="74FB4C5B" w:rsidR="00BA47FB" w:rsidRPr="002E185B" w:rsidRDefault="00BA47FB" w:rsidP="00421AEE">
      <w:pPr>
        <w:widowControl w:val="0"/>
        <w:autoSpaceDE w:val="0"/>
        <w:autoSpaceDN w:val="0"/>
        <w:adjustRightInd w:val="0"/>
        <w:spacing w:after="240"/>
        <w:rPr>
          <w:rFonts w:cs="Palatino"/>
          <w:b/>
          <w:sz w:val="22"/>
          <w:szCs w:val="22"/>
        </w:rPr>
      </w:pPr>
      <w:r w:rsidRPr="002E185B">
        <w:rPr>
          <w:rFonts w:cs="Palatino"/>
          <w:b/>
          <w:sz w:val="22"/>
          <w:szCs w:val="22"/>
        </w:rPr>
        <w:t>Other:</w:t>
      </w:r>
    </w:p>
    <w:p w14:paraId="47FA4B05" w14:textId="3742E499" w:rsidR="00BA47FB" w:rsidRPr="002E185B" w:rsidRDefault="00BA47FB" w:rsidP="00BA47FB">
      <w:pPr>
        <w:pStyle w:val="ListParagraph"/>
        <w:widowControl w:val="0"/>
        <w:numPr>
          <w:ilvl w:val="0"/>
          <w:numId w:val="1"/>
        </w:numPr>
        <w:autoSpaceDE w:val="0"/>
        <w:autoSpaceDN w:val="0"/>
        <w:adjustRightInd w:val="0"/>
        <w:spacing w:after="240"/>
        <w:rPr>
          <w:rFonts w:cs="Palatino"/>
          <w:position w:val="8"/>
          <w:sz w:val="22"/>
          <w:szCs w:val="22"/>
        </w:rPr>
      </w:pPr>
      <w:r w:rsidRPr="002E185B">
        <w:rPr>
          <w:rFonts w:cs="Palatino"/>
          <w:sz w:val="22"/>
          <w:szCs w:val="22"/>
        </w:rPr>
        <w:t>Sepsis is a clinical syndrome associated with the systemic inflammatory response syndrome (SIRS) evoked by invading microorganisms or their toxins in the blood stream.</w:t>
      </w:r>
    </w:p>
    <w:p w14:paraId="6D55D707" w14:textId="77777777" w:rsidR="00BA47FB" w:rsidRPr="002E185B" w:rsidRDefault="00BA47FB" w:rsidP="00BA47FB">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Severe sepsis is defined as the presence of sepsis concomitant with dysfunction of one or more organs. </w:t>
      </w:r>
    </w:p>
    <w:p w14:paraId="5654DF92" w14:textId="77777777" w:rsidR="00BA47FB" w:rsidRPr="002E185B" w:rsidRDefault="00BA47FB" w:rsidP="00BA47FB">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Septic shock is defined as the presence of severe sepsis plus hypotension despite fluid resuscitation.</w:t>
      </w:r>
    </w:p>
    <w:p w14:paraId="0F406A29" w14:textId="36865ED3" w:rsidR="00BA47FB" w:rsidRPr="002E185B" w:rsidRDefault="00BA47FB" w:rsidP="00BA47FB">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In veterinary medicine,</w:t>
      </w:r>
      <w:r w:rsidR="004B77E2" w:rsidRPr="002E185B">
        <w:rPr>
          <w:rFonts w:cs="Palatino"/>
          <w:sz w:val="22"/>
          <w:szCs w:val="22"/>
        </w:rPr>
        <w:t xml:space="preserve"> the incidence of sepsis is un</w:t>
      </w:r>
      <w:r w:rsidRPr="002E185B">
        <w:rPr>
          <w:rFonts w:cs="Palatino"/>
          <w:sz w:val="22"/>
          <w:szCs w:val="22"/>
        </w:rPr>
        <w:t>known; however, the mortality ranges between 20% and 68%.</w:t>
      </w:r>
    </w:p>
    <w:p w14:paraId="35F3C461" w14:textId="12D60CBE" w:rsidR="00C31011" w:rsidRPr="002E185B" w:rsidRDefault="00C31011" w:rsidP="00C31011">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S</w:t>
      </w:r>
      <w:r w:rsidR="008121C9" w:rsidRPr="002E185B">
        <w:rPr>
          <w:rFonts w:cs="Palatino"/>
          <w:sz w:val="22"/>
          <w:szCs w:val="22"/>
        </w:rPr>
        <w:t>epsis promotes endothelial dysfunction, which undermines the control of vascular tone, coagulation and the immune response.</w:t>
      </w:r>
    </w:p>
    <w:p w14:paraId="167F4543" w14:textId="18673F73" w:rsidR="008121C9" w:rsidRPr="002E185B" w:rsidRDefault="00C31011" w:rsidP="00C31011">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C</w:t>
      </w:r>
      <w:r w:rsidR="008121C9" w:rsidRPr="002E185B">
        <w:rPr>
          <w:rFonts w:cs="Palatino"/>
          <w:sz w:val="22"/>
          <w:szCs w:val="22"/>
        </w:rPr>
        <w:t xml:space="preserve">ytokines released during SIRS </w:t>
      </w:r>
      <w:r w:rsidRPr="002E185B">
        <w:rPr>
          <w:rFonts w:cs="Palatino"/>
          <w:sz w:val="22"/>
          <w:szCs w:val="22"/>
        </w:rPr>
        <w:t>act on the endothelium and pro</w:t>
      </w:r>
      <w:r w:rsidR="008121C9" w:rsidRPr="002E185B">
        <w:rPr>
          <w:rFonts w:cs="Palatino"/>
          <w:sz w:val="22"/>
          <w:szCs w:val="22"/>
        </w:rPr>
        <w:t>mote an increase in nitric oxide synthase (NOS)</w:t>
      </w:r>
      <w:r w:rsidRPr="002E185B">
        <w:rPr>
          <w:rFonts w:cs="Palatino"/>
          <w:sz w:val="22"/>
          <w:szCs w:val="22"/>
        </w:rPr>
        <w:t xml:space="preserve"> expres</w:t>
      </w:r>
      <w:r w:rsidR="008121C9" w:rsidRPr="002E185B">
        <w:rPr>
          <w:rFonts w:cs="Palatino"/>
          <w:sz w:val="22"/>
          <w:szCs w:val="22"/>
        </w:rPr>
        <w:t>sion and nitric oxide production in septic shock.</w:t>
      </w:r>
      <w:r w:rsidRPr="002E185B">
        <w:rPr>
          <w:rFonts w:cs="Palatino"/>
          <w:position w:val="8"/>
          <w:sz w:val="22"/>
          <w:szCs w:val="22"/>
        </w:rPr>
        <w:t xml:space="preserve"> </w:t>
      </w:r>
      <w:r w:rsidRPr="002E185B">
        <w:rPr>
          <w:rFonts w:cs="Palatino"/>
          <w:sz w:val="22"/>
          <w:szCs w:val="22"/>
        </w:rPr>
        <w:t>Ni</w:t>
      </w:r>
      <w:r w:rsidR="008121C9" w:rsidRPr="002E185B">
        <w:rPr>
          <w:rFonts w:cs="Palatino"/>
          <w:sz w:val="22"/>
          <w:szCs w:val="22"/>
        </w:rPr>
        <w:t>tric oxide promotes intense arterial vasodilation, an impor</w:t>
      </w:r>
      <w:r w:rsidRPr="002E185B">
        <w:rPr>
          <w:rFonts w:cs="Palatino"/>
          <w:sz w:val="22"/>
          <w:szCs w:val="22"/>
        </w:rPr>
        <w:t>tant component of refractory ar</w:t>
      </w:r>
      <w:r w:rsidR="008121C9" w:rsidRPr="002E185B">
        <w:rPr>
          <w:rFonts w:cs="Palatino"/>
          <w:sz w:val="22"/>
          <w:szCs w:val="22"/>
        </w:rPr>
        <w:t>terial hypotension</w:t>
      </w:r>
      <w:r w:rsidRPr="002E185B">
        <w:rPr>
          <w:rFonts w:cs="Palatino"/>
          <w:sz w:val="22"/>
          <w:szCs w:val="22"/>
        </w:rPr>
        <w:t>. A</w:t>
      </w:r>
      <w:r w:rsidR="008121C9" w:rsidRPr="002E185B">
        <w:rPr>
          <w:rFonts w:cs="Palatino"/>
          <w:sz w:val="22"/>
          <w:szCs w:val="22"/>
        </w:rPr>
        <w:t xml:space="preserve">rterial vasodilation activates the neurohumoral axis and increases cardiac output </w:t>
      </w:r>
      <w:r w:rsidRPr="002E185B">
        <w:rPr>
          <w:rFonts w:cs="Palatino"/>
          <w:sz w:val="22"/>
          <w:szCs w:val="22"/>
        </w:rPr>
        <w:t>(CO) secondary to afterload re</w:t>
      </w:r>
      <w:r w:rsidR="008121C9" w:rsidRPr="002E185B">
        <w:rPr>
          <w:rFonts w:cs="Palatino"/>
          <w:sz w:val="22"/>
          <w:szCs w:val="22"/>
        </w:rPr>
        <w:t>duction, characterizing</w:t>
      </w:r>
      <w:r w:rsidRPr="002E185B">
        <w:rPr>
          <w:rFonts w:cs="Palatino"/>
          <w:sz w:val="22"/>
          <w:szCs w:val="22"/>
        </w:rPr>
        <w:t xml:space="preserve"> the hyperdynamic phase of sep</w:t>
      </w:r>
      <w:r w:rsidR="008121C9" w:rsidRPr="002E185B">
        <w:rPr>
          <w:rFonts w:cs="Palatino"/>
          <w:sz w:val="22"/>
          <w:szCs w:val="22"/>
        </w:rPr>
        <w:t>tic shock.</w:t>
      </w:r>
    </w:p>
    <w:p w14:paraId="48DEA67A" w14:textId="1E682223" w:rsidR="00C31011" w:rsidRPr="002E185B" w:rsidRDefault="00C31011" w:rsidP="00C31011">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hypodynamic phase, inflammatory mediators promote myocardial depression, decreased CO, increased vascular permeability,</w:t>
      </w:r>
      <w:r w:rsidRPr="002E185B">
        <w:rPr>
          <w:rFonts w:cs="Palatino"/>
          <w:position w:val="8"/>
          <w:sz w:val="22"/>
          <w:szCs w:val="22"/>
        </w:rPr>
        <w:t xml:space="preserve"> </w:t>
      </w:r>
      <w:r w:rsidRPr="002E185B">
        <w:rPr>
          <w:rFonts w:cs="Palatino"/>
          <w:sz w:val="22"/>
          <w:szCs w:val="22"/>
        </w:rPr>
        <w:t>decreased preload, loss of vascular tone control, vasopressin deficiency, and changes in the microcirculation.</w:t>
      </w:r>
      <w:r w:rsidR="004B77E2" w:rsidRPr="002E185B">
        <w:rPr>
          <w:rFonts w:cs="Palatino"/>
          <w:sz w:val="22"/>
          <w:szCs w:val="22"/>
        </w:rPr>
        <w:t xml:space="preserve"> </w:t>
      </w:r>
      <w:r w:rsidRPr="002E185B">
        <w:rPr>
          <w:rFonts w:cs="Palatino"/>
          <w:sz w:val="22"/>
          <w:szCs w:val="22"/>
        </w:rPr>
        <w:t>Systemic and regional tissue hypoper</w:t>
      </w:r>
      <w:r w:rsidR="004B77E2" w:rsidRPr="002E185B">
        <w:rPr>
          <w:rFonts w:cs="Palatino"/>
          <w:sz w:val="22"/>
          <w:szCs w:val="22"/>
        </w:rPr>
        <w:t>fusion with normal or above nor</w:t>
      </w:r>
      <w:r w:rsidRPr="002E185B">
        <w:rPr>
          <w:rFonts w:cs="Palatino"/>
          <w:sz w:val="22"/>
          <w:szCs w:val="22"/>
        </w:rPr>
        <w:t>mal CO characterize the distributive shock.</w:t>
      </w:r>
    </w:p>
    <w:p w14:paraId="7C38C952" w14:textId="22C41225" w:rsidR="00C31011" w:rsidRPr="002E185B" w:rsidRDefault="00C31011" w:rsidP="00C31011">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Surviving Sepsis Campaign recommends the use of central venous oxygen saturation </w:t>
      </w:r>
      <w:r w:rsidRPr="002E185B">
        <w:rPr>
          <w:rFonts w:cs="Palatino"/>
          <w:sz w:val="22"/>
          <w:szCs w:val="22"/>
        </w:rPr>
        <w:lastRenderedPageBreak/>
        <w:t>(ScvO</w:t>
      </w:r>
      <w:r w:rsidRPr="002E185B">
        <w:rPr>
          <w:rFonts w:cs="Palatino"/>
          <w:position w:val="-2"/>
          <w:sz w:val="22"/>
          <w:szCs w:val="22"/>
        </w:rPr>
        <w:t>2</w:t>
      </w:r>
      <w:r w:rsidRPr="002E185B">
        <w:rPr>
          <w:rFonts w:cs="Palatino"/>
          <w:sz w:val="22"/>
          <w:szCs w:val="22"/>
        </w:rPr>
        <w:t>) or mixed venous oxygen saturation (SvO</w:t>
      </w:r>
      <w:r w:rsidRPr="002E185B">
        <w:rPr>
          <w:rFonts w:cs="Palatino"/>
          <w:position w:val="-2"/>
          <w:sz w:val="22"/>
          <w:szCs w:val="22"/>
        </w:rPr>
        <w:t>2</w:t>
      </w:r>
      <w:r w:rsidRPr="002E185B">
        <w:rPr>
          <w:rFonts w:cs="Palatino"/>
          <w:sz w:val="22"/>
          <w:szCs w:val="22"/>
        </w:rPr>
        <w:t>) to assess the supply and consumption of oxygen in the tissues</w:t>
      </w:r>
    </w:p>
    <w:p w14:paraId="2182CE12" w14:textId="77777777" w:rsidR="00C31011" w:rsidRPr="002E185B" w:rsidRDefault="00C31011" w:rsidP="00C31011">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SvO</w:t>
      </w:r>
      <w:r w:rsidRPr="002E185B">
        <w:rPr>
          <w:rFonts w:cs="Palatino"/>
          <w:position w:val="-2"/>
          <w:sz w:val="22"/>
          <w:szCs w:val="22"/>
        </w:rPr>
        <w:t xml:space="preserve">2 </w:t>
      </w:r>
      <w:r w:rsidRPr="002E185B">
        <w:rPr>
          <w:rFonts w:cs="Palatino"/>
          <w:sz w:val="22"/>
          <w:szCs w:val="22"/>
        </w:rPr>
        <w:t>reflects the proper ratio between oxygen supply and consumption; its value is decreased when there is increased consumption or reduced supply of oxygen to the tissues.</w:t>
      </w:r>
    </w:p>
    <w:p w14:paraId="77597775" w14:textId="77777777" w:rsidR="00C31011" w:rsidRPr="002E185B" w:rsidRDefault="00C31011" w:rsidP="00C31011">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literature suggests that mild systemic hypoperfusion is associated with plasma lactate concentrations of 2.5–4.9 mmol/L and moderate hypoperfusion with 5–7 mmol/L whereas in cases of severe hypoperfusion, lactate concentrations can exceed 7 mmol/L.</w:t>
      </w:r>
    </w:p>
    <w:p w14:paraId="24BAEB3D" w14:textId="77777777" w:rsidR="00C31011" w:rsidRPr="002E185B" w:rsidRDefault="00C31011" w:rsidP="00C31011">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Parameters such as ScvO</w:t>
      </w:r>
      <w:r w:rsidRPr="002E185B">
        <w:rPr>
          <w:rFonts w:cs="Palatino"/>
          <w:position w:val="-2"/>
          <w:sz w:val="22"/>
          <w:szCs w:val="22"/>
        </w:rPr>
        <w:t>2</w:t>
      </w:r>
      <w:r w:rsidRPr="002E185B">
        <w:rPr>
          <w:rFonts w:cs="Palatino"/>
          <w:sz w:val="22"/>
          <w:szCs w:val="22"/>
        </w:rPr>
        <w:t>, lactate, and base deficit are often used to monitor septic human patients because they are considered to possess good prognostic value.</w:t>
      </w:r>
    </w:p>
    <w:p w14:paraId="066AE60F" w14:textId="3D023BB3" w:rsidR="00A60139" w:rsidRPr="002E185B" w:rsidRDefault="00A60139" w:rsidP="00A60139">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In human studies, persistence </w:t>
      </w:r>
      <w:r w:rsidR="004B77E2" w:rsidRPr="002E185B">
        <w:rPr>
          <w:rFonts w:cs="Palatino"/>
          <w:sz w:val="22"/>
          <w:szCs w:val="22"/>
        </w:rPr>
        <w:t>of increased lactate con</w:t>
      </w:r>
      <w:r w:rsidRPr="002E185B">
        <w:rPr>
          <w:rFonts w:cs="Palatino"/>
          <w:sz w:val="22"/>
          <w:szCs w:val="22"/>
        </w:rPr>
        <w:t>centration during hospi</w:t>
      </w:r>
      <w:r w:rsidR="00605E0B" w:rsidRPr="002E185B">
        <w:rPr>
          <w:rFonts w:cs="Palatino"/>
          <w:sz w:val="22"/>
          <w:szCs w:val="22"/>
        </w:rPr>
        <w:t>talization is considered a pre</w:t>
      </w:r>
      <w:r w:rsidRPr="002E185B">
        <w:rPr>
          <w:rFonts w:cs="Palatino"/>
          <w:sz w:val="22"/>
          <w:szCs w:val="22"/>
        </w:rPr>
        <w:t>dictor of mortality and organ failure</w:t>
      </w:r>
    </w:p>
    <w:p w14:paraId="5EC899CB" w14:textId="6F4529C8" w:rsidR="008121C9" w:rsidRPr="002E185B" w:rsidRDefault="00A60139" w:rsidP="00BA47FB">
      <w:pPr>
        <w:pStyle w:val="ListParagraph"/>
        <w:widowControl w:val="0"/>
        <w:numPr>
          <w:ilvl w:val="0"/>
          <w:numId w:val="1"/>
        </w:numPr>
        <w:autoSpaceDE w:val="0"/>
        <w:autoSpaceDN w:val="0"/>
        <w:adjustRightInd w:val="0"/>
        <w:spacing w:after="240"/>
        <w:rPr>
          <w:rFonts w:cs="Times"/>
          <w:sz w:val="22"/>
          <w:szCs w:val="22"/>
        </w:rPr>
      </w:pPr>
      <w:r w:rsidRPr="002E185B">
        <w:rPr>
          <w:rFonts w:cs="Times"/>
          <w:sz w:val="22"/>
          <w:szCs w:val="22"/>
        </w:rPr>
        <w:t>Limitations:  variable measured in the post operative period, depressant effects of anesthesia, recent surgical intervention promoting inflammation, delayed insertion of central venous catheter</w:t>
      </w:r>
    </w:p>
    <w:p w14:paraId="6BBD56A1" w14:textId="76D8F8BD" w:rsidR="00814140" w:rsidRPr="002E185B" w:rsidRDefault="00814140" w:rsidP="00814140">
      <w:pPr>
        <w:widowControl w:val="0"/>
        <w:autoSpaceDE w:val="0"/>
        <w:autoSpaceDN w:val="0"/>
        <w:adjustRightInd w:val="0"/>
        <w:spacing w:after="240"/>
        <w:rPr>
          <w:rFonts w:cs="Times"/>
          <w:b/>
          <w:sz w:val="22"/>
          <w:szCs w:val="22"/>
        </w:rPr>
      </w:pPr>
      <w:r w:rsidRPr="002E185B">
        <w:rPr>
          <w:rFonts w:cs="Times"/>
          <w:b/>
          <w:sz w:val="22"/>
          <w:szCs w:val="22"/>
        </w:rPr>
        <w:t>Questions:</w:t>
      </w:r>
    </w:p>
    <w:p w14:paraId="05BE769C" w14:textId="7C7905D7" w:rsidR="00814140" w:rsidRPr="002E185B" w:rsidRDefault="00814140" w:rsidP="00814140">
      <w:pPr>
        <w:pStyle w:val="ListParagraph"/>
        <w:widowControl w:val="0"/>
        <w:numPr>
          <w:ilvl w:val="0"/>
          <w:numId w:val="11"/>
        </w:numPr>
        <w:autoSpaceDE w:val="0"/>
        <w:autoSpaceDN w:val="0"/>
        <w:adjustRightInd w:val="0"/>
        <w:spacing w:after="240"/>
        <w:rPr>
          <w:rFonts w:cs="Times"/>
          <w:sz w:val="22"/>
          <w:szCs w:val="22"/>
        </w:rPr>
      </w:pPr>
      <w:r w:rsidRPr="002E185B">
        <w:rPr>
          <w:rFonts w:cs="Times"/>
          <w:sz w:val="22"/>
          <w:szCs w:val="22"/>
        </w:rPr>
        <w:t>Were admission values of lactate, ScvO2 and BE independently related to death?</w:t>
      </w:r>
    </w:p>
    <w:p w14:paraId="252AF801" w14:textId="4FDF3DA0" w:rsidR="00814140" w:rsidRPr="002E185B" w:rsidRDefault="00814140" w:rsidP="00814140">
      <w:pPr>
        <w:pStyle w:val="ListParagraph"/>
        <w:widowControl w:val="0"/>
        <w:numPr>
          <w:ilvl w:val="0"/>
          <w:numId w:val="11"/>
        </w:numPr>
        <w:autoSpaceDE w:val="0"/>
        <w:autoSpaceDN w:val="0"/>
        <w:adjustRightInd w:val="0"/>
        <w:spacing w:after="240"/>
        <w:rPr>
          <w:rFonts w:cs="Times"/>
          <w:sz w:val="22"/>
          <w:szCs w:val="22"/>
        </w:rPr>
      </w:pPr>
      <w:r w:rsidRPr="002E185B">
        <w:rPr>
          <w:rFonts w:cs="Times"/>
          <w:sz w:val="22"/>
          <w:szCs w:val="22"/>
        </w:rPr>
        <w:t>List the two parameters that appeared to be the best predictors of survivors vs non survivors</w:t>
      </w:r>
    </w:p>
    <w:p w14:paraId="19B92709" w14:textId="015BF5E4" w:rsidR="004B77E2" w:rsidRPr="002E185B" w:rsidRDefault="004B77E2" w:rsidP="00814140">
      <w:pPr>
        <w:pStyle w:val="ListParagraph"/>
        <w:widowControl w:val="0"/>
        <w:numPr>
          <w:ilvl w:val="0"/>
          <w:numId w:val="11"/>
        </w:numPr>
        <w:autoSpaceDE w:val="0"/>
        <w:autoSpaceDN w:val="0"/>
        <w:adjustRightInd w:val="0"/>
        <w:spacing w:after="240"/>
        <w:rPr>
          <w:rFonts w:cs="Times"/>
          <w:sz w:val="22"/>
          <w:szCs w:val="22"/>
        </w:rPr>
      </w:pPr>
      <w:r w:rsidRPr="002E185B">
        <w:rPr>
          <w:rFonts w:cs="Times"/>
          <w:sz w:val="22"/>
          <w:szCs w:val="22"/>
        </w:rPr>
        <w:t>Do Scv02 and BE appear to be good prognostic indicators in dogs with severe sepsis?</w:t>
      </w:r>
    </w:p>
    <w:p w14:paraId="2345648F" w14:textId="2C1E1B94" w:rsidR="004B77E2" w:rsidRPr="002E185B" w:rsidRDefault="004B77E2" w:rsidP="004B77E2">
      <w:pPr>
        <w:pStyle w:val="ListParagraph"/>
        <w:widowControl w:val="0"/>
        <w:numPr>
          <w:ilvl w:val="0"/>
          <w:numId w:val="11"/>
        </w:numPr>
        <w:autoSpaceDE w:val="0"/>
        <w:autoSpaceDN w:val="0"/>
        <w:adjustRightInd w:val="0"/>
        <w:spacing w:after="240"/>
        <w:rPr>
          <w:rFonts w:cs="Times"/>
          <w:sz w:val="22"/>
          <w:szCs w:val="22"/>
        </w:rPr>
      </w:pPr>
      <w:r w:rsidRPr="002E185B">
        <w:rPr>
          <w:rFonts w:cs="Palatino"/>
          <w:sz w:val="22"/>
          <w:szCs w:val="22"/>
        </w:rPr>
        <w:t>Does the Surviving Sepsis Campaign recommend the use of central venous oxygen saturation (ScvO</w:t>
      </w:r>
      <w:r w:rsidRPr="002E185B">
        <w:rPr>
          <w:rFonts w:cs="Palatino"/>
          <w:position w:val="-2"/>
          <w:sz w:val="22"/>
          <w:szCs w:val="22"/>
        </w:rPr>
        <w:t>2</w:t>
      </w:r>
      <w:r w:rsidRPr="002E185B">
        <w:rPr>
          <w:rFonts w:cs="Palatino"/>
          <w:sz w:val="22"/>
          <w:szCs w:val="22"/>
        </w:rPr>
        <w:t>) or mixed venous oxygen saturation (SvO</w:t>
      </w:r>
      <w:r w:rsidRPr="002E185B">
        <w:rPr>
          <w:rFonts w:cs="Palatino"/>
          <w:position w:val="-2"/>
          <w:sz w:val="22"/>
          <w:szCs w:val="22"/>
        </w:rPr>
        <w:t>2</w:t>
      </w:r>
      <w:r w:rsidRPr="002E185B">
        <w:rPr>
          <w:rFonts w:cs="Palatino"/>
          <w:sz w:val="22"/>
          <w:szCs w:val="22"/>
        </w:rPr>
        <w:t>) to assess the supply and consumption of oxygen in the tissues?</w:t>
      </w:r>
    </w:p>
    <w:p w14:paraId="3FF4E54C" w14:textId="310D7AAA" w:rsidR="004B77E2" w:rsidRPr="002E185B" w:rsidRDefault="004B77E2" w:rsidP="00814140">
      <w:pPr>
        <w:pStyle w:val="ListParagraph"/>
        <w:widowControl w:val="0"/>
        <w:numPr>
          <w:ilvl w:val="0"/>
          <w:numId w:val="11"/>
        </w:numPr>
        <w:autoSpaceDE w:val="0"/>
        <w:autoSpaceDN w:val="0"/>
        <w:adjustRightInd w:val="0"/>
        <w:spacing w:after="240"/>
        <w:rPr>
          <w:rFonts w:cs="Times"/>
          <w:sz w:val="22"/>
          <w:szCs w:val="22"/>
        </w:rPr>
      </w:pPr>
      <w:r w:rsidRPr="002E185B">
        <w:rPr>
          <w:rFonts w:cs="Times"/>
          <w:sz w:val="22"/>
          <w:szCs w:val="22"/>
        </w:rPr>
        <w:t>List some limitations of this study</w:t>
      </w:r>
    </w:p>
    <w:p w14:paraId="08A31F7A" w14:textId="67AD325F" w:rsidR="00BA47FB" w:rsidRPr="002E185B" w:rsidRDefault="00BA47FB" w:rsidP="00421AEE">
      <w:pPr>
        <w:widowControl w:val="0"/>
        <w:autoSpaceDE w:val="0"/>
        <w:autoSpaceDN w:val="0"/>
        <w:adjustRightInd w:val="0"/>
        <w:spacing w:after="240"/>
        <w:rPr>
          <w:rFonts w:cs="Times"/>
          <w:sz w:val="22"/>
          <w:szCs w:val="22"/>
        </w:rPr>
      </w:pPr>
    </w:p>
    <w:p w14:paraId="70065F92" w14:textId="77777777" w:rsidR="009540E8" w:rsidRPr="002E185B" w:rsidRDefault="009540E8" w:rsidP="009540E8">
      <w:pPr>
        <w:widowControl w:val="0"/>
        <w:autoSpaceDE w:val="0"/>
        <w:autoSpaceDN w:val="0"/>
        <w:adjustRightInd w:val="0"/>
        <w:spacing w:after="240"/>
        <w:rPr>
          <w:rFonts w:cs="Times"/>
          <w:sz w:val="22"/>
          <w:szCs w:val="22"/>
          <w:u w:val="single"/>
        </w:rPr>
      </w:pPr>
      <w:r w:rsidRPr="002E185B">
        <w:rPr>
          <w:rFonts w:cs="Helvetica"/>
          <w:b/>
          <w:bCs/>
          <w:sz w:val="22"/>
          <w:szCs w:val="22"/>
          <w:u w:val="single"/>
        </w:rPr>
        <w:t>Adverse reactions from essential oil-containing natural flea products exempted from Environmental Protection Agency regulations in dogs and cats</w:t>
      </w:r>
    </w:p>
    <w:p w14:paraId="3F8D4B24" w14:textId="2A887B85" w:rsidR="009540E8" w:rsidRPr="002E185B" w:rsidRDefault="009540E8" w:rsidP="009540E8">
      <w:pPr>
        <w:widowControl w:val="0"/>
        <w:autoSpaceDE w:val="0"/>
        <w:autoSpaceDN w:val="0"/>
        <w:adjustRightInd w:val="0"/>
        <w:spacing w:after="240"/>
        <w:rPr>
          <w:rFonts w:cs="Times"/>
          <w:sz w:val="22"/>
          <w:szCs w:val="22"/>
        </w:rPr>
      </w:pPr>
      <w:r w:rsidRPr="002E185B">
        <w:rPr>
          <w:rFonts w:cs="Palatino"/>
          <w:b/>
          <w:sz w:val="22"/>
          <w:szCs w:val="22"/>
        </w:rPr>
        <w:t>Authors</w:t>
      </w:r>
      <w:r w:rsidRPr="002E185B">
        <w:rPr>
          <w:rFonts w:cs="Palatino"/>
          <w:sz w:val="22"/>
          <w:szCs w:val="22"/>
        </w:rPr>
        <w:t>: Allison G. Genovese, DVM; Mary Kay McLean, MS and Safdar A. Khan, DVM, MS, PhD, DABVT</w:t>
      </w:r>
    </w:p>
    <w:p w14:paraId="52629D2A" w14:textId="33F558A3" w:rsidR="009540E8" w:rsidRPr="002E185B" w:rsidRDefault="009540E8" w:rsidP="009540E8">
      <w:pPr>
        <w:widowControl w:val="0"/>
        <w:autoSpaceDE w:val="0"/>
        <w:autoSpaceDN w:val="0"/>
        <w:adjustRightInd w:val="0"/>
        <w:spacing w:after="240"/>
        <w:rPr>
          <w:rFonts w:cs="Palatino"/>
          <w:sz w:val="22"/>
          <w:szCs w:val="22"/>
        </w:rPr>
      </w:pPr>
      <w:r w:rsidRPr="002E185B">
        <w:rPr>
          <w:rFonts w:cs="Palatino"/>
          <w:b/>
          <w:bCs/>
          <w:sz w:val="22"/>
          <w:szCs w:val="22"/>
        </w:rPr>
        <w:t xml:space="preserve">Objective: </w:t>
      </w:r>
      <w:r w:rsidRPr="002E185B">
        <w:rPr>
          <w:rFonts w:cs="Palatino"/>
          <w:sz w:val="22"/>
          <w:szCs w:val="22"/>
        </w:rPr>
        <w:t>To describe adverse effects in dogs and cats exposed to Environmental Protection Agency exempted plant-derived flea preventatives containing mixtures of essential oils.</w:t>
      </w:r>
    </w:p>
    <w:p w14:paraId="6656341D" w14:textId="2B53BCCC" w:rsidR="004F7AC1" w:rsidRPr="002E185B" w:rsidRDefault="004F7AC1" w:rsidP="009540E8">
      <w:pPr>
        <w:widowControl w:val="0"/>
        <w:autoSpaceDE w:val="0"/>
        <w:autoSpaceDN w:val="0"/>
        <w:adjustRightInd w:val="0"/>
        <w:spacing w:after="240"/>
        <w:rPr>
          <w:rFonts w:cs="Times"/>
          <w:sz w:val="22"/>
          <w:szCs w:val="22"/>
        </w:rPr>
      </w:pPr>
      <w:r w:rsidRPr="002E185B">
        <w:rPr>
          <w:rFonts w:cs="Palatino"/>
          <w:sz w:val="22"/>
          <w:szCs w:val="22"/>
        </w:rPr>
        <w:t>The purpose of this report is to describe the adverse reactions reported to the American Society for Prevention of Cruelty to Animals Animal Poison Control Center (APCC) from various plant-derived flea products containing mixtures of minimum risk peppermint oil, thyme oil, 2-phenethypropionate, cinnamon oil, lemongrass oil, clove oil, and isopropyl myristate.</w:t>
      </w:r>
    </w:p>
    <w:p w14:paraId="1D40C963" w14:textId="77777777" w:rsidR="009540E8" w:rsidRPr="002E185B" w:rsidRDefault="009540E8" w:rsidP="009540E8">
      <w:pPr>
        <w:widowControl w:val="0"/>
        <w:autoSpaceDE w:val="0"/>
        <w:autoSpaceDN w:val="0"/>
        <w:adjustRightInd w:val="0"/>
        <w:spacing w:after="240"/>
        <w:rPr>
          <w:rFonts w:cs="Palatino"/>
          <w:sz w:val="22"/>
          <w:szCs w:val="22"/>
        </w:rPr>
      </w:pPr>
      <w:r w:rsidRPr="002E185B">
        <w:rPr>
          <w:rFonts w:cs="Palatino"/>
          <w:b/>
          <w:bCs/>
          <w:sz w:val="22"/>
          <w:szCs w:val="22"/>
        </w:rPr>
        <w:t xml:space="preserve">Design: </w:t>
      </w:r>
      <w:r w:rsidRPr="002E185B">
        <w:rPr>
          <w:rFonts w:cs="Palatino"/>
          <w:sz w:val="22"/>
          <w:szCs w:val="22"/>
        </w:rPr>
        <w:t>Retrospective study from 2006 to 2008. </w:t>
      </w:r>
    </w:p>
    <w:p w14:paraId="305E42B4" w14:textId="4FCDFEAB" w:rsidR="009540E8" w:rsidRPr="002E185B" w:rsidRDefault="009540E8" w:rsidP="009540E8">
      <w:pPr>
        <w:widowControl w:val="0"/>
        <w:autoSpaceDE w:val="0"/>
        <w:autoSpaceDN w:val="0"/>
        <w:adjustRightInd w:val="0"/>
        <w:spacing w:after="240"/>
        <w:rPr>
          <w:rFonts w:cs="Palatino"/>
          <w:sz w:val="22"/>
          <w:szCs w:val="22"/>
        </w:rPr>
      </w:pPr>
      <w:r w:rsidRPr="002E185B">
        <w:rPr>
          <w:rFonts w:cs="Palatino"/>
          <w:sz w:val="22"/>
          <w:szCs w:val="22"/>
        </w:rPr>
        <w:t xml:space="preserve">Evaluation of records of dog and cat cases were reviewed from the American Society for the </w:t>
      </w:r>
      <w:r w:rsidRPr="002E185B">
        <w:rPr>
          <w:rFonts w:cs="Palatino"/>
          <w:sz w:val="22"/>
          <w:szCs w:val="22"/>
        </w:rPr>
        <w:lastRenderedPageBreak/>
        <w:t>Prevention of Cruelty to Animals, Animal Poison Control Center database.</w:t>
      </w:r>
    </w:p>
    <w:p w14:paraId="2CAFC043" w14:textId="77777777" w:rsidR="009540E8" w:rsidRPr="002E185B" w:rsidRDefault="009540E8" w:rsidP="009540E8">
      <w:pPr>
        <w:widowControl w:val="0"/>
        <w:autoSpaceDE w:val="0"/>
        <w:autoSpaceDN w:val="0"/>
        <w:adjustRightInd w:val="0"/>
        <w:spacing w:after="240"/>
        <w:rPr>
          <w:rFonts w:cs="Palatino"/>
          <w:sz w:val="22"/>
          <w:szCs w:val="22"/>
        </w:rPr>
      </w:pPr>
      <w:r w:rsidRPr="002E185B">
        <w:rPr>
          <w:rFonts w:cs="Palatino"/>
          <w:b/>
          <w:bCs/>
          <w:sz w:val="22"/>
          <w:szCs w:val="22"/>
        </w:rPr>
        <w:t xml:space="preserve">Animals: </w:t>
      </w:r>
      <w:r w:rsidRPr="002E185B">
        <w:rPr>
          <w:rFonts w:cs="Palatino"/>
          <w:sz w:val="22"/>
          <w:szCs w:val="22"/>
        </w:rPr>
        <w:t>Thirty-nine cats and 9 dogs with history of exposure to natural flea preventatives. </w:t>
      </w:r>
    </w:p>
    <w:p w14:paraId="4C1FA922" w14:textId="77777777" w:rsidR="009540E8" w:rsidRPr="002E185B" w:rsidRDefault="009540E8" w:rsidP="009540E8">
      <w:pPr>
        <w:widowControl w:val="0"/>
        <w:autoSpaceDE w:val="0"/>
        <w:autoSpaceDN w:val="0"/>
        <w:adjustRightInd w:val="0"/>
        <w:spacing w:after="240"/>
        <w:rPr>
          <w:rFonts w:cs="Palatino"/>
          <w:b/>
          <w:bCs/>
          <w:sz w:val="22"/>
          <w:szCs w:val="22"/>
        </w:rPr>
      </w:pPr>
      <w:r w:rsidRPr="002E185B">
        <w:rPr>
          <w:rFonts w:cs="Palatino"/>
          <w:b/>
          <w:bCs/>
          <w:sz w:val="22"/>
          <w:szCs w:val="22"/>
        </w:rPr>
        <w:t>Measurements and Main Results:</w:t>
      </w:r>
    </w:p>
    <w:p w14:paraId="177E2D9F" w14:textId="117E2104" w:rsidR="008A2AEA" w:rsidRPr="002E185B" w:rsidRDefault="009540E8" w:rsidP="008A2AEA">
      <w:pPr>
        <w:pStyle w:val="ListParagraph"/>
        <w:widowControl w:val="0"/>
        <w:numPr>
          <w:ilvl w:val="0"/>
          <w:numId w:val="1"/>
        </w:numPr>
        <w:autoSpaceDE w:val="0"/>
        <w:autoSpaceDN w:val="0"/>
        <w:adjustRightInd w:val="0"/>
        <w:spacing w:after="240"/>
        <w:rPr>
          <w:rFonts w:cs="Palatino"/>
          <w:sz w:val="22"/>
          <w:szCs w:val="22"/>
        </w:rPr>
      </w:pPr>
      <w:r w:rsidRPr="002E185B">
        <w:rPr>
          <w:rFonts w:cs="Palatino"/>
          <w:sz w:val="22"/>
          <w:szCs w:val="22"/>
        </w:rPr>
        <w:t xml:space="preserve">The following information was retrieved from each incident: number of animals, species involved, frequency, types, onset time, duration of clinical signs, exposure appropriateness, final outcome, and treatment information. </w:t>
      </w:r>
    </w:p>
    <w:p w14:paraId="5E5A774D" w14:textId="77777777" w:rsidR="008A2AEA" w:rsidRPr="002E185B" w:rsidRDefault="009540E8" w:rsidP="008A2AEA">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Ninety-two percent of animals (</w:t>
      </w:r>
      <w:r w:rsidRPr="002E185B">
        <w:rPr>
          <w:rFonts w:cs="Palatino"/>
          <w:i/>
          <w:iCs/>
          <w:sz w:val="22"/>
          <w:szCs w:val="22"/>
        </w:rPr>
        <w:t xml:space="preserve">n </w:t>
      </w:r>
      <w:r w:rsidRPr="002E185B">
        <w:rPr>
          <w:rFonts w:cs="Times"/>
          <w:sz w:val="22"/>
          <w:szCs w:val="22"/>
        </w:rPr>
        <w:t xml:space="preserve">= </w:t>
      </w:r>
      <w:r w:rsidRPr="002E185B">
        <w:rPr>
          <w:rFonts w:cs="Palatino"/>
          <w:sz w:val="22"/>
          <w:szCs w:val="22"/>
        </w:rPr>
        <w:t xml:space="preserve">44) showed presence of one or more adverse effects. </w:t>
      </w:r>
    </w:p>
    <w:p w14:paraId="7C4103A9" w14:textId="77777777" w:rsidR="008A2AEA" w:rsidRPr="002E185B" w:rsidRDefault="009540E8" w:rsidP="008A2AEA">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 frequency of adverse effects in dogs (</w:t>
      </w:r>
      <w:r w:rsidRPr="002E185B">
        <w:rPr>
          <w:rFonts w:cs="Palatino"/>
          <w:i/>
          <w:iCs/>
          <w:sz w:val="22"/>
          <w:szCs w:val="22"/>
        </w:rPr>
        <w:t xml:space="preserve">n </w:t>
      </w:r>
      <w:r w:rsidRPr="002E185B">
        <w:rPr>
          <w:rFonts w:cs="Times"/>
          <w:sz w:val="22"/>
          <w:szCs w:val="22"/>
        </w:rPr>
        <w:t xml:space="preserve">= </w:t>
      </w:r>
      <w:r w:rsidRPr="002E185B">
        <w:rPr>
          <w:rFonts w:cs="Palatino"/>
          <w:sz w:val="22"/>
          <w:szCs w:val="22"/>
        </w:rPr>
        <w:t xml:space="preserve">8; 89%) and cats (n </w:t>
      </w:r>
      <w:r w:rsidRPr="002E185B">
        <w:rPr>
          <w:rFonts w:cs="Times"/>
          <w:sz w:val="22"/>
          <w:szCs w:val="22"/>
        </w:rPr>
        <w:t xml:space="preserve">= </w:t>
      </w:r>
      <w:r w:rsidR="008A2AEA" w:rsidRPr="002E185B">
        <w:rPr>
          <w:rFonts w:cs="Palatino"/>
          <w:sz w:val="22"/>
          <w:szCs w:val="22"/>
        </w:rPr>
        <w:t xml:space="preserve">36; 92%) </w:t>
      </w:r>
    </w:p>
    <w:p w14:paraId="71F7F4AC" w14:textId="77777777" w:rsidR="008A2AEA" w:rsidRPr="002E185B" w:rsidRDefault="009540E8" w:rsidP="008A2AEA">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 xml:space="preserve">Onset time of adverse effects in 39 of 44 animals occurred within 24 hours. The duration of signs in 24 animals ranged from 30 minutes to 149 hours. </w:t>
      </w:r>
    </w:p>
    <w:p w14:paraId="42029E5E" w14:textId="42DFC4FA" w:rsidR="00B540B9" w:rsidRPr="002E185B" w:rsidRDefault="00B540B9" w:rsidP="00A41B6D">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In 88% (</w:t>
      </w:r>
      <w:r w:rsidRPr="002E185B">
        <w:rPr>
          <w:rFonts w:cs="Palatino"/>
          <w:i/>
          <w:iCs/>
          <w:sz w:val="22"/>
          <w:szCs w:val="22"/>
        </w:rPr>
        <w:t xml:space="preserve">n </w:t>
      </w:r>
      <w:r w:rsidRPr="002E185B">
        <w:rPr>
          <w:rFonts w:cs="Times"/>
          <w:sz w:val="22"/>
          <w:szCs w:val="22"/>
        </w:rPr>
        <w:t xml:space="preserve">= </w:t>
      </w:r>
      <w:r w:rsidRPr="002E185B">
        <w:rPr>
          <w:rFonts w:cs="Palatino"/>
          <w:sz w:val="22"/>
          <w:szCs w:val="22"/>
        </w:rPr>
        <w:t>21) of animals clinical signs resolved within 72 hours.</w:t>
      </w:r>
    </w:p>
    <w:p w14:paraId="2A5279B9" w14:textId="77777777" w:rsidR="00A41B6D" w:rsidRPr="002E185B" w:rsidRDefault="00A41B6D" w:rsidP="00A41B6D">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Behavioral changes were more commonly reported in cats than dogs. Central nervous system signs were reported in both species. Cats had higher incidences of seizures and tremors and dogs had a higher incidence of lethargy.</w:t>
      </w:r>
    </w:p>
    <w:p w14:paraId="4CC1FE4F" w14:textId="4462B256" w:rsidR="008A2AEA" w:rsidRPr="002E185B" w:rsidRDefault="00A41B6D" w:rsidP="00E6396E">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Clinical signs with inappropriate use were similar to clinical signs when the products were used as per label directions.</w:t>
      </w:r>
    </w:p>
    <w:p w14:paraId="1A4C921D" w14:textId="77777777" w:rsidR="008A2AEA" w:rsidRPr="002E185B" w:rsidRDefault="009540E8" w:rsidP="008A2AEA">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Of 28 animals with known outcome, 50% (</w:t>
      </w:r>
      <w:r w:rsidRPr="002E185B">
        <w:rPr>
          <w:rFonts w:cs="Palatino"/>
          <w:i/>
          <w:iCs/>
          <w:sz w:val="22"/>
          <w:szCs w:val="22"/>
        </w:rPr>
        <w:t xml:space="preserve">n </w:t>
      </w:r>
      <w:r w:rsidRPr="002E185B">
        <w:rPr>
          <w:rFonts w:cs="Times"/>
          <w:sz w:val="22"/>
          <w:szCs w:val="22"/>
        </w:rPr>
        <w:t xml:space="preserve">= </w:t>
      </w:r>
      <w:r w:rsidRPr="002E185B">
        <w:rPr>
          <w:rFonts w:cs="Palatino"/>
          <w:sz w:val="22"/>
          <w:szCs w:val="22"/>
        </w:rPr>
        <w:t xml:space="preserve">14) recovered with bathing alone while others received intravenous fluids, muscle relaxants, and anticonvulsive medications. Death (1 cat; </w:t>
      </w:r>
      <w:r w:rsidRPr="002E185B">
        <w:rPr>
          <w:rFonts w:cs="Palatino"/>
          <w:i/>
          <w:iCs/>
          <w:sz w:val="22"/>
          <w:szCs w:val="22"/>
        </w:rPr>
        <w:t xml:space="preserve">n </w:t>
      </w:r>
      <w:r w:rsidRPr="002E185B">
        <w:rPr>
          <w:rFonts w:cs="Times"/>
          <w:sz w:val="22"/>
          <w:szCs w:val="22"/>
        </w:rPr>
        <w:t xml:space="preserve">= </w:t>
      </w:r>
      <w:r w:rsidRPr="002E185B">
        <w:rPr>
          <w:rFonts w:cs="Palatino"/>
          <w:sz w:val="22"/>
          <w:szCs w:val="22"/>
        </w:rPr>
        <w:t xml:space="preserve">1/28; 4%) or euthanasia (1 cat and 1 dog; </w:t>
      </w:r>
      <w:r w:rsidRPr="002E185B">
        <w:rPr>
          <w:rFonts w:cs="Palatino"/>
          <w:i/>
          <w:iCs/>
          <w:sz w:val="22"/>
          <w:szCs w:val="22"/>
        </w:rPr>
        <w:t xml:space="preserve">n </w:t>
      </w:r>
      <w:r w:rsidRPr="002E185B">
        <w:rPr>
          <w:rFonts w:cs="Times"/>
          <w:sz w:val="22"/>
          <w:szCs w:val="22"/>
        </w:rPr>
        <w:t xml:space="preserve">= </w:t>
      </w:r>
      <w:r w:rsidRPr="002E185B">
        <w:rPr>
          <w:rFonts w:cs="Palatino"/>
          <w:sz w:val="22"/>
          <w:szCs w:val="22"/>
        </w:rPr>
        <w:t>2/28; 7%) was reported in 3 animals. </w:t>
      </w:r>
    </w:p>
    <w:p w14:paraId="5A7E1B5B" w14:textId="7CC2836E" w:rsidR="00A26A60" w:rsidRPr="002E185B" w:rsidRDefault="009540E8" w:rsidP="008A2AEA">
      <w:pPr>
        <w:widowControl w:val="0"/>
        <w:autoSpaceDE w:val="0"/>
        <w:autoSpaceDN w:val="0"/>
        <w:adjustRightInd w:val="0"/>
        <w:spacing w:after="240"/>
        <w:rPr>
          <w:rFonts w:cs="Palatino"/>
          <w:sz w:val="22"/>
          <w:szCs w:val="22"/>
        </w:rPr>
      </w:pPr>
      <w:r w:rsidRPr="002E185B">
        <w:rPr>
          <w:rFonts w:cs="Palatino"/>
          <w:b/>
          <w:bCs/>
          <w:sz w:val="22"/>
          <w:szCs w:val="22"/>
        </w:rPr>
        <w:t>Conclusion</w:t>
      </w:r>
      <w:r w:rsidR="008A2AEA" w:rsidRPr="002E185B">
        <w:rPr>
          <w:rFonts w:cs="Palatino"/>
          <w:b/>
          <w:bCs/>
          <w:sz w:val="22"/>
          <w:szCs w:val="22"/>
        </w:rPr>
        <w:t xml:space="preserve">: </w:t>
      </w:r>
      <w:r w:rsidRPr="002E185B">
        <w:rPr>
          <w:rFonts w:cs="Palatino"/>
          <w:sz w:val="22"/>
          <w:szCs w:val="22"/>
        </w:rPr>
        <w:t>Dogs and cats can experience significant adverse effects when exposed to plant-derived flea preventatives even when used according to label directions. The number of reports of exposure in cats was higher than dogs, but the frequency of reported adverse effects was similar between the 2 species. Agitation and hypersalivation were common in cats, whereas lethargy and vomiting were common in dogs.</w:t>
      </w:r>
    </w:p>
    <w:p w14:paraId="7F806527" w14:textId="0D2482B9" w:rsidR="008E57B7" w:rsidRPr="002E185B" w:rsidRDefault="004F7AC1" w:rsidP="008E57B7">
      <w:pPr>
        <w:widowControl w:val="0"/>
        <w:autoSpaceDE w:val="0"/>
        <w:autoSpaceDN w:val="0"/>
        <w:adjustRightInd w:val="0"/>
        <w:spacing w:after="240"/>
        <w:rPr>
          <w:rFonts w:cs="Palatino"/>
          <w:b/>
          <w:sz w:val="22"/>
          <w:szCs w:val="22"/>
        </w:rPr>
      </w:pPr>
      <w:r w:rsidRPr="002E185B">
        <w:rPr>
          <w:rFonts w:cs="Palatino"/>
          <w:b/>
          <w:sz w:val="22"/>
          <w:szCs w:val="22"/>
        </w:rPr>
        <w:t>Other:</w:t>
      </w:r>
    </w:p>
    <w:p w14:paraId="5B68F7AF" w14:textId="2ECA1353" w:rsidR="004F7AC1" w:rsidRPr="002E185B" w:rsidRDefault="004F7AC1" w:rsidP="004F7AC1">
      <w:pPr>
        <w:pStyle w:val="ListParagraph"/>
        <w:widowControl w:val="0"/>
        <w:numPr>
          <w:ilvl w:val="0"/>
          <w:numId w:val="1"/>
        </w:numPr>
        <w:autoSpaceDE w:val="0"/>
        <w:autoSpaceDN w:val="0"/>
        <w:adjustRightInd w:val="0"/>
        <w:spacing w:after="240"/>
        <w:rPr>
          <w:rFonts w:cs="Palatino"/>
          <w:position w:val="8"/>
          <w:sz w:val="22"/>
          <w:szCs w:val="22"/>
        </w:rPr>
      </w:pPr>
      <w:r w:rsidRPr="002E185B">
        <w:rPr>
          <w:rFonts w:cs="Palatino"/>
          <w:sz w:val="22"/>
          <w:szCs w:val="22"/>
        </w:rPr>
        <w:t>Essential oils are a class of volatile oils composed of a mixture of complex hydrocarbons (terpenes) and other chemicals extracted from a plant.</w:t>
      </w:r>
    </w:p>
    <w:p w14:paraId="2AC64803" w14:textId="64F2CF89" w:rsidR="004F7AC1" w:rsidRPr="002E185B" w:rsidRDefault="004F7AC1" w:rsidP="004F7AC1">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Isoprene, a 5 carbon unit joined together in a ring-like structure by carbon atoms, is the basic building block of most essential oils.</w:t>
      </w:r>
    </w:p>
    <w:p w14:paraId="0A53F1E9" w14:textId="0C33A2B3" w:rsidR="004F7AC1" w:rsidRPr="002E185B" w:rsidRDefault="004F7AC1" w:rsidP="004F7AC1">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Certain plant-derived natural flea products containing minimum risk pesticides are exempt from the Environmental Protection Agency (EPA) registration regulations because their ingredients, both active and inert, are demonstrably safe for the intended use</w:t>
      </w:r>
    </w:p>
    <w:p w14:paraId="41250E5C" w14:textId="77777777" w:rsidR="00A26A60" w:rsidRPr="002E185B" w:rsidRDefault="00A26A60" w:rsidP="00A26A6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Rapid action against some pests indicates a neurotoxic mode of action, although exact mechanisms of action of insecticidal activity are not well understood.</w:t>
      </w:r>
    </w:p>
    <w:p w14:paraId="7E002CA0" w14:textId="2265220B" w:rsidR="00A26A60" w:rsidRPr="002E185B" w:rsidRDefault="00A26A60" w:rsidP="00A26A6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There is evidence that some essenti</w:t>
      </w:r>
      <w:r w:rsidR="00E6396E" w:rsidRPr="002E185B">
        <w:rPr>
          <w:rFonts w:cs="Palatino"/>
          <w:sz w:val="22"/>
          <w:szCs w:val="22"/>
        </w:rPr>
        <w:t>al oils interfere with the neu</w:t>
      </w:r>
      <w:r w:rsidRPr="002E185B">
        <w:rPr>
          <w:rFonts w:cs="Palatino"/>
          <w:sz w:val="22"/>
          <w:szCs w:val="22"/>
        </w:rPr>
        <w:t>romodulator biogenic amine octopamine in some insects and gamma-aminobutyric acid (GABA)-gated chloride channels in others</w:t>
      </w:r>
    </w:p>
    <w:p w14:paraId="1F36FFBD" w14:textId="2D794E1E" w:rsidR="00A26A60" w:rsidRPr="002E185B" w:rsidRDefault="00A26A60" w:rsidP="00A26A6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Ingredients listed in this case series are not under regulatory control of the EPA, they may be contaminated or adulterated with other chemicals or may not contain the same concentration of essential oil as listed on the label.</w:t>
      </w:r>
    </w:p>
    <w:p w14:paraId="74BCC3F9" w14:textId="2ED2FCA5" w:rsidR="00A26A60" w:rsidRPr="002E185B" w:rsidRDefault="00A26A60" w:rsidP="00A26A6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lastRenderedPageBreak/>
        <w:t>If essential oils are mixed with other organic solvents such as alcohols or surfactants that remove lipids from stratum corneum, the absorption of terpenes in essential oils can increase resulting in increased toxicosis.</w:t>
      </w:r>
      <w:r w:rsidRPr="002E185B">
        <w:rPr>
          <w:rFonts w:cs="Palatino"/>
          <w:position w:val="8"/>
          <w:sz w:val="22"/>
          <w:szCs w:val="22"/>
        </w:rPr>
        <w:t xml:space="preserve"> </w:t>
      </w:r>
      <w:r w:rsidRPr="002E185B">
        <w:rPr>
          <w:rFonts w:cs="Palatino"/>
          <w:sz w:val="22"/>
          <w:szCs w:val="22"/>
        </w:rPr>
        <w:t>All plant-derived flea products reviewed in this case series contained either the organic solvent isopropyl myristate or surfactant sodium lauryl sulfate.</w:t>
      </w:r>
    </w:p>
    <w:p w14:paraId="22057502" w14:textId="77777777" w:rsidR="00A26A60" w:rsidRPr="002E185B" w:rsidRDefault="00A26A60" w:rsidP="00A26A6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Terpenes are rapidly absorbed orally and dermally due to their lipophilic nature.</w:t>
      </w:r>
      <w:r w:rsidRPr="002E185B">
        <w:rPr>
          <w:rFonts w:cs="Palatino"/>
          <w:position w:val="8"/>
          <w:sz w:val="22"/>
          <w:szCs w:val="22"/>
        </w:rPr>
        <w:t xml:space="preserve"> </w:t>
      </w:r>
      <w:r w:rsidRPr="002E185B">
        <w:rPr>
          <w:rFonts w:cs="Palatino"/>
          <w:sz w:val="22"/>
          <w:szCs w:val="22"/>
        </w:rPr>
        <w:t>Following absorption, terpenes are metabolized in the liver and conjugated to glucuronide and glycine conjugates.</w:t>
      </w:r>
    </w:p>
    <w:p w14:paraId="137A39D2" w14:textId="7B1E5AAD" w:rsidR="00A26A60" w:rsidRPr="002E185B" w:rsidRDefault="00A26A60" w:rsidP="00A26A6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Repeated exposures to essential oils can induce the hepatic enzymes, cytochrome p-450, and UPD-glycuronyl transferase systems.</w:t>
      </w:r>
      <w:r w:rsidRPr="002E185B">
        <w:rPr>
          <w:rFonts w:cs="Palatino"/>
          <w:position w:val="8"/>
          <w:sz w:val="22"/>
          <w:szCs w:val="22"/>
        </w:rPr>
        <w:t xml:space="preserve"> </w:t>
      </w:r>
      <w:r w:rsidRPr="002E185B">
        <w:rPr>
          <w:rFonts w:cs="Palatino"/>
          <w:sz w:val="22"/>
          <w:szCs w:val="22"/>
        </w:rPr>
        <w:t xml:space="preserve"> </w:t>
      </w:r>
    </w:p>
    <w:p w14:paraId="7928E192" w14:textId="712877ED" w:rsidR="00A26A60" w:rsidRPr="002E185B" w:rsidRDefault="00A26A60" w:rsidP="00A26A6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Cats might be more sensitive to essential oil toxicity due to their limited ability to glucoronidate.</w:t>
      </w:r>
    </w:p>
    <w:p w14:paraId="2F589116" w14:textId="29CBB4EA" w:rsidR="00A26A60" w:rsidRPr="002E185B" w:rsidRDefault="00A26A60" w:rsidP="00A26A6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Treatment of essential oil toxicosis consists of dermal decontamination, stabilization of vital functions, and supportive care. Administration of activated charcoal may help in cats with oral exposure following grooming treated hair.</w:t>
      </w:r>
      <w:r w:rsidRPr="002E185B">
        <w:rPr>
          <w:rFonts w:cs="Palatino"/>
          <w:position w:val="8"/>
          <w:sz w:val="22"/>
          <w:szCs w:val="22"/>
        </w:rPr>
        <w:t xml:space="preserve"> </w:t>
      </w:r>
      <w:r w:rsidRPr="002E185B">
        <w:rPr>
          <w:rFonts w:cs="Palatino"/>
          <w:sz w:val="22"/>
          <w:szCs w:val="22"/>
        </w:rPr>
        <w:t>Although not proven, activated charcoal may bind terpenes and prevent further absorption</w:t>
      </w:r>
    </w:p>
    <w:p w14:paraId="195424EE" w14:textId="06E8512C" w:rsidR="004F7AC1" w:rsidRPr="002E185B" w:rsidRDefault="00A26A60" w:rsidP="004F7AC1">
      <w:pPr>
        <w:pStyle w:val="ListParagraph"/>
        <w:widowControl w:val="0"/>
        <w:numPr>
          <w:ilvl w:val="0"/>
          <w:numId w:val="1"/>
        </w:numPr>
        <w:autoSpaceDE w:val="0"/>
        <w:autoSpaceDN w:val="0"/>
        <w:adjustRightInd w:val="0"/>
        <w:spacing w:after="240"/>
        <w:rPr>
          <w:rFonts w:cs="Times"/>
          <w:sz w:val="22"/>
          <w:szCs w:val="22"/>
        </w:rPr>
      </w:pPr>
      <w:r w:rsidRPr="002E185B">
        <w:rPr>
          <w:rFonts w:cs="Times"/>
          <w:sz w:val="22"/>
          <w:szCs w:val="22"/>
        </w:rPr>
        <w:t>Induction of emesis is not recommended as there is risk of aspiration and inhalational injury (volatile hydrocardons)</w:t>
      </w:r>
    </w:p>
    <w:p w14:paraId="05690421" w14:textId="63D3641B" w:rsidR="00A26A60" w:rsidRPr="002E185B" w:rsidRDefault="00A26A60" w:rsidP="00A26A60">
      <w:pPr>
        <w:pStyle w:val="ListParagraph"/>
        <w:widowControl w:val="0"/>
        <w:numPr>
          <w:ilvl w:val="0"/>
          <w:numId w:val="1"/>
        </w:numPr>
        <w:autoSpaceDE w:val="0"/>
        <w:autoSpaceDN w:val="0"/>
        <w:adjustRightInd w:val="0"/>
        <w:spacing w:after="240"/>
        <w:rPr>
          <w:rFonts w:cs="Times"/>
          <w:sz w:val="22"/>
          <w:szCs w:val="22"/>
        </w:rPr>
      </w:pPr>
      <w:r w:rsidRPr="002E185B">
        <w:rPr>
          <w:rFonts w:cs="Palatino"/>
          <w:sz w:val="22"/>
          <w:szCs w:val="22"/>
        </w:rPr>
        <w:t>Because terpenes and their metabolites are largely eliminated via the kidney, avoidance of hypovolemia may facilitate excretion</w:t>
      </w:r>
    </w:p>
    <w:p w14:paraId="197EC87F" w14:textId="77777777" w:rsidR="00A26A60" w:rsidRPr="002E185B" w:rsidRDefault="00A26A60" w:rsidP="00B3007E">
      <w:pPr>
        <w:pStyle w:val="ListParagraph"/>
        <w:widowControl w:val="0"/>
        <w:autoSpaceDE w:val="0"/>
        <w:autoSpaceDN w:val="0"/>
        <w:adjustRightInd w:val="0"/>
        <w:spacing w:after="240"/>
        <w:rPr>
          <w:rFonts w:cs="Times"/>
          <w:sz w:val="22"/>
          <w:szCs w:val="22"/>
        </w:rPr>
      </w:pPr>
    </w:p>
    <w:p w14:paraId="07F2EAC0" w14:textId="1E7F476B" w:rsidR="004F7AC1" w:rsidRPr="002E185B" w:rsidRDefault="00E6396E" w:rsidP="008E57B7">
      <w:pPr>
        <w:widowControl w:val="0"/>
        <w:autoSpaceDE w:val="0"/>
        <w:autoSpaceDN w:val="0"/>
        <w:adjustRightInd w:val="0"/>
        <w:spacing w:after="240"/>
        <w:rPr>
          <w:rFonts w:cs="Palatino"/>
          <w:b/>
          <w:sz w:val="22"/>
          <w:szCs w:val="22"/>
        </w:rPr>
      </w:pPr>
      <w:r w:rsidRPr="002E185B">
        <w:rPr>
          <w:rFonts w:cs="Palatino"/>
          <w:b/>
          <w:sz w:val="22"/>
          <w:szCs w:val="22"/>
        </w:rPr>
        <w:t>Questions:</w:t>
      </w:r>
    </w:p>
    <w:p w14:paraId="1CD7D125" w14:textId="3016EA93" w:rsidR="00E6396E" w:rsidRPr="002E185B" w:rsidRDefault="00E6396E" w:rsidP="00E6396E">
      <w:pPr>
        <w:pStyle w:val="ListParagraph"/>
        <w:widowControl w:val="0"/>
        <w:numPr>
          <w:ilvl w:val="0"/>
          <w:numId w:val="12"/>
        </w:numPr>
        <w:autoSpaceDE w:val="0"/>
        <w:autoSpaceDN w:val="0"/>
        <w:adjustRightInd w:val="0"/>
        <w:spacing w:after="240"/>
        <w:rPr>
          <w:rFonts w:cs="Palatino"/>
          <w:sz w:val="22"/>
          <w:szCs w:val="22"/>
        </w:rPr>
      </w:pPr>
      <w:r w:rsidRPr="002E185B">
        <w:rPr>
          <w:rFonts w:cs="Palatino"/>
          <w:sz w:val="22"/>
          <w:szCs w:val="22"/>
        </w:rPr>
        <w:t>What is an essential oil?</w:t>
      </w:r>
    </w:p>
    <w:p w14:paraId="4CAC1C3A" w14:textId="7A31CB43" w:rsidR="00E6396E" w:rsidRPr="002E185B" w:rsidRDefault="00E6396E" w:rsidP="00E6396E">
      <w:pPr>
        <w:pStyle w:val="ListParagraph"/>
        <w:widowControl w:val="0"/>
        <w:numPr>
          <w:ilvl w:val="0"/>
          <w:numId w:val="12"/>
        </w:numPr>
        <w:autoSpaceDE w:val="0"/>
        <w:autoSpaceDN w:val="0"/>
        <w:adjustRightInd w:val="0"/>
        <w:spacing w:after="240"/>
        <w:rPr>
          <w:rFonts w:cs="Palatino"/>
          <w:sz w:val="22"/>
          <w:szCs w:val="22"/>
        </w:rPr>
      </w:pPr>
      <w:r w:rsidRPr="002E185B">
        <w:rPr>
          <w:rFonts w:cs="Palatino"/>
          <w:sz w:val="22"/>
          <w:szCs w:val="22"/>
        </w:rPr>
        <w:t>What are some issued with not being under the regulation of EPA</w:t>
      </w:r>
    </w:p>
    <w:p w14:paraId="6FB9E500" w14:textId="083480D9" w:rsidR="00D42D3B" w:rsidRPr="002E185B" w:rsidRDefault="00D42D3B" w:rsidP="00E6396E">
      <w:pPr>
        <w:pStyle w:val="ListParagraph"/>
        <w:widowControl w:val="0"/>
        <w:numPr>
          <w:ilvl w:val="0"/>
          <w:numId w:val="12"/>
        </w:numPr>
        <w:autoSpaceDE w:val="0"/>
        <w:autoSpaceDN w:val="0"/>
        <w:adjustRightInd w:val="0"/>
        <w:spacing w:after="240"/>
        <w:rPr>
          <w:rFonts w:cs="Palatino"/>
          <w:sz w:val="22"/>
          <w:szCs w:val="22"/>
        </w:rPr>
      </w:pPr>
      <w:r w:rsidRPr="002E185B">
        <w:rPr>
          <w:rFonts w:cs="Palatino"/>
          <w:sz w:val="22"/>
          <w:szCs w:val="22"/>
        </w:rPr>
        <w:t>Was the frequency of adverse effects similar between dogs and cats?</w:t>
      </w:r>
    </w:p>
    <w:p w14:paraId="30CB742C" w14:textId="613FB589" w:rsidR="00D42D3B" w:rsidRPr="002E185B" w:rsidRDefault="00D42D3B" w:rsidP="00E6396E">
      <w:pPr>
        <w:pStyle w:val="ListParagraph"/>
        <w:widowControl w:val="0"/>
        <w:numPr>
          <w:ilvl w:val="0"/>
          <w:numId w:val="12"/>
        </w:numPr>
        <w:autoSpaceDE w:val="0"/>
        <w:autoSpaceDN w:val="0"/>
        <w:adjustRightInd w:val="0"/>
        <w:spacing w:after="240"/>
        <w:rPr>
          <w:rFonts w:cs="Palatino"/>
          <w:sz w:val="22"/>
          <w:szCs w:val="22"/>
        </w:rPr>
      </w:pPr>
      <w:r w:rsidRPr="002E185B">
        <w:rPr>
          <w:rFonts w:cs="Palatino"/>
          <w:sz w:val="22"/>
          <w:szCs w:val="22"/>
        </w:rPr>
        <w:t>Were clinical signs similar between those that were treated appropriately vs inappropriately?</w:t>
      </w:r>
    </w:p>
    <w:p w14:paraId="64242527" w14:textId="5BD7723E" w:rsidR="00D42D3B" w:rsidRPr="002E185B" w:rsidRDefault="00D42D3B" w:rsidP="00E6396E">
      <w:pPr>
        <w:pStyle w:val="ListParagraph"/>
        <w:widowControl w:val="0"/>
        <w:numPr>
          <w:ilvl w:val="0"/>
          <w:numId w:val="12"/>
        </w:numPr>
        <w:autoSpaceDE w:val="0"/>
        <w:autoSpaceDN w:val="0"/>
        <w:adjustRightInd w:val="0"/>
        <w:spacing w:after="240"/>
        <w:rPr>
          <w:rFonts w:cs="Palatino"/>
          <w:sz w:val="22"/>
          <w:szCs w:val="22"/>
        </w:rPr>
      </w:pPr>
      <w:r w:rsidRPr="002E185B">
        <w:rPr>
          <w:rFonts w:cs="Palatino"/>
          <w:sz w:val="22"/>
          <w:szCs w:val="22"/>
        </w:rPr>
        <w:t>What is their suggested mechanism of action against pests?</w:t>
      </w:r>
    </w:p>
    <w:p w14:paraId="7346AEBB" w14:textId="5E5116AE" w:rsidR="00D42D3B" w:rsidRPr="002E185B" w:rsidRDefault="00D42D3B" w:rsidP="00E6396E">
      <w:pPr>
        <w:pStyle w:val="ListParagraph"/>
        <w:widowControl w:val="0"/>
        <w:numPr>
          <w:ilvl w:val="0"/>
          <w:numId w:val="12"/>
        </w:numPr>
        <w:autoSpaceDE w:val="0"/>
        <w:autoSpaceDN w:val="0"/>
        <w:adjustRightInd w:val="0"/>
        <w:spacing w:after="240"/>
        <w:rPr>
          <w:rFonts w:cs="Palatino"/>
          <w:sz w:val="22"/>
          <w:szCs w:val="22"/>
        </w:rPr>
      </w:pPr>
      <w:r w:rsidRPr="002E185B">
        <w:rPr>
          <w:rFonts w:cs="Palatino"/>
          <w:sz w:val="22"/>
          <w:szCs w:val="22"/>
        </w:rPr>
        <w:t>What organ are terpines metabolized in? How are terpines and their metabolites eliminated?</w:t>
      </w:r>
    </w:p>
    <w:p w14:paraId="0A929155" w14:textId="77777777" w:rsidR="008E57B7" w:rsidRPr="002E185B" w:rsidRDefault="008E57B7" w:rsidP="008E57B7">
      <w:pPr>
        <w:widowControl w:val="0"/>
        <w:autoSpaceDE w:val="0"/>
        <w:autoSpaceDN w:val="0"/>
        <w:adjustRightInd w:val="0"/>
        <w:spacing w:after="240"/>
        <w:rPr>
          <w:rFonts w:cs="Palatino"/>
          <w:sz w:val="22"/>
          <w:szCs w:val="22"/>
        </w:rPr>
      </w:pPr>
    </w:p>
    <w:p w14:paraId="33DE1B42" w14:textId="77777777" w:rsidR="008E57B7" w:rsidRPr="002E185B" w:rsidRDefault="008E57B7" w:rsidP="008E57B7">
      <w:pPr>
        <w:widowControl w:val="0"/>
        <w:autoSpaceDE w:val="0"/>
        <w:autoSpaceDN w:val="0"/>
        <w:adjustRightInd w:val="0"/>
        <w:spacing w:after="240"/>
        <w:rPr>
          <w:rFonts w:cs="Palatino"/>
          <w:sz w:val="22"/>
          <w:szCs w:val="22"/>
        </w:rPr>
      </w:pPr>
    </w:p>
    <w:p w14:paraId="6AC88159" w14:textId="77777777" w:rsidR="008E57B7" w:rsidRPr="002E185B" w:rsidRDefault="008E57B7" w:rsidP="008E57B7">
      <w:pPr>
        <w:widowControl w:val="0"/>
        <w:autoSpaceDE w:val="0"/>
        <w:autoSpaceDN w:val="0"/>
        <w:adjustRightInd w:val="0"/>
        <w:spacing w:after="240"/>
        <w:rPr>
          <w:rFonts w:cs="Palatino"/>
          <w:sz w:val="22"/>
          <w:szCs w:val="22"/>
        </w:rPr>
      </w:pPr>
    </w:p>
    <w:p w14:paraId="29173363" w14:textId="77777777" w:rsidR="008E57B7" w:rsidRPr="002E185B" w:rsidRDefault="008E57B7" w:rsidP="008E57B7">
      <w:pPr>
        <w:widowControl w:val="0"/>
        <w:autoSpaceDE w:val="0"/>
        <w:autoSpaceDN w:val="0"/>
        <w:adjustRightInd w:val="0"/>
        <w:spacing w:after="240"/>
        <w:rPr>
          <w:rFonts w:cs="Palatino"/>
          <w:sz w:val="22"/>
          <w:szCs w:val="22"/>
        </w:rPr>
      </w:pPr>
    </w:p>
    <w:p w14:paraId="7A1B20C6" w14:textId="77777777" w:rsidR="008E57B7" w:rsidRPr="002E185B" w:rsidRDefault="008E57B7" w:rsidP="008E57B7">
      <w:pPr>
        <w:widowControl w:val="0"/>
        <w:autoSpaceDE w:val="0"/>
        <w:autoSpaceDN w:val="0"/>
        <w:adjustRightInd w:val="0"/>
        <w:spacing w:after="240"/>
        <w:rPr>
          <w:rFonts w:cs="Palatino"/>
          <w:sz w:val="22"/>
          <w:szCs w:val="22"/>
        </w:rPr>
      </w:pPr>
    </w:p>
    <w:p w14:paraId="4FD2A189" w14:textId="77777777" w:rsidR="00264206" w:rsidRPr="002E185B" w:rsidRDefault="00264206" w:rsidP="00555710">
      <w:pPr>
        <w:widowControl w:val="0"/>
        <w:autoSpaceDE w:val="0"/>
        <w:autoSpaceDN w:val="0"/>
        <w:adjustRightInd w:val="0"/>
        <w:spacing w:after="240"/>
        <w:rPr>
          <w:rFonts w:cs="Times"/>
          <w:sz w:val="22"/>
          <w:szCs w:val="22"/>
        </w:rPr>
      </w:pPr>
    </w:p>
    <w:p w14:paraId="6B78AD74" w14:textId="77777777" w:rsidR="00555710" w:rsidRPr="002E185B" w:rsidRDefault="00555710" w:rsidP="00555710">
      <w:pPr>
        <w:widowControl w:val="0"/>
        <w:autoSpaceDE w:val="0"/>
        <w:autoSpaceDN w:val="0"/>
        <w:adjustRightInd w:val="0"/>
        <w:spacing w:after="240"/>
        <w:rPr>
          <w:rFonts w:cs="Times"/>
          <w:sz w:val="22"/>
          <w:szCs w:val="22"/>
        </w:rPr>
      </w:pPr>
    </w:p>
    <w:p w14:paraId="0FA32983" w14:textId="77777777" w:rsidR="002578D4" w:rsidRPr="002E185B" w:rsidRDefault="002578D4">
      <w:pPr>
        <w:rPr>
          <w:sz w:val="22"/>
          <w:szCs w:val="22"/>
        </w:rPr>
      </w:pPr>
    </w:p>
    <w:sectPr w:rsidR="002578D4" w:rsidRPr="002E185B" w:rsidSect="00D64D3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411"/>
    <w:multiLevelType w:val="hybridMultilevel"/>
    <w:tmpl w:val="4D5AD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F322BD"/>
    <w:multiLevelType w:val="hybridMultilevel"/>
    <w:tmpl w:val="FED24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C178BF"/>
    <w:multiLevelType w:val="hybridMultilevel"/>
    <w:tmpl w:val="BAE8E536"/>
    <w:lvl w:ilvl="0" w:tplc="B6B60A34">
      <w:start w:val="1"/>
      <w:numFmt w:val="decimal"/>
      <w:lvlText w:val="%1."/>
      <w:lvlJc w:val="left"/>
      <w:pPr>
        <w:ind w:left="1080" w:hanging="360"/>
      </w:pPr>
      <w:rPr>
        <w:rFonts w:ascii="Helvetica" w:hAnsi="Helvetica" w:cs="Helvetica"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0E80992"/>
    <w:multiLevelType w:val="hybridMultilevel"/>
    <w:tmpl w:val="F10E6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FC508E"/>
    <w:multiLevelType w:val="hybridMultilevel"/>
    <w:tmpl w:val="0A967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635E3D"/>
    <w:multiLevelType w:val="hybridMultilevel"/>
    <w:tmpl w:val="B0C2709C"/>
    <w:lvl w:ilvl="0" w:tplc="8D0C82DC">
      <w:numFmt w:val="bullet"/>
      <w:lvlText w:val="-"/>
      <w:lvlJc w:val="left"/>
      <w:pPr>
        <w:ind w:left="720" w:hanging="360"/>
      </w:pPr>
      <w:rPr>
        <w:rFonts w:ascii="Calibri" w:eastAsiaTheme="minorEastAsia" w:hAnsi="Calibri" w:cs="Palatino"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B62A6B"/>
    <w:multiLevelType w:val="hybridMultilevel"/>
    <w:tmpl w:val="8A58BCE4"/>
    <w:lvl w:ilvl="0" w:tplc="DA7EACEC">
      <w:start w:val="1"/>
      <w:numFmt w:val="decimal"/>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7">
    <w:nsid w:val="49E1012F"/>
    <w:multiLevelType w:val="hybridMultilevel"/>
    <w:tmpl w:val="D006E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E60E74"/>
    <w:multiLevelType w:val="hybridMultilevel"/>
    <w:tmpl w:val="C39CEE3E"/>
    <w:lvl w:ilvl="0" w:tplc="DE0E53C2">
      <w:start w:val="1"/>
      <w:numFmt w:val="decimal"/>
      <w:lvlText w:val="%1."/>
      <w:lvlJc w:val="left"/>
      <w:pPr>
        <w:ind w:left="1080" w:hanging="360"/>
      </w:pPr>
      <w:rPr>
        <w:rFonts w:ascii="Palatino" w:hAnsi="Palatino" w:cs="Palatino"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7714710"/>
    <w:multiLevelType w:val="hybridMultilevel"/>
    <w:tmpl w:val="B3486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C434A7"/>
    <w:multiLevelType w:val="hybridMultilevel"/>
    <w:tmpl w:val="61FEB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FA0003"/>
    <w:multiLevelType w:val="hybridMultilevel"/>
    <w:tmpl w:val="53C6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6"/>
  </w:num>
  <w:num w:numId="4">
    <w:abstractNumId w:val="2"/>
  </w:num>
  <w:num w:numId="5">
    <w:abstractNumId w:val="10"/>
  </w:num>
  <w:num w:numId="6">
    <w:abstractNumId w:val="0"/>
  </w:num>
  <w:num w:numId="7">
    <w:abstractNumId w:val="9"/>
  </w:num>
  <w:num w:numId="8">
    <w:abstractNumId w:val="3"/>
  </w:num>
  <w:num w:numId="9">
    <w:abstractNumId w:val="4"/>
  </w:num>
  <w:num w:numId="10">
    <w:abstractNumId w:val="11"/>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8D4"/>
    <w:rsid w:val="00016B1C"/>
    <w:rsid w:val="00060263"/>
    <w:rsid w:val="00080B9F"/>
    <w:rsid w:val="0009674F"/>
    <w:rsid w:val="000E0191"/>
    <w:rsid w:val="00146370"/>
    <w:rsid w:val="00170647"/>
    <w:rsid w:val="001A53D4"/>
    <w:rsid w:val="001B1288"/>
    <w:rsid w:val="001B62C0"/>
    <w:rsid w:val="001E1318"/>
    <w:rsid w:val="00225ADB"/>
    <w:rsid w:val="0024097F"/>
    <w:rsid w:val="002578D4"/>
    <w:rsid w:val="00264206"/>
    <w:rsid w:val="0029130C"/>
    <w:rsid w:val="002E185B"/>
    <w:rsid w:val="002E2EF2"/>
    <w:rsid w:val="00325A44"/>
    <w:rsid w:val="00351DBF"/>
    <w:rsid w:val="003D502D"/>
    <w:rsid w:val="003E68A6"/>
    <w:rsid w:val="00403EC7"/>
    <w:rsid w:val="004159C2"/>
    <w:rsid w:val="00421AEE"/>
    <w:rsid w:val="004A620C"/>
    <w:rsid w:val="004B4189"/>
    <w:rsid w:val="004B77E2"/>
    <w:rsid w:val="004C4F71"/>
    <w:rsid w:val="004D4049"/>
    <w:rsid w:val="004F7AC1"/>
    <w:rsid w:val="0050027B"/>
    <w:rsid w:val="00531D3C"/>
    <w:rsid w:val="0055525E"/>
    <w:rsid w:val="00555710"/>
    <w:rsid w:val="00565761"/>
    <w:rsid w:val="005820C4"/>
    <w:rsid w:val="005C4808"/>
    <w:rsid w:val="00605E0B"/>
    <w:rsid w:val="00633D40"/>
    <w:rsid w:val="006D49C0"/>
    <w:rsid w:val="00725C90"/>
    <w:rsid w:val="00742650"/>
    <w:rsid w:val="00773319"/>
    <w:rsid w:val="00795A20"/>
    <w:rsid w:val="007A5CD5"/>
    <w:rsid w:val="008075DF"/>
    <w:rsid w:val="008121C9"/>
    <w:rsid w:val="00814140"/>
    <w:rsid w:val="008A2AEA"/>
    <w:rsid w:val="008B603C"/>
    <w:rsid w:val="008D78E3"/>
    <w:rsid w:val="008E57B7"/>
    <w:rsid w:val="008E6CB3"/>
    <w:rsid w:val="00935FD3"/>
    <w:rsid w:val="00947795"/>
    <w:rsid w:val="009540E8"/>
    <w:rsid w:val="0097452F"/>
    <w:rsid w:val="009A344A"/>
    <w:rsid w:val="009B15B3"/>
    <w:rsid w:val="009B50F9"/>
    <w:rsid w:val="009C4736"/>
    <w:rsid w:val="009D7493"/>
    <w:rsid w:val="00A26A60"/>
    <w:rsid w:val="00A41B6D"/>
    <w:rsid w:val="00A53EFA"/>
    <w:rsid w:val="00A60139"/>
    <w:rsid w:val="00A636B7"/>
    <w:rsid w:val="00A77EDF"/>
    <w:rsid w:val="00AA38DB"/>
    <w:rsid w:val="00AC1C0E"/>
    <w:rsid w:val="00B3007E"/>
    <w:rsid w:val="00B540B9"/>
    <w:rsid w:val="00B83967"/>
    <w:rsid w:val="00BA47FB"/>
    <w:rsid w:val="00BA550E"/>
    <w:rsid w:val="00BB2E62"/>
    <w:rsid w:val="00BE681F"/>
    <w:rsid w:val="00BF477D"/>
    <w:rsid w:val="00C274BB"/>
    <w:rsid w:val="00C31011"/>
    <w:rsid w:val="00C43FD1"/>
    <w:rsid w:val="00C7554D"/>
    <w:rsid w:val="00C95806"/>
    <w:rsid w:val="00D42D3B"/>
    <w:rsid w:val="00D46847"/>
    <w:rsid w:val="00D64D39"/>
    <w:rsid w:val="00D72642"/>
    <w:rsid w:val="00DA688E"/>
    <w:rsid w:val="00DC0B63"/>
    <w:rsid w:val="00DF1B3A"/>
    <w:rsid w:val="00E1260F"/>
    <w:rsid w:val="00E13510"/>
    <w:rsid w:val="00E23A22"/>
    <w:rsid w:val="00E6396E"/>
    <w:rsid w:val="00E80ED8"/>
    <w:rsid w:val="00EB4D1B"/>
    <w:rsid w:val="00ED67F4"/>
    <w:rsid w:val="00F35D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028A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8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5299</Words>
  <Characters>30205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Campbell Veterinary Services</Company>
  <LinksUpToDate>false</LinksUpToDate>
  <CharactersWithSpaces>35434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CAMPBELL</dc:creator>
  <cp:lastModifiedBy>CAH ICU</cp:lastModifiedBy>
  <cp:revision>2</cp:revision>
  <dcterms:created xsi:type="dcterms:W3CDTF">2012-10-04T20:29:00Z</dcterms:created>
  <dcterms:modified xsi:type="dcterms:W3CDTF">2012-10-04T20:29:00Z</dcterms:modified>
</cp:coreProperties>
</file>