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9D" w:rsidRDefault="00AE149D" w:rsidP="00AE149D">
      <w:pPr>
        <w:spacing w:after="0"/>
      </w:pPr>
      <w:r>
        <w:t>Laboratory diagnosis of disseminated intravascular coagulation in dogs and cats: The past, the present, and the future</w:t>
      </w:r>
    </w:p>
    <w:p w:rsidR="00AE149D" w:rsidRDefault="00AE149D" w:rsidP="00AE149D">
      <w:pPr>
        <w:spacing w:after="0"/>
      </w:pPr>
      <w:proofErr w:type="spellStart"/>
      <w:r>
        <w:t>Stokol</w:t>
      </w:r>
      <w:proofErr w:type="spellEnd"/>
      <w:r>
        <w:t>, T</w:t>
      </w:r>
    </w:p>
    <w:p w:rsidR="00AE149D" w:rsidRDefault="00AE149D" w:rsidP="00AE149D">
      <w:pPr>
        <w:spacing w:after="0"/>
      </w:pPr>
      <w:r>
        <w:t xml:space="preserve">Vet </w:t>
      </w:r>
      <w:proofErr w:type="spellStart"/>
      <w:r>
        <w:t>Clin</w:t>
      </w:r>
      <w:proofErr w:type="spellEnd"/>
      <w:r>
        <w:t xml:space="preserve"> Small </w:t>
      </w:r>
      <w:proofErr w:type="spellStart"/>
      <w:r>
        <w:t>Anim</w:t>
      </w:r>
      <w:proofErr w:type="spellEnd"/>
      <w:r>
        <w:t xml:space="preserve"> 2012; 42: 189-202</w:t>
      </w:r>
    </w:p>
    <w:p w:rsidR="00AE149D" w:rsidRDefault="00AE149D" w:rsidP="00AE149D">
      <w:pPr>
        <w:spacing w:after="0"/>
      </w:pPr>
    </w:p>
    <w:p w:rsidR="00AE149D" w:rsidRDefault="00AE149D" w:rsidP="00AE149D">
      <w:pPr>
        <w:spacing w:after="0"/>
      </w:pPr>
      <w:proofErr w:type="spellStart"/>
      <w:r>
        <w:t>Pathophysiology</w:t>
      </w:r>
      <w:proofErr w:type="spellEnd"/>
      <w:r>
        <w:t xml:space="preserve"> of DIC:</w:t>
      </w:r>
    </w:p>
    <w:p w:rsidR="00AE149D" w:rsidRDefault="00AE149D" w:rsidP="00AE149D">
      <w:pPr>
        <w:pStyle w:val="ListParagraph"/>
        <w:numPr>
          <w:ilvl w:val="0"/>
          <w:numId w:val="1"/>
        </w:numPr>
        <w:spacing w:after="0"/>
      </w:pPr>
      <w:r>
        <w:t>Thrombin generation is excessive and uncontrolled; thrombin generation occurs and is amplified and disseminated on cell surfaces</w:t>
      </w:r>
    </w:p>
    <w:p w:rsidR="00AE149D" w:rsidRDefault="00AE149D" w:rsidP="00AE149D">
      <w:pPr>
        <w:pStyle w:val="ListParagraph"/>
        <w:numPr>
          <w:ilvl w:val="0"/>
          <w:numId w:val="1"/>
        </w:numPr>
        <w:spacing w:after="0"/>
      </w:pPr>
      <w:r>
        <w:t>Tissue factor is the main culprit in activation of coagulation in DIC</w:t>
      </w:r>
    </w:p>
    <w:p w:rsidR="00AE149D" w:rsidRDefault="00AE149D" w:rsidP="00AE149D">
      <w:pPr>
        <w:pStyle w:val="ListParagraph"/>
        <w:numPr>
          <w:ilvl w:val="1"/>
          <w:numId w:val="1"/>
        </w:numPr>
        <w:spacing w:after="0"/>
      </w:pPr>
      <w:r>
        <w:t>Binds FVII</w:t>
      </w:r>
    </w:p>
    <w:p w:rsidR="00AE149D" w:rsidRDefault="00AE149D" w:rsidP="00AE149D">
      <w:pPr>
        <w:pStyle w:val="ListParagraph"/>
        <w:numPr>
          <w:ilvl w:val="1"/>
          <w:numId w:val="1"/>
        </w:numPr>
        <w:spacing w:after="0"/>
      </w:pPr>
      <w:r>
        <w:t>TF-</w:t>
      </w:r>
      <w:proofErr w:type="spellStart"/>
      <w:r>
        <w:t>FVIIa</w:t>
      </w:r>
      <w:proofErr w:type="spellEnd"/>
      <w:r>
        <w:t xml:space="preserve"> activates surface-bound FX and FIX</w:t>
      </w:r>
    </w:p>
    <w:p w:rsidR="00AE149D" w:rsidRDefault="00AE149D" w:rsidP="00AE149D">
      <w:pPr>
        <w:pStyle w:val="ListParagraph"/>
        <w:numPr>
          <w:ilvl w:val="2"/>
          <w:numId w:val="1"/>
        </w:numPr>
        <w:spacing w:after="0"/>
      </w:pPr>
      <w:r>
        <w:t xml:space="preserve">Thrombin generated from </w:t>
      </w:r>
      <w:proofErr w:type="spellStart"/>
      <w:r>
        <w:t>FXa</w:t>
      </w:r>
      <w:proofErr w:type="spellEnd"/>
      <w:r>
        <w:t xml:space="preserve"> amplifies its own production by activating FXI and cofactors FVIII and FV</w:t>
      </w:r>
    </w:p>
    <w:p w:rsidR="00AE149D" w:rsidRDefault="00AE149D" w:rsidP="00AE149D">
      <w:pPr>
        <w:pStyle w:val="ListParagraph"/>
        <w:numPr>
          <w:ilvl w:val="2"/>
          <w:numId w:val="1"/>
        </w:numPr>
        <w:spacing w:after="0"/>
      </w:pPr>
      <w:r>
        <w:t>Terminates in fibrin production and thrombus formation</w:t>
      </w:r>
    </w:p>
    <w:p w:rsidR="00AE149D" w:rsidRDefault="00AE149D" w:rsidP="00AE149D">
      <w:pPr>
        <w:pStyle w:val="ListParagraph"/>
        <w:numPr>
          <w:ilvl w:val="1"/>
          <w:numId w:val="1"/>
        </w:numPr>
        <w:spacing w:after="0"/>
      </w:pPr>
      <w:r>
        <w:t xml:space="preserve">When TF is exposed </w:t>
      </w:r>
      <w:proofErr w:type="spellStart"/>
      <w:r>
        <w:t>intravascularly</w:t>
      </w:r>
      <w:proofErr w:type="spellEnd"/>
      <w:r>
        <w:t xml:space="preserve"> or in large amounts, the normal restriction of coagulation is lost and inhibitory mechanisms are disrupted, leading to excessive thrombin generation</w:t>
      </w:r>
    </w:p>
    <w:p w:rsidR="00AE149D" w:rsidRDefault="00AE149D" w:rsidP="00AE149D">
      <w:pPr>
        <w:pStyle w:val="ListParagraph"/>
        <w:numPr>
          <w:ilvl w:val="0"/>
          <w:numId w:val="1"/>
        </w:numPr>
        <w:spacing w:after="0"/>
      </w:pPr>
      <w:r>
        <w:t xml:space="preserve">Thrombin generation is facilitated and propagated systemically through </w:t>
      </w:r>
      <w:proofErr w:type="spellStart"/>
      <w:r>
        <w:t>phospholipid</w:t>
      </w:r>
      <w:proofErr w:type="spellEnd"/>
      <w:r>
        <w:t xml:space="preserve">-containing </w:t>
      </w:r>
      <w:proofErr w:type="spellStart"/>
      <w:r>
        <w:t>microparticles</w:t>
      </w:r>
      <w:proofErr w:type="spellEnd"/>
      <w:r>
        <w:t>, lack of inhibition and a feedback cycle between inflammation and coagulation</w:t>
      </w:r>
    </w:p>
    <w:p w:rsidR="00AE149D" w:rsidRDefault="00AE149D" w:rsidP="00AE149D">
      <w:pPr>
        <w:pStyle w:val="ListParagraph"/>
        <w:numPr>
          <w:ilvl w:val="1"/>
          <w:numId w:val="1"/>
        </w:numPr>
        <w:spacing w:after="0"/>
      </w:pPr>
      <w:proofErr w:type="spellStart"/>
      <w:r>
        <w:t>Microparticles</w:t>
      </w:r>
      <w:proofErr w:type="spellEnd"/>
      <w:r>
        <w:t xml:space="preserve">=Small vesicles that are shed from the surface membrane of many different cell types (platelets, </w:t>
      </w:r>
      <w:proofErr w:type="spellStart"/>
      <w:r>
        <w:t>monocytes</w:t>
      </w:r>
      <w:proofErr w:type="spellEnd"/>
      <w:r>
        <w:t>, granulocytes, erythrocytes, and endothelial cells), particularly after activation</w:t>
      </w:r>
    </w:p>
    <w:p w:rsidR="00AE149D" w:rsidRDefault="00AE149D" w:rsidP="00AE149D">
      <w:pPr>
        <w:pStyle w:val="ListParagraph"/>
        <w:numPr>
          <w:ilvl w:val="2"/>
          <w:numId w:val="1"/>
        </w:numPr>
        <w:spacing w:after="0"/>
      </w:pPr>
      <w:proofErr w:type="spellStart"/>
      <w:r>
        <w:t>Phosphatidylserine</w:t>
      </w:r>
      <w:proofErr w:type="spellEnd"/>
      <w:r>
        <w:t xml:space="preserve">= </w:t>
      </w:r>
      <w:proofErr w:type="spellStart"/>
      <w:r>
        <w:t>neg</w:t>
      </w:r>
      <w:proofErr w:type="spellEnd"/>
      <w:r>
        <w:t xml:space="preserve"> charged </w:t>
      </w:r>
      <w:proofErr w:type="spellStart"/>
      <w:r>
        <w:t>phospholipid</w:t>
      </w:r>
      <w:proofErr w:type="spellEnd"/>
      <w:r>
        <w:t xml:space="preserve"> that is normally on the inner aspect of cell membranes, but is flipped to the outer membrane when activated</w:t>
      </w:r>
    </w:p>
    <w:p w:rsidR="00AE149D" w:rsidRDefault="00AE149D" w:rsidP="00AE149D">
      <w:pPr>
        <w:pStyle w:val="ListParagraph"/>
        <w:numPr>
          <w:ilvl w:val="3"/>
          <w:numId w:val="1"/>
        </w:numPr>
        <w:spacing w:after="0"/>
      </w:pPr>
      <w:r>
        <w:t xml:space="preserve">Binding site for </w:t>
      </w:r>
      <w:proofErr w:type="spellStart"/>
      <w:r>
        <w:t>GIa</w:t>
      </w:r>
      <w:proofErr w:type="spellEnd"/>
      <w:r>
        <w:t xml:space="preserve">-domain-containing coagulation factors and enables assembly of </w:t>
      </w:r>
      <w:proofErr w:type="spellStart"/>
      <w:r>
        <w:t>tenase</w:t>
      </w:r>
      <w:proofErr w:type="spellEnd"/>
      <w:r>
        <w:t xml:space="preserve"> (FX activating) and </w:t>
      </w:r>
      <w:proofErr w:type="spellStart"/>
      <w:r>
        <w:t>prothrombinase</w:t>
      </w:r>
      <w:proofErr w:type="spellEnd"/>
      <w:r>
        <w:t xml:space="preserve"> (thrombin activating) complexes</w:t>
      </w:r>
    </w:p>
    <w:p w:rsidR="00AE149D" w:rsidRDefault="00AE149D" w:rsidP="00AE149D">
      <w:pPr>
        <w:pStyle w:val="ListParagraph"/>
        <w:numPr>
          <w:ilvl w:val="3"/>
          <w:numId w:val="1"/>
        </w:numPr>
        <w:spacing w:after="0"/>
      </w:pPr>
      <w:r>
        <w:t xml:space="preserve">Under </w:t>
      </w:r>
      <w:proofErr w:type="spellStart"/>
      <w:r>
        <w:t>physio</w:t>
      </w:r>
      <w:proofErr w:type="spellEnd"/>
      <w:r>
        <w:t xml:space="preserve"> conditions, activated platelets are the main source of </w:t>
      </w:r>
      <w:proofErr w:type="spellStart"/>
      <w:r>
        <w:t>phosphatidylserine</w:t>
      </w:r>
      <w:proofErr w:type="spellEnd"/>
      <w:r>
        <w:t xml:space="preserve"> membranes </w:t>
      </w:r>
    </w:p>
    <w:p w:rsidR="00AE149D" w:rsidRDefault="00AE149D" w:rsidP="00AE149D">
      <w:pPr>
        <w:pStyle w:val="ListParagraph"/>
        <w:numPr>
          <w:ilvl w:val="1"/>
          <w:numId w:val="1"/>
        </w:numPr>
        <w:spacing w:after="0"/>
      </w:pPr>
      <w:r>
        <w:t xml:space="preserve">Inhibition of </w:t>
      </w:r>
      <w:proofErr w:type="spellStart"/>
      <w:r>
        <w:t>fibrinolysis</w:t>
      </w:r>
      <w:proofErr w:type="spellEnd"/>
    </w:p>
    <w:p w:rsidR="00AE149D" w:rsidRDefault="00AE149D" w:rsidP="00AE149D">
      <w:pPr>
        <w:pStyle w:val="ListParagraph"/>
        <w:numPr>
          <w:ilvl w:val="2"/>
          <w:numId w:val="1"/>
        </w:numPr>
        <w:spacing w:after="0"/>
      </w:pPr>
      <w:r>
        <w:t>Inhibition is mediated through thrombin itself and thrombin-</w:t>
      </w:r>
      <w:proofErr w:type="spellStart"/>
      <w:r>
        <w:t>activatable</w:t>
      </w:r>
      <w:proofErr w:type="spellEnd"/>
      <w:r>
        <w:t xml:space="preserve"> </w:t>
      </w:r>
      <w:proofErr w:type="spellStart"/>
      <w:r>
        <w:t>fibrinolysis</w:t>
      </w:r>
      <w:proofErr w:type="spellEnd"/>
      <w:r>
        <w:t xml:space="preserve"> inhibitor (TAFI- not named by JGW)</w:t>
      </w:r>
    </w:p>
    <w:p w:rsidR="00AE149D" w:rsidRDefault="00AE149D" w:rsidP="00AE149D">
      <w:pPr>
        <w:pStyle w:val="ListParagraph"/>
        <w:numPr>
          <w:ilvl w:val="2"/>
          <w:numId w:val="1"/>
        </w:numPr>
        <w:spacing w:after="0"/>
      </w:pPr>
      <w:r>
        <w:t xml:space="preserve">Release of polyphosphates from act platelets and tissue </w:t>
      </w:r>
      <w:proofErr w:type="spellStart"/>
      <w:r>
        <w:t>plasminogen</w:t>
      </w:r>
      <w:proofErr w:type="spellEnd"/>
      <w:r>
        <w:t xml:space="preserve"> activator inhibitors from endothelium  contributes to inhibition (</w:t>
      </w:r>
      <w:proofErr w:type="spellStart"/>
      <w:r>
        <w:t>esp</w:t>
      </w:r>
      <w:proofErr w:type="spellEnd"/>
      <w:r>
        <w:t xml:space="preserve"> in sepsis)</w:t>
      </w:r>
    </w:p>
    <w:p w:rsidR="00AE149D" w:rsidRDefault="00AE149D" w:rsidP="00AE149D">
      <w:pPr>
        <w:pStyle w:val="ListParagraph"/>
        <w:numPr>
          <w:ilvl w:val="1"/>
          <w:numId w:val="1"/>
        </w:numPr>
        <w:spacing w:after="0"/>
      </w:pPr>
      <w:r>
        <w:t xml:space="preserve">Defection inhibition of thrombin generation (AT, </w:t>
      </w:r>
      <w:proofErr w:type="spellStart"/>
      <w:r>
        <w:t>aPC</w:t>
      </w:r>
      <w:proofErr w:type="spellEnd"/>
      <w:r>
        <w:t>, TFPI)</w:t>
      </w:r>
    </w:p>
    <w:p w:rsidR="00AE149D" w:rsidRDefault="00AE149D" w:rsidP="00AE149D">
      <w:pPr>
        <w:pStyle w:val="ListParagraph"/>
        <w:numPr>
          <w:ilvl w:val="2"/>
          <w:numId w:val="1"/>
        </w:numPr>
        <w:spacing w:after="0"/>
      </w:pPr>
      <w:r>
        <w:t xml:space="preserve">Inhibitors are consumed, inflammatory cytokines can </w:t>
      </w:r>
      <w:proofErr w:type="spellStart"/>
      <w:r>
        <w:t>downregulate</w:t>
      </w:r>
      <w:proofErr w:type="spellEnd"/>
      <w:r>
        <w:t xml:space="preserve"> production, or can be degraded (</w:t>
      </w:r>
      <w:proofErr w:type="spellStart"/>
      <w:r>
        <w:t>neutrophil</w:t>
      </w:r>
      <w:proofErr w:type="spellEnd"/>
      <w:r>
        <w:t xml:space="preserve"> proteases)</w:t>
      </w:r>
    </w:p>
    <w:p w:rsidR="00AE149D" w:rsidRDefault="00AE149D" w:rsidP="00AE149D">
      <w:pPr>
        <w:pStyle w:val="ListParagraph"/>
        <w:numPr>
          <w:ilvl w:val="1"/>
          <w:numId w:val="1"/>
        </w:numPr>
        <w:spacing w:after="0"/>
      </w:pPr>
      <w:r>
        <w:t xml:space="preserve">Coagulation and inflammation </w:t>
      </w:r>
    </w:p>
    <w:p w:rsidR="00AE149D" w:rsidRDefault="00AE149D" w:rsidP="00AE149D">
      <w:pPr>
        <w:pStyle w:val="ListParagraph"/>
        <w:numPr>
          <w:ilvl w:val="2"/>
          <w:numId w:val="1"/>
        </w:numPr>
        <w:spacing w:after="0"/>
      </w:pPr>
      <w:r>
        <w:t xml:space="preserve">Inflammatory cytokines and complement components </w:t>
      </w:r>
      <w:proofErr w:type="spellStart"/>
      <w:r>
        <w:t>upregulate</w:t>
      </w:r>
      <w:proofErr w:type="spellEnd"/>
      <w:r>
        <w:t xml:space="preserve"> TF, </w:t>
      </w:r>
      <w:proofErr w:type="spellStart"/>
      <w:r>
        <w:t>downregulate</w:t>
      </w:r>
      <w:proofErr w:type="spellEnd"/>
      <w:r>
        <w:t xml:space="preserve"> inhibitor, and activate cells inducing </w:t>
      </w:r>
      <w:proofErr w:type="spellStart"/>
      <w:r>
        <w:t>vesiculation</w:t>
      </w:r>
      <w:proofErr w:type="spellEnd"/>
      <w:r>
        <w:t xml:space="preserve"> and </w:t>
      </w:r>
      <w:proofErr w:type="spellStart"/>
      <w:r>
        <w:t>phosphatidylserine</w:t>
      </w:r>
      <w:proofErr w:type="spellEnd"/>
      <w:r>
        <w:t xml:space="preserve"> exposure</w:t>
      </w:r>
    </w:p>
    <w:p w:rsidR="00AE149D" w:rsidRDefault="00AE149D" w:rsidP="00AE149D">
      <w:pPr>
        <w:pStyle w:val="ListParagraph"/>
        <w:numPr>
          <w:ilvl w:val="2"/>
          <w:numId w:val="1"/>
        </w:numPr>
        <w:spacing w:after="0"/>
      </w:pPr>
      <w:r>
        <w:lastRenderedPageBreak/>
        <w:t xml:space="preserve">Activated </w:t>
      </w:r>
      <w:proofErr w:type="spellStart"/>
      <w:r>
        <w:t>coag</w:t>
      </w:r>
      <w:proofErr w:type="spellEnd"/>
      <w:r>
        <w:t xml:space="preserve"> factors (thrombin, </w:t>
      </w:r>
      <w:proofErr w:type="spellStart"/>
      <w:r>
        <w:t>FXa</w:t>
      </w:r>
      <w:proofErr w:type="spellEnd"/>
      <w:r>
        <w:t>, TF-</w:t>
      </w:r>
      <w:proofErr w:type="spellStart"/>
      <w:r>
        <w:t>FVIIa</w:t>
      </w:r>
      <w:proofErr w:type="spellEnd"/>
      <w:r>
        <w:t xml:space="preserve"> complex) can potentiate the inflammatory response by binding to and activating protease-activated receptors (PARs) on platelets, leukocytes, endothelial cells</w:t>
      </w:r>
    </w:p>
    <w:p w:rsidR="00AE149D" w:rsidRDefault="00AE149D" w:rsidP="00AE149D">
      <w:pPr>
        <w:pStyle w:val="ListParagraph"/>
        <w:numPr>
          <w:ilvl w:val="3"/>
          <w:numId w:val="1"/>
        </w:numPr>
        <w:spacing w:after="0"/>
      </w:pPr>
      <w:r>
        <w:t xml:space="preserve">Activated PARs induce G protein-coupled cell </w:t>
      </w:r>
      <w:proofErr w:type="spellStart"/>
      <w:r>
        <w:t>signalling</w:t>
      </w:r>
      <w:proofErr w:type="spellEnd"/>
      <w:r>
        <w:t xml:space="preserve"> in these cells, resulting in </w:t>
      </w:r>
      <w:proofErr w:type="spellStart"/>
      <w:r>
        <w:t>upregulation</w:t>
      </w:r>
      <w:proofErr w:type="spellEnd"/>
      <w:r>
        <w:t xml:space="preserve"> of adhesion molecules (ICAM-1) and sec of inflammatory mediators (IL-6 and IL-8)</w:t>
      </w:r>
    </w:p>
    <w:p w:rsidR="00AE149D" w:rsidRDefault="00AE149D" w:rsidP="00AE149D">
      <w:pPr>
        <w:pStyle w:val="ListParagraph"/>
        <w:numPr>
          <w:ilvl w:val="2"/>
          <w:numId w:val="1"/>
        </w:numPr>
        <w:spacing w:after="0"/>
      </w:pPr>
      <w:r>
        <w:t>Inflammation is potentiated by loss of inhibitors of thrombin generation (</w:t>
      </w:r>
      <w:proofErr w:type="spellStart"/>
      <w:r>
        <w:t>aPC</w:t>
      </w:r>
      <w:proofErr w:type="spellEnd"/>
      <w:r>
        <w:t>)</w:t>
      </w:r>
    </w:p>
    <w:p w:rsidR="00AE149D" w:rsidRDefault="00AE149D" w:rsidP="00AE149D">
      <w:pPr>
        <w:pStyle w:val="ListParagraph"/>
        <w:numPr>
          <w:ilvl w:val="0"/>
          <w:numId w:val="1"/>
        </w:numPr>
        <w:spacing w:after="0"/>
      </w:pPr>
      <w:r>
        <w:t>Platelets- main structural scaffold on which DIC</w:t>
      </w:r>
      <w:r w:rsidR="00C576C5">
        <w:t xml:space="preserve"> proceeds</w:t>
      </w:r>
    </w:p>
    <w:p w:rsidR="00C576C5" w:rsidRDefault="00C576C5" w:rsidP="00C576C5">
      <w:pPr>
        <w:spacing w:after="0"/>
      </w:pPr>
      <w:r>
        <w:t>DIC continuum</w:t>
      </w:r>
    </w:p>
    <w:p w:rsidR="00C576C5" w:rsidRDefault="00C576C5" w:rsidP="00C576C5">
      <w:pPr>
        <w:pStyle w:val="ListParagraph"/>
        <w:numPr>
          <w:ilvl w:val="0"/>
          <w:numId w:val="2"/>
        </w:numPr>
        <w:spacing w:after="0"/>
      </w:pPr>
      <w:proofErr w:type="spellStart"/>
      <w:r>
        <w:t>Nonovert</w:t>
      </w:r>
      <w:proofErr w:type="spellEnd"/>
      <w:r>
        <w:t xml:space="preserve"> DIC</w:t>
      </w:r>
    </w:p>
    <w:p w:rsidR="00C576C5" w:rsidRDefault="00C576C5" w:rsidP="00C576C5">
      <w:pPr>
        <w:pStyle w:val="ListParagraph"/>
        <w:numPr>
          <w:ilvl w:val="1"/>
          <w:numId w:val="2"/>
        </w:numPr>
        <w:spacing w:after="0"/>
      </w:pPr>
      <w:r>
        <w:t>Coagulation has been activated, but thrombin generation is constrained by inhibitors and there is minimal incitement of inflammation</w:t>
      </w:r>
    </w:p>
    <w:p w:rsidR="00C576C5" w:rsidRDefault="00C576C5" w:rsidP="00C576C5">
      <w:pPr>
        <w:pStyle w:val="ListParagraph"/>
        <w:numPr>
          <w:ilvl w:val="1"/>
          <w:numId w:val="2"/>
        </w:numPr>
        <w:spacing w:after="0"/>
      </w:pPr>
      <w:r>
        <w:t>Previously referred to as low-grade or chronic DIC</w:t>
      </w:r>
    </w:p>
    <w:p w:rsidR="00C576C5" w:rsidRDefault="00C576C5" w:rsidP="00C576C5">
      <w:pPr>
        <w:pStyle w:val="ListParagraph"/>
        <w:numPr>
          <w:ilvl w:val="1"/>
          <w:numId w:val="2"/>
        </w:numPr>
        <w:spacing w:after="0"/>
      </w:pPr>
      <w:proofErr w:type="spellStart"/>
      <w:r>
        <w:t>Microvascular</w:t>
      </w:r>
      <w:proofErr w:type="spellEnd"/>
      <w:r>
        <w:t xml:space="preserve"> thrombosis is likely occurring</w:t>
      </w:r>
    </w:p>
    <w:p w:rsidR="00C576C5" w:rsidRDefault="00C576C5" w:rsidP="00C576C5">
      <w:pPr>
        <w:pStyle w:val="ListParagraph"/>
        <w:numPr>
          <w:ilvl w:val="1"/>
          <w:numId w:val="2"/>
        </w:numPr>
        <w:spacing w:after="0"/>
      </w:pPr>
      <w:r>
        <w:t>Difficult to diagnose</w:t>
      </w:r>
    </w:p>
    <w:p w:rsidR="00C576C5" w:rsidRDefault="00C576C5" w:rsidP="00C576C5">
      <w:pPr>
        <w:pStyle w:val="ListParagraph"/>
        <w:numPr>
          <w:ilvl w:val="0"/>
          <w:numId w:val="2"/>
        </w:numPr>
        <w:spacing w:after="0"/>
      </w:pPr>
      <w:r>
        <w:t>Overt DIC</w:t>
      </w:r>
    </w:p>
    <w:p w:rsidR="00C576C5" w:rsidRDefault="00C576C5" w:rsidP="00C576C5">
      <w:pPr>
        <w:pStyle w:val="ListParagraph"/>
        <w:numPr>
          <w:ilvl w:val="1"/>
          <w:numId w:val="2"/>
        </w:numPr>
        <w:spacing w:after="0"/>
      </w:pPr>
      <w:r>
        <w:t xml:space="preserve">Reflects an activated and uncompensated </w:t>
      </w:r>
      <w:proofErr w:type="spellStart"/>
      <w:r>
        <w:t>hemostatic</w:t>
      </w:r>
      <w:proofErr w:type="spellEnd"/>
      <w:r>
        <w:t xml:space="preserve"> system, where inhibitors  are overwhelmed, thrombin generation proceeds unopposed, the inflammation-</w:t>
      </w:r>
      <w:proofErr w:type="spellStart"/>
      <w:r>
        <w:t>hemostasis</w:t>
      </w:r>
      <w:proofErr w:type="spellEnd"/>
      <w:r>
        <w:t xml:space="preserve"> feedback loop is operative, and thrombosis is causing organ dysfunction</w:t>
      </w:r>
    </w:p>
    <w:p w:rsidR="00C576C5" w:rsidRDefault="00C576C5" w:rsidP="00C576C5">
      <w:pPr>
        <w:pStyle w:val="ListParagraph"/>
        <w:numPr>
          <w:ilvl w:val="1"/>
          <w:numId w:val="2"/>
        </w:numPr>
        <w:spacing w:after="0"/>
      </w:pPr>
      <w:r>
        <w:t>“Controlled” overt DIC</w:t>
      </w:r>
    </w:p>
    <w:p w:rsidR="00C576C5" w:rsidRDefault="00C576C5" w:rsidP="00C576C5">
      <w:pPr>
        <w:pStyle w:val="ListParagraph"/>
        <w:numPr>
          <w:ilvl w:val="2"/>
          <w:numId w:val="2"/>
        </w:numPr>
        <w:spacing w:after="0"/>
      </w:pPr>
      <w:r>
        <w:t>Temporary condition which can be ceased by intervention</w:t>
      </w:r>
    </w:p>
    <w:p w:rsidR="00C576C5" w:rsidRDefault="00C576C5" w:rsidP="00C576C5">
      <w:pPr>
        <w:pStyle w:val="ListParagraph"/>
        <w:numPr>
          <w:ilvl w:val="1"/>
          <w:numId w:val="2"/>
        </w:numPr>
        <w:spacing w:after="0"/>
      </w:pPr>
      <w:r>
        <w:t>“Uncontrolled” overt DIC</w:t>
      </w:r>
    </w:p>
    <w:p w:rsidR="00C576C5" w:rsidRDefault="00C576C5" w:rsidP="00C576C5">
      <w:pPr>
        <w:pStyle w:val="ListParagraph"/>
        <w:numPr>
          <w:ilvl w:val="2"/>
          <w:numId w:val="2"/>
        </w:numPr>
        <w:spacing w:after="0"/>
      </w:pPr>
      <w:r>
        <w:t>Cannot be reversed by sole removal of underlying cause</w:t>
      </w:r>
    </w:p>
    <w:p w:rsidR="00C576C5" w:rsidRDefault="00C576C5" w:rsidP="00C576C5">
      <w:pPr>
        <w:pStyle w:val="ListParagraph"/>
        <w:numPr>
          <w:ilvl w:val="2"/>
          <w:numId w:val="2"/>
        </w:numPr>
        <w:spacing w:after="0"/>
      </w:pPr>
      <w:r>
        <w:t xml:space="preserve">With time, deficiencies result in </w:t>
      </w:r>
      <w:proofErr w:type="spellStart"/>
      <w:r>
        <w:t>fulminant</w:t>
      </w:r>
      <w:proofErr w:type="spellEnd"/>
      <w:r>
        <w:t xml:space="preserve"> or end stage DIC= hemorrhagic phase</w:t>
      </w:r>
    </w:p>
    <w:p w:rsidR="00C576C5" w:rsidRDefault="00C576C5" w:rsidP="00C576C5">
      <w:pPr>
        <w:spacing w:after="0"/>
      </w:pPr>
      <w:r>
        <w:t>Laboratory testing of DIC in dogs and cats</w:t>
      </w:r>
    </w:p>
    <w:p w:rsidR="00C576C5" w:rsidRDefault="00C576C5" w:rsidP="00C576C5">
      <w:pPr>
        <w:pStyle w:val="ListParagraph"/>
        <w:numPr>
          <w:ilvl w:val="0"/>
          <w:numId w:val="3"/>
        </w:numPr>
        <w:spacing w:after="0"/>
      </w:pPr>
      <w:r>
        <w:t xml:space="preserve">Clinical criteria (primary disease + clinical signs) and have &gt;/= 2 abnormal lab tests, reflecting abnormalities in all pathways of </w:t>
      </w:r>
      <w:proofErr w:type="spellStart"/>
      <w:r>
        <w:t>hemostasis</w:t>
      </w:r>
      <w:proofErr w:type="spellEnd"/>
    </w:p>
    <w:p w:rsidR="00C576C5" w:rsidRDefault="00C576C5" w:rsidP="00C576C5">
      <w:pPr>
        <w:pStyle w:val="ListParagraph"/>
        <w:numPr>
          <w:ilvl w:val="0"/>
          <w:numId w:val="3"/>
        </w:numPr>
        <w:spacing w:after="0"/>
      </w:pPr>
      <w:r>
        <w:t xml:space="preserve">Detection of thrombi in microvasculature gold standard </w:t>
      </w:r>
    </w:p>
    <w:p w:rsidR="00C576C5" w:rsidRDefault="00C576C5" w:rsidP="00C576C5">
      <w:pPr>
        <w:pStyle w:val="ListParagraph"/>
        <w:numPr>
          <w:ilvl w:val="0"/>
          <w:numId w:val="3"/>
        </w:numPr>
        <w:spacing w:after="0"/>
      </w:pPr>
      <w:r>
        <w:t xml:space="preserve">Coagulation screening assays (PT, </w:t>
      </w:r>
      <w:proofErr w:type="spellStart"/>
      <w:r>
        <w:t>aPTT</w:t>
      </w:r>
      <w:proofErr w:type="spellEnd"/>
      <w:r>
        <w:t>, TCT, fibrinogen) optimized for detection of factor deficiencies and are geared toward detection of most advanced stages of DIC</w:t>
      </w:r>
    </w:p>
    <w:p w:rsidR="00C576C5" w:rsidRDefault="00C576C5" w:rsidP="00C576C5">
      <w:pPr>
        <w:pStyle w:val="ListParagraph"/>
        <w:numPr>
          <w:ilvl w:val="1"/>
          <w:numId w:val="3"/>
        </w:numPr>
        <w:spacing w:after="0"/>
      </w:pPr>
      <w:r>
        <w:t xml:space="preserve">Tests are insensitive for </w:t>
      </w:r>
      <w:proofErr w:type="spellStart"/>
      <w:r>
        <w:t>nonovert</w:t>
      </w:r>
      <w:proofErr w:type="spellEnd"/>
      <w:r>
        <w:t xml:space="preserve"> DIC of earlier stages of overt DIC</w:t>
      </w:r>
    </w:p>
    <w:p w:rsidR="00C576C5" w:rsidRDefault="00C576C5" w:rsidP="00C576C5">
      <w:pPr>
        <w:pStyle w:val="ListParagraph"/>
        <w:numPr>
          <w:ilvl w:val="1"/>
          <w:numId w:val="3"/>
        </w:numPr>
        <w:spacing w:after="0"/>
      </w:pPr>
      <w:r>
        <w:t>Tests used in dogs are not necessarily applicable to cats</w:t>
      </w:r>
    </w:p>
    <w:p w:rsidR="00C576C5" w:rsidRDefault="00C576C5" w:rsidP="00C576C5">
      <w:pPr>
        <w:pStyle w:val="ListParagraph"/>
        <w:numPr>
          <w:ilvl w:val="2"/>
          <w:numId w:val="3"/>
        </w:numPr>
        <w:spacing w:after="0"/>
      </w:pPr>
      <w:r>
        <w:t>Cats rarely demonstrate CS of excessive hemorrhage and routine tests are clinically insensitive for DIC in this species</w:t>
      </w:r>
    </w:p>
    <w:p w:rsidR="00C576C5" w:rsidRDefault="00C576C5" w:rsidP="00C576C5">
      <w:pPr>
        <w:pStyle w:val="ListParagraph"/>
        <w:numPr>
          <w:ilvl w:val="3"/>
          <w:numId w:val="3"/>
        </w:numPr>
        <w:spacing w:after="0"/>
      </w:pPr>
      <w:r>
        <w:t>Low AT uncommon, FDP/D-</w:t>
      </w:r>
      <w:proofErr w:type="spellStart"/>
      <w:r>
        <w:t>dimer</w:t>
      </w:r>
      <w:proofErr w:type="spellEnd"/>
      <w:r>
        <w:t xml:space="preserve"> not reliably increased, thrombocytopenia inconsistently seen</w:t>
      </w:r>
    </w:p>
    <w:p w:rsidR="00C576C5" w:rsidRDefault="00C576C5" w:rsidP="00C576C5">
      <w:pPr>
        <w:pStyle w:val="ListParagraph"/>
        <w:numPr>
          <w:ilvl w:val="0"/>
          <w:numId w:val="3"/>
        </w:numPr>
        <w:spacing w:after="0"/>
      </w:pPr>
      <w:r>
        <w:t xml:space="preserve">Diagnostic emphasis in humans has shifted toward the application of scoring systems for diagnosis of </w:t>
      </w:r>
      <w:proofErr w:type="spellStart"/>
      <w:r>
        <w:t>nonovert</w:t>
      </w:r>
      <w:proofErr w:type="spellEnd"/>
      <w:r>
        <w:t xml:space="preserve"> and overt DIC</w:t>
      </w:r>
    </w:p>
    <w:p w:rsidR="00C576C5" w:rsidRDefault="00C576C5" w:rsidP="00C576C5">
      <w:pPr>
        <w:pStyle w:val="ListParagraph"/>
        <w:numPr>
          <w:ilvl w:val="1"/>
          <w:numId w:val="3"/>
        </w:numPr>
        <w:spacing w:after="0"/>
      </w:pPr>
      <w:r>
        <w:t xml:space="preserve">Several assays for thrombin activation and </w:t>
      </w:r>
      <w:proofErr w:type="spellStart"/>
      <w:r>
        <w:t>microparticle</w:t>
      </w:r>
      <w:proofErr w:type="spellEnd"/>
      <w:r>
        <w:t xml:space="preserve"> detection have been evaluated in humans; little info re in vet med</w:t>
      </w:r>
    </w:p>
    <w:p w:rsidR="00C576C5" w:rsidRDefault="00C576C5" w:rsidP="00C576C5">
      <w:pPr>
        <w:pStyle w:val="ListParagraph"/>
        <w:numPr>
          <w:ilvl w:val="1"/>
          <w:numId w:val="3"/>
        </w:numPr>
        <w:spacing w:after="0"/>
      </w:pPr>
      <w:r>
        <w:lastRenderedPageBreak/>
        <w:t xml:space="preserve">DIC Scientific Subcommittee of the ISTH proposed a scoring system for </w:t>
      </w:r>
      <w:proofErr w:type="spellStart"/>
      <w:r>
        <w:t>nonovert</w:t>
      </w:r>
      <w:proofErr w:type="spellEnd"/>
      <w:r>
        <w:t xml:space="preserve"> and overt DIC in humans</w:t>
      </w:r>
    </w:p>
    <w:p w:rsidR="00C576C5" w:rsidRDefault="00C576C5" w:rsidP="00C576C5">
      <w:pPr>
        <w:pStyle w:val="ListParagraph"/>
        <w:numPr>
          <w:ilvl w:val="2"/>
          <w:numId w:val="3"/>
        </w:numPr>
        <w:spacing w:after="0"/>
      </w:pPr>
      <w:r>
        <w:t xml:space="preserve">Taylor FB </w:t>
      </w:r>
      <w:proofErr w:type="spellStart"/>
      <w:r>
        <w:t>Jr</w:t>
      </w:r>
      <w:proofErr w:type="spellEnd"/>
      <w:r>
        <w:t xml:space="preserve">, </w:t>
      </w:r>
      <w:proofErr w:type="spellStart"/>
      <w:r>
        <w:t>Toh</w:t>
      </w:r>
      <w:proofErr w:type="spellEnd"/>
      <w:r>
        <w:t xml:space="preserve"> CH, Hoots WK, et al: Towards definition, clinical and laboratory </w:t>
      </w:r>
      <w:proofErr w:type="gramStart"/>
      <w:r>
        <w:t>criteria,</w:t>
      </w:r>
      <w:proofErr w:type="gramEnd"/>
      <w:r>
        <w:t xml:space="preserve"> and a scoring system for disseminated intravascular coagulation.  </w:t>
      </w:r>
      <w:proofErr w:type="spellStart"/>
      <w:r>
        <w:t>Thromb</w:t>
      </w:r>
      <w:proofErr w:type="spellEnd"/>
      <w:r>
        <w:t xml:space="preserve"> </w:t>
      </w:r>
      <w:proofErr w:type="spellStart"/>
      <w:r>
        <w:t>Haemost</w:t>
      </w:r>
      <w:proofErr w:type="spellEnd"/>
      <w:r>
        <w:t xml:space="preserve"> 2001; 86</w:t>
      </w:r>
    </w:p>
    <w:p w:rsidR="00C576C5" w:rsidRDefault="00C576C5" w:rsidP="00C576C5">
      <w:pPr>
        <w:pStyle w:val="ListParagraph"/>
        <w:numPr>
          <w:ilvl w:val="2"/>
          <w:numId w:val="3"/>
        </w:numPr>
        <w:spacing w:after="0"/>
      </w:pPr>
      <w:r>
        <w:t xml:space="preserve">Scheme based on widely available standard diagnostic tests (PT and </w:t>
      </w:r>
      <w:proofErr w:type="spellStart"/>
      <w:r>
        <w:t>plt</w:t>
      </w:r>
      <w:proofErr w:type="spellEnd"/>
      <w:r>
        <w:t xml:space="preserve"> count)</w:t>
      </w:r>
    </w:p>
    <w:p w:rsidR="00C576C5" w:rsidRDefault="00C576C5" w:rsidP="00C576C5">
      <w:pPr>
        <w:pStyle w:val="ListParagraph"/>
        <w:numPr>
          <w:ilvl w:val="2"/>
          <w:numId w:val="3"/>
        </w:numPr>
        <w:spacing w:after="0"/>
      </w:pPr>
      <w:r>
        <w:t>Overt DIC: scoring system applied to patients that have a predisposing disorder and no points are given for underlying disease</w:t>
      </w:r>
    </w:p>
    <w:p w:rsidR="00C576C5" w:rsidRDefault="00C576C5" w:rsidP="00C576C5">
      <w:pPr>
        <w:pStyle w:val="ListParagraph"/>
        <w:numPr>
          <w:ilvl w:val="3"/>
          <w:numId w:val="3"/>
        </w:numPr>
        <w:spacing w:after="0"/>
      </w:pPr>
      <w:r>
        <w:t xml:space="preserve">Score based on moderate thrombocytopenia, prolonged PT, low fibrinogen, increased </w:t>
      </w:r>
      <w:proofErr w:type="spellStart"/>
      <w:r>
        <w:t>fibrinolytic</w:t>
      </w:r>
      <w:proofErr w:type="spellEnd"/>
      <w:r>
        <w:t xml:space="preserve"> </w:t>
      </w:r>
      <w:proofErr w:type="spellStart"/>
      <w:r>
        <w:t>pdts</w:t>
      </w:r>
      <w:proofErr w:type="spellEnd"/>
      <w:r>
        <w:t xml:space="preserve"> (FDP, D-</w:t>
      </w:r>
      <w:proofErr w:type="spellStart"/>
      <w:r>
        <w:t>dimer</w:t>
      </w:r>
      <w:proofErr w:type="spellEnd"/>
      <w:r>
        <w:t>), or soluble fibrin monomer</w:t>
      </w:r>
    </w:p>
    <w:p w:rsidR="00C576C5" w:rsidRDefault="00C576C5" w:rsidP="00C576C5">
      <w:pPr>
        <w:pStyle w:val="ListParagraph"/>
        <w:numPr>
          <w:ilvl w:val="2"/>
          <w:numId w:val="3"/>
        </w:numPr>
        <w:spacing w:after="0"/>
      </w:pPr>
      <w:proofErr w:type="spellStart"/>
      <w:r>
        <w:t>Nonovert</w:t>
      </w:r>
      <w:proofErr w:type="spellEnd"/>
      <w:r>
        <w:t xml:space="preserve"> DIC: laboratory detection more difficult, therefore, points given for underlying disease and TRENDS in data from routine assays were included to detect a progressively activated </w:t>
      </w:r>
      <w:proofErr w:type="spellStart"/>
      <w:r>
        <w:t>hemostatic</w:t>
      </w:r>
      <w:proofErr w:type="spellEnd"/>
      <w:r>
        <w:t xml:space="preserve"> system (q 24-48hrs)</w:t>
      </w:r>
    </w:p>
    <w:p w:rsidR="00C576C5" w:rsidRDefault="00C576C5" w:rsidP="00C576C5">
      <w:pPr>
        <w:pStyle w:val="ListParagraph"/>
        <w:numPr>
          <w:ilvl w:val="2"/>
          <w:numId w:val="3"/>
        </w:numPr>
        <w:spacing w:after="0"/>
      </w:pPr>
      <w:r>
        <w:t>Patients classified with overt DIC have higher mortality rates and incidence of organ dysfunction than those not in overt DIC in most studies</w:t>
      </w:r>
    </w:p>
    <w:p w:rsidR="00C576C5" w:rsidRDefault="00C576C5" w:rsidP="00C576C5">
      <w:pPr>
        <w:pStyle w:val="ListParagraph"/>
        <w:numPr>
          <w:ilvl w:val="2"/>
          <w:numId w:val="3"/>
        </w:numPr>
        <w:spacing w:after="0"/>
      </w:pPr>
      <w:r>
        <w:t>Overt DIC score is largely dependent on PT and platelet count</w:t>
      </w:r>
    </w:p>
    <w:p w:rsidR="00C576C5" w:rsidRDefault="00C576C5" w:rsidP="00C576C5">
      <w:pPr>
        <w:pStyle w:val="ListParagraph"/>
        <w:numPr>
          <w:ilvl w:val="1"/>
          <w:numId w:val="3"/>
        </w:numPr>
        <w:spacing w:after="0"/>
      </w:pPr>
      <w:r>
        <w:t xml:space="preserve">One preliminary study on application of a modified ISTH scoring system for diagnosis of </w:t>
      </w:r>
      <w:proofErr w:type="spellStart"/>
      <w:r>
        <w:t>nonovert</w:t>
      </w:r>
      <w:proofErr w:type="spellEnd"/>
      <w:r>
        <w:t xml:space="preserve"> DIC in dogs (</w:t>
      </w:r>
      <w:proofErr w:type="spellStart"/>
      <w:r>
        <w:t>Wiinberg</w:t>
      </w:r>
      <w:proofErr w:type="spellEnd"/>
      <w:r>
        <w:t xml:space="preserve"> B, Jensen AL, </w:t>
      </w:r>
      <w:proofErr w:type="spellStart"/>
      <w:r>
        <w:t>Rojkjaer</w:t>
      </w:r>
      <w:proofErr w:type="spellEnd"/>
      <w:r>
        <w:t xml:space="preserve"> R, et al: Prospective pilot study on performance and prognostic value of a new human, ISTH-based scoring system for identifying non-overt disseminated intravascular coagulation in dogs.  J Vet Intern Med 2006; 20: 765)</w:t>
      </w:r>
    </w:p>
    <w:p w:rsidR="00C576C5" w:rsidRDefault="00C576C5" w:rsidP="00C576C5">
      <w:pPr>
        <w:pStyle w:val="ListParagraph"/>
        <w:numPr>
          <w:ilvl w:val="2"/>
          <w:numId w:val="3"/>
        </w:numPr>
        <w:spacing w:after="0"/>
      </w:pPr>
      <w:r>
        <w:t>Total hospitalization days and 28-day mortality rates- outcome measures in 24 dogs with diseases associated with DIC</w:t>
      </w:r>
    </w:p>
    <w:p w:rsidR="00C576C5" w:rsidRDefault="00C576C5" w:rsidP="00C576C5">
      <w:pPr>
        <w:pStyle w:val="ListParagraph"/>
        <w:numPr>
          <w:ilvl w:val="3"/>
          <w:numId w:val="3"/>
        </w:numPr>
        <w:spacing w:after="0"/>
      </w:pPr>
      <w:r>
        <w:t xml:space="preserve">Combined selected </w:t>
      </w:r>
      <w:proofErr w:type="spellStart"/>
      <w:r>
        <w:t>nonovert</w:t>
      </w:r>
      <w:proofErr w:type="spellEnd"/>
      <w:r>
        <w:t xml:space="preserve"> and overt DIC criteria (points given for underlying disease, prolonged PT, thrombocytopenia, high D-</w:t>
      </w:r>
      <w:proofErr w:type="spellStart"/>
      <w:r>
        <w:t>dimer</w:t>
      </w:r>
      <w:proofErr w:type="spellEnd"/>
      <w:r>
        <w:t>, low AT)for diagnosing DIC and compared it to traditional assessment on daily blood samples</w:t>
      </w:r>
    </w:p>
    <w:p w:rsidR="00C576C5" w:rsidRDefault="00C576C5" w:rsidP="00C576C5">
      <w:pPr>
        <w:pStyle w:val="ListParagraph"/>
        <w:numPr>
          <w:ilvl w:val="4"/>
          <w:numId w:val="3"/>
        </w:numPr>
        <w:spacing w:after="0"/>
      </w:pPr>
      <w:r>
        <w:t>More dogs were diagnosed in DIC with traditional criteria (&gt;/=3 abnormal tests) but mortality was higher in the dogs classified in DIC by mod ISTH criteria</w:t>
      </w:r>
    </w:p>
    <w:p w:rsidR="00C576C5" w:rsidRDefault="00C576C5" w:rsidP="00C576C5">
      <w:pPr>
        <w:pStyle w:val="ListParagraph"/>
        <w:numPr>
          <w:ilvl w:val="1"/>
          <w:numId w:val="3"/>
        </w:numPr>
        <w:spacing w:after="0"/>
      </w:pPr>
      <w:r>
        <w:t xml:space="preserve">Diagnostic scoring algorithm for DIC based on multiple logistic regression analysis of </w:t>
      </w:r>
      <w:proofErr w:type="spellStart"/>
      <w:r>
        <w:t>hemostatic</w:t>
      </w:r>
      <w:proofErr w:type="spellEnd"/>
      <w:r>
        <w:t xml:space="preserve"> assays (</w:t>
      </w:r>
      <w:proofErr w:type="spellStart"/>
      <w:r>
        <w:t>Wiinberg</w:t>
      </w:r>
      <w:proofErr w:type="spellEnd"/>
      <w:r>
        <w:t xml:space="preserve"> B, Jensen AL, Johansson PI, et al: Development of a model based scoring system for diagnosis of canine disseminated intravascular coagulation with independent assessment of sensitivity and specificity.  Vet J 2010; 185: 292-8)</w:t>
      </w:r>
    </w:p>
    <w:p w:rsidR="00C576C5" w:rsidRDefault="00C576C5" w:rsidP="00C576C5">
      <w:pPr>
        <w:pStyle w:val="ListParagraph"/>
        <w:numPr>
          <w:ilvl w:val="1"/>
          <w:numId w:val="3"/>
        </w:numPr>
        <w:spacing w:after="0"/>
      </w:pPr>
      <w:proofErr w:type="spellStart"/>
      <w:r>
        <w:t>Viscoelastic</w:t>
      </w:r>
      <w:proofErr w:type="spellEnd"/>
      <w:r>
        <w:t xml:space="preserve"> testing- global </w:t>
      </w:r>
      <w:proofErr w:type="spellStart"/>
      <w:r>
        <w:t>hemostatic</w:t>
      </w:r>
      <w:proofErr w:type="spellEnd"/>
      <w:r>
        <w:t xml:space="preserve"> assay</w:t>
      </w:r>
    </w:p>
    <w:p w:rsidR="00C576C5" w:rsidRDefault="00C576C5" w:rsidP="00C576C5">
      <w:pPr>
        <w:pStyle w:val="ListParagraph"/>
        <w:numPr>
          <w:ilvl w:val="2"/>
          <w:numId w:val="3"/>
        </w:numPr>
        <w:spacing w:after="0"/>
      </w:pPr>
      <w:r>
        <w:t xml:space="preserve">Important factors that influence results include type and concentration of activator, timing of analysis, and </w:t>
      </w:r>
      <w:proofErr w:type="spellStart"/>
      <w:r>
        <w:t>hematocrit</w:t>
      </w:r>
      <w:proofErr w:type="spellEnd"/>
    </w:p>
    <w:p w:rsidR="00C576C5" w:rsidRDefault="00C576C5" w:rsidP="00C576C5">
      <w:pPr>
        <w:pStyle w:val="ListParagraph"/>
        <w:numPr>
          <w:ilvl w:val="3"/>
          <w:numId w:val="3"/>
        </w:numPr>
        <w:spacing w:after="0"/>
      </w:pPr>
      <w:r>
        <w:t xml:space="preserve">Trend toward </w:t>
      </w:r>
      <w:proofErr w:type="spellStart"/>
      <w:r>
        <w:t>hypercoagulable</w:t>
      </w:r>
      <w:proofErr w:type="spellEnd"/>
      <w:r>
        <w:t xml:space="preserve"> tracings with storage of blood and lower </w:t>
      </w:r>
      <w:proofErr w:type="spellStart"/>
      <w:r>
        <w:t>hematocrits</w:t>
      </w:r>
      <w:proofErr w:type="spellEnd"/>
    </w:p>
    <w:p w:rsidR="00C576C5" w:rsidRDefault="00C576C5" w:rsidP="00C576C5">
      <w:pPr>
        <w:pStyle w:val="ListParagraph"/>
        <w:numPr>
          <w:ilvl w:val="3"/>
          <w:numId w:val="3"/>
        </w:numPr>
        <w:spacing w:after="0"/>
      </w:pPr>
      <w:r>
        <w:t xml:space="preserve">No consensus on the definition of </w:t>
      </w:r>
      <w:proofErr w:type="spellStart"/>
      <w:r>
        <w:t>hypercoagulability</w:t>
      </w:r>
      <w:proofErr w:type="spellEnd"/>
    </w:p>
    <w:p w:rsidR="00C576C5" w:rsidRDefault="00C576C5" w:rsidP="00C576C5">
      <w:pPr>
        <w:pStyle w:val="ListParagraph"/>
        <w:numPr>
          <w:ilvl w:val="2"/>
          <w:numId w:val="3"/>
        </w:numPr>
        <w:spacing w:after="0"/>
      </w:pPr>
      <w:proofErr w:type="spellStart"/>
      <w:r>
        <w:lastRenderedPageBreak/>
        <w:t>Wiinberg</w:t>
      </w:r>
      <w:proofErr w:type="spellEnd"/>
      <w:r>
        <w:t xml:space="preserve"> B, Jensen AL, </w:t>
      </w:r>
      <w:proofErr w:type="spellStart"/>
      <w:r>
        <w:t>Johannson</w:t>
      </w:r>
      <w:proofErr w:type="spellEnd"/>
      <w:r>
        <w:t xml:space="preserve"> PI, et al: </w:t>
      </w:r>
      <w:proofErr w:type="spellStart"/>
      <w:r>
        <w:t>Thromboelastographic</w:t>
      </w:r>
      <w:proofErr w:type="spellEnd"/>
      <w:r>
        <w:t xml:space="preserve"> evaluation of </w:t>
      </w:r>
      <w:proofErr w:type="spellStart"/>
      <w:r>
        <w:t>hemostatic</w:t>
      </w:r>
      <w:proofErr w:type="spellEnd"/>
      <w:r>
        <w:t xml:space="preserve"> function in dogs with disseminated intravascular coagulation.  JVIM 2008; 22: 357-365</w:t>
      </w:r>
    </w:p>
    <w:p w:rsidR="00C576C5" w:rsidRDefault="00C576C5" w:rsidP="00C576C5">
      <w:pPr>
        <w:pStyle w:val="ListParagraph"/>
        <w:numPr>
          <w:ilvl w:val="3"/>
          <w:numId w:val="3"/>
        </w:numPr>
        <w:spacing w:after="0"/>
      </w:pPr>
      <w:r>
        <w:t>Outcome based on 28 day mortality</w:t>
      </w:r>
    </w:p>
    <w:p w:rsidR="00C576C5" w:rsidRDefault="00C576C5" w:rsidP="00C576C5">
      <w:pPr>
        <w:pStyle w:val="ListParagraph"/>
        <w:numPr>
          <w:ilvl w:val="3"/>
          <w:numId w:val="3"/>
        </w:numPr>
        <w:spacing w:after="0"/>
      </w:pPr>
      <w:proofErr w:type="spellStart"/>
      <w:r>
        <w:t>Hypercoagulability</w:t>
      </w:r>
      <w:proofErr w:type="spellEnd"/>
      <w:r>
        <w:t xml:space="preserve"> was the most common coagulation state in dogs with DIC</w:t>
      </w:r>
    </w:p>
    <w:p w:rsidR="00C576C5" w:rsidRDefault="00C576C5" w:rsidP="00C576C5">
      <w:pPr>
        <w:pStyle w:val="ListParagraph"/>
        <w:numPr>
          <w:ilvl w:val="3"/>
          <w:numId w:val="3"/>
        </w:numPr>
        <w:spacing w:after="0"/>
      </w:pPr>
      <w:proofErr w:type="spellStart"/>
      <w:r>
        <w:t>Hypocoagulable</w:t>
      </w:r>
      <w:proofErr w:type="spellEnd"/>
      <w:r>
        <w:t xml:space="preserve"> dogs had a higher risk of mortality than dogs with normal/</w:t>
      </w:r>
      <w:proofErr w:type="spellStart"/>
      <w:r>
        <w:t>hypercoagulable</w:t>
      </w:r>
      <w:proofErr w:type="spellEnd"/>
      <w:r>
        <w:t xml:space="preserve"> states</w:t>
      </w:r>
    </w:p>
    <w:p w:rsidR="00C576C5" w:rsidRDefault="00C576C5" w:rsidP="00C576C5">
      <w:pPr>
        <w:pStyle w:val="ListParagraph"/>
        <w:numPr>
          <w:ilvl w:val="3"/>
          <w:numId w:val="3"/>
        </w:numPr>
        <w:spacing w:after="0"/>
      </w:pPr>
      <w:r>
        <w:t xml:space="preserve">Influence of </w:t>
      </w:r>
      <w:proofErr w:type="spellStart"/>
      <w:r>
        <w:t>Hct</w:t>
      </w:r>
      <w:proofErr w:type="spellEnd"/>
      <w:r>
        <w:t xml:space="preserve"> was not evaluated</w:t>
      </w:r>
    </w:p>
    <w:p w:rsidR="00C576C5" w:rsidRDefault="00C576C5" w:rsidP="00C576C5">
      <w:pPr>
        <w:pStyle w:val="ListParagraph"/>
        <w:numPr>
          <w:ilvl w:val="2"/>
          <w:numId w:val="3"/>
        </w:numPr>
        <w:spacing w:after="0"/>
      </w:pPr>
      <w:r>
        <w:t xml:space="preserve">Dogs with </w:t>
      </w:r>
      <w:proofErr w:type="spellStart"/>
      <w:r>
        <w:t>plt</w:t>
      </w:r>
      <w:proofErr w:type="spellEnd"/>
      <w:r>
        <w:t xml:space="preserve"> count &lt;30,000 are </w:t>
      </w:r>
      <w:proofErr w:type="spellStart"/>
      <w:r>
        <w:t>hypocoagulable</w:t>
      </w:r>
      <w:proofErr w:type="spellEnd"/>
      <w:r>
        <w:t xml:space="preserve"> (as defined by G or MA)</w:t>
      </w:r>
    </w:p>
    <w:p w:rsidR="00C576C5" w:rsidRDefault="00C576C5" w:rsidP="00C576C5">
      <w:pPr>
        <w:pStyle w:val="ListParagraph"/>
        <w:numPr>
          <w:ilvl w:val="2"/>
          <w:numId w:val="3"/>
        </w:numPr>
        <w:spacing w:after="0"/>
      </w:pPr>
      <w:r>
        <w:t xml:space="preserve">Dogs with </w:t>
      </w:r>
      <w:proofErr w:type="spellStart"/>
      <w:r>
        <w:t>hyperfibrinogenemia</w:t>
      </w:r>
      <w:proofErr w:type="spellEnd"/>
      <w:r>
        <w:t xml:space="preserve"> are </w:t>
      </w:r>
      <w:proofErr w:type="spellStart"/>
      <w:r>
        <w:t>hypercoagulable</w:t>
      </w:r>
      <w:proofErr w:type="spellEnd"/>
      <w:r>
        <w:t xml:space="preserve"> (as defined by G or MA)</w:t>
      </w:r>
    </w:p>
    <w:p w:rsidR="00C576C5" w:rsidRDefault="00C576C5" w:rsidP="00C576C5">
      <w:pPr>
        <w:pStyle w:val="ListParagraph"/>
        <w:numPr>
          <w:ilvl w:val="2"/>
          <w:numId w:val="3"/>
        </w:numPr>
        <w:spacing w:after="0"/>
      </w:pPr>
      <w:r>
        <w:t xml:space="preserve">A recent study suggests that TEG is not a good screening tool for detection of early </w:t>
      </w:r>
      <w:proofErr w:type="spellStart"/>
      <w:r>
        <w:t>hemostatic</w:t>
      </w:r>
      <w:proofErr w:type="spellEnd"/>
      <w:r>
        <w:t xml:space="preserve"> abnormalities in experimental </w:t>
      </w:r>
      <w:proofErr w:type="spellStart"/>
      <w:r>
        <w:t>endotoxemia</w:t>
      </w:r>
      <w:proofErr w:type="spellEnd"/>
      <w:r>
        <w:t xml:space="preserve"> in dogs (</w:t>
      </w:r>
      <w:proofErr w:type="spellStart"/>
      <w:r>
        <w:t>Eralp</w:t>
      </w:r>
      <w:proofErr w:type="spellEnd"/>
      <w:r>
        <w:t xml:space="preserve"> O, </w:t>
      </w:r>
      <w:proofErr w:type="spellStart"/>
      <w:r>
        <w:t>Yilmaz</w:t>
      </w:r>
      <w:proofErr w:type="spellEnd"/>
      <w:r>
        <w:t xml:space="preserve"> Z, Failing K, et al: Effect of experimental </w:t>
      </w:r>
      <w:proofErr w:type="spellStart"/>
      <w:r>
        <w:t>endotoxemia</w:t>
      </w:r>
      <w:proofErr w:type="spellEnd"/>
      <w:r>
        <w:t xml:space="preserve"> on </w:t>
      </w:r>
      <w:proofErr w:type="spellStart"/>
      <w:r>
        <w:t>thromboelastography</w:t>
      </w:r>
      <w:proofErr w:type="spellEnd"/>
      <w:r>
        <w:t xml:space="preserve"> parameters, secondary and tertiary </w:t>
      </w:r>
      <w:proofErr w:type="spellStart"/>
      <w:r>
        <w:t>hemostasis</w:t>
      </w:r>
      <w:proofErr w:type="spellEnd"/>
      <w:r>
        <w:t xml:space="preserve"> in dogs.  JVIM 2011; 25: 524-531)</w:t>
      </w:r>
    </w:p>
    <w:p w:rsidR="00C576C5" w:rsidRDefault="00C576C5" w:rsidP="00C576C5">
      <w:pPr>
        <w:pStyle w:val="ListParagraph"/>
        <w:numPr>
          <w:ilvl w:val="1"/>
          <w:numId w:val="3"/>
        </w:numPr>
        <w:spacing w:after="0"/>
      </w:pPr>
      <w:r>
        <w:t xml:space="preserve">Daily or alternate-day testing to monitor for trends in </w:t>
      </w:r>
      <w:proofErr w:type="spellStart"/>
      <w:r>
        <w:t>hemostatic</w:t>
      </w:r>
      <w:proofErr w:type="spellEnd"/>
      <w:r>
        <w:t xml:space="preserve"> test results may be the best means to identify dogs in early or thrombotic phases of DIC</w:t>
      </w:r>
    </w:p>
    <w:p w:rsidR="00C576C5" w:rsidRDefault="00C576C5" w:rsidP="00C576C5">
      <w:pPr>
        <w:spacing w:after="0"/>
      </w:pPr>
    </w:p>
    <w:p w:rsidR="00C576C5" w:rsidRDefault="00C576C5" w:rsidP="00C576C5">
      <w:pPr>
        <w:spacing w:after="0"/>
      </w:pPr>
      <w:r>
        <w:t>QUESTIONS:</w:t>
      </w:r>
    </w:p>
    <w:p w:rsidR="00C576C5" w:rsidRDefault="00C576C5" w:rsidP="00C576C5">
      <w:pPr>
        <w:spacing w:after="0"/>
      </w:pPr>
    </w:p>
    <w:p w:rsidR="00C576C5" w:rsidRDefault="00C576C5" w:rsidP="00C576C5">
      <w:pPr>
        <w:pStyle w:val="ListParagraph"/>
        <w:numPr>
          <w:ilvl w:val="0"/>
          <w:numId w:val="4"/>
        </w:numPr>
        <w:spacing w:after="0"/>
      </w:pPr>
      <w:r>
        <w:t xml:space="preserve"> Draw the pathway by which thrombin generation occurs and is amplified and disseminated on cell surfaces in normal physiologic conditions and in DIC</w:t>
      </w:r>
    </w:p>
    <w:p w:rsidR="00C576C5" w:rsidRDefault="00C576C5" w:rsidP="00C576C5">
      <w:pPr>
        <w:pStyle w:val="ListParagraph"/>
        <w:spacing w:after="0"/>
        <w:ind w:left="1440"/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126.35pt;margin-top:1pt;width:41.65pt;height:17.25pt;z-index:251659264"/>
        </w:pict>
      </w:r>
      <w:r>
        <w:t xml:space="preserve">TF + FVII   </w:t>
      </w:r>
      <w:r>
        <w:tab/>
      </w:r>
      <w:r>
        <w:tab/>
        <w:t>TF-</w:t>
      </w:r>
      <w:proofErr w:type="spellStart"/>
      <w:r>
        <w:t>FVIIa</w:t>
      </w:r>
      <w:proofErr w:type="spellEnd"/>
    </w:p>
    <w:p w:rsidR="00C576C5" w:rsidRDefault="00C576C5" w:rsidP="00C576C5">
      <w:pPr>
        <w:pStyle w:val="ListParagraph"/>
        <w:spacing w:after="0"/>
        <w:ind w:left="1440"/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183pt;margin-top:13.3pt;width:25.5pt;height:42.75pt;z-index:251658240">
            <v:textbox style="layout-flow:vertical-ideographic"/>
          </v:shape>
        </w:pict>
      </w:r>
      <w:r>
        <w:tab/>
      </w:r>
      <w:r>
        <w:tab/>
      </w:r>
    </w:p>
    <w:p w:rsidR="00C576C5" w:rsidRDefault="00C576C5" w:rsidP="00C576C5">
      <w:pPr>
        <w:pStyle w:val="ListParagraph"/>
        <w:spacing w:after="0"/>
        <w:ind w:left="1440"/>
      </w:pPr>
      <w:r>
        <w:tab/>
      </w:r>
      <w:r>
        <w:tab/>
      </w:r>
      <w:r>
        <w:tab/>
      </w:r>
      <w:r>
        <w:tab/>
        <w:t>FX and FIX</w:t>
      </w:r>
    </w:p>
    <w:p w:rsidR="00C576C5" w:rsidRDefault="00C576C5" w:rsidP="00C576C5">
      <w:pPr>
        <w:pStyle w:val="ListParagraph"/>
        <w:spacing w:after="0"/>
        <w:ind w:left="1440"/>
      </w:pPr>
    </w:p>
    <w:p w:rsidR="00C576C5" w:rsidRDefault="00C576C5" w:rsidP="00C576C5">
      <w:pPr>
        <w:pStyle w:val="ListParagraph"/>
        <w:spacing w:after="0"/>
        <w:ind w:left="1440"/>
      </w:pPr>
    </w:p>
    <w:p w:rsidR="00C576C5" w:rsidRDefault="00C576C5" w:rsidP="00C576C5">
      <w:pPr>
        <w:pStyle w:val="ListParagraph"/>
        <w:spacing w:after="0"/>
        <w:ind w:left="1440"/>
      </w:pPr>
      <w:r>
        <w:rPr>
          <w:noProof/>
        </w:rPr>
        <w:pict>
          <v:shape id="_x0000_s1028" type="#_x0000_t67" style="position:absolute;left:0;text-align:left;margin-left:168pt;margin-top:20.55pt;width:22.5pt;height:48pt;z-index:251660288">
            <v:textbox style="layout-flow:vertical-ideographic"/>
          </v:shape>
        </w:pict>
      </w:r>
      <w:r>
        <w:tab/>
      </w:r>
      <w:r>
        <w:tab/>
        <w:t xml:space="preserve">           </w:t>
      </w:r>
      <w:proofErr w:type="spellStart"/>
      <w:r>
        <w:t>FXa</w:t>
      </w:r>
      <w:proofErr w:type="spellEnd"/>
      <w:r>
        <w:t xml:space="preserve"> and </w:t>
      </w:r>
      <w:proofErr w:type="spellStart"/>
      <w:r>
        <w:t>FIXa</w:t>
      </w:r>
      <w:proofErr w:type="spellEnd"/>
    </w:p>
    <w:p w:rsidR="00C576C5" w:rsidRDefault="00C576C5" w:rsidP="00C576C5">
      <w:pPr>
        <w:pStyle w:val="ListParagraph"/>
        <w:spacing w:after="0"/>
        <w:ind w:left="1440"/>
      </w:pPr>
    </w:p>
    <w:p w:rsidR="00C576C5" w:rsidRDefault="00C576C5" w:rsidP="00C576C5">
      <w:pPr>
        <w:pStyle w:val="ListParagraph"/>
        <w:spacing w:after="0"/>
        <w:ind w:left="1440"/>
      </w:pPr>
      <w:r>
        <w:tab/>
      </w:r>
      <w:r>
        <w:tab/>
      </w:r>
    </w:p>
    <w:p w:rsidR="00C576C5" w:rsidRDefault="00C576C5" w:rsidP="00C576C5">
      <w:pPr>
        <w:pStyle w:val="ListParagraph"/>
        <w:spacing w:after="0"/>
        <w:ind w:left="1440"/>
      </w:pPr>
    </w:p>
    <w:p w:rsidR="00C576C5" w:rsidRDefault="00C576C5" w:rsidP="00C576C5">
      <w:pPr>
        <w:pStyle w:val="ListParagraph"/>
        <w:spacing w:after="0"/>
        <w:ind w:left="1440"/>
      </w:pPr>
      <w:r>
        <w:rPr>
          <w:noProof/>
        </w:rPr>
        <w:pict>
          <v:shape id="_x0000_s1030" type="#_x0000_t13" style="position:absolute;left:0;text-align:left;margin-left:264pt;margin-top:14.25pt;width:55.9pt;height:17.25pt;z-index:251662336"/>
        </w:pict>
      </w:r>
      <w:r>
        <w:rPr>
          <w:noProof/>
        </w:rPr>
        <w:pict>
          <v:shape id="_x0000_s1029" type="#_x0000_t13" style="position:absolute;left:0;text-align:left;margin-left:163.5pt;margin-top:10.5pt;width:51.4pt;height:17.25pt;z-index:251661312"/>
        </w:pict>
      </w:r>
      <w:r>
        <w:tab/>
      </w:r>
      <w:r>
        <w:tab/>
      </w:r>
      <w:r>
        <w:tab/>
      </w:r>
      <w:r>
        <w:tab/>
      </w:r>
      <w:r>
        <w:tab/>
        <w:t xml:space="preserve">       XI, V, VIII</w:t>
      </w:r>
    </w:p>
    <w:p w:rsidR="00C576C5" w:rsidRDefault="00C576C5" w:rsidP="00C576C5">
      <w:pPr>
        <w:pStyle w:val="ListParagraph"/>
        <w:spacing w:after="0"/>
        <w:ind w:left="3600" w:hanging="1635"/>
      </w:pPr>
      <w:proofErr w:type="spellStart"/>
      <w:r>
        <w:t>Prothrombin</w:t>
      </w:r>
      <w:proofErr w:type="spellEnd"/>
      <w:r>
        <w:tab/>
      </w:r>
      <w:r>
        <w:tab/>
        <w:t>Thrombin</w:t>
      </w:r>
      <w:r>
        <w:tab/>
      </w:r>
      <w:r>
        <w:tab/>
      </w:r>
      <w:proofErr w:type="spellStart"/>
      <w:r>
        <w:t>FXIa</w:t>
      </w:r>
      <w:proofErr w:type="spellEnd"/>
      <w:r>
        <w:t xml:space="preserve">, </w:t>
      </w:r>
      <w:proofErr w:type="spellStart"/>
      <w:r>
        <w:t>FVa</w:t>
      </w:r>
      <w:proofErr w:type="spellEnd"/>
      <w:r>
        <w:t xml:space="preserve">, </w:t>
      </w:r>
      <w:proofErr w:type="spellStart"/>
      <w:r>
        <w:t>FVIIIa</w:t>
      </w:r>
      <w:proofErr w:type="spellEnd"/>
      <w:r>
        <w:t xml:space="preserve"> (amplify </w:t>
      </w:r>
    </w:p>
    <w:p w:rsidR="00C576C5" w:rsidRDefault="00C576C5" w:rsidP="00C576C5">
      <w:pPr>
        <w:pStyle w:val="ListParagraph"/>
        <w:spacing w:after="0"/>
        <w:ind w:left="5760" w:firstLine="720"/>
      </w:pPr>
      <w:r>
        <w:rPr>
          <w:noProof/>
        </w:rPr>
        <w:pict>
          <v:shape id="_x0000_s1031" type="#_x0000_t67" style="position:absolute;left:0;text-align:left;margin-left:230.25pt;margin-top:3.65pt;width:18.75pt;height:42pt;z-index:251663360">
            <v:textbox style="layout-flow:vertical-ideographic"/>
          </v:shape>
        </w:pict>
      </w:r>
      <w:proofErr w:type="gramStart"/>
      <w:r>
        <w:t>thrombin</w:t>
      </w:r>
      <w:proofErr w:type="gramEnd"/>
      <w:r>
        <w:t xml:space="preserve"> </w:t>
      </w:r>
      <w:proofErr w:type="spellStart"/>
      <w:r>
        <w:t>pdn</w:t>
      </w:r>
      <w:proofErr w:type="spellEnd"/>
      <w:r>
        <w:t>)</w:t>
      </w:r>
    </w:p>
    <w:p w:rsidR="00C576C5" w:rsidRDefault="00C576C5" w:rsidP="00C576C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fibrinogen</w:t>
      </w:r>
      <w:proofErr w:type="gramEnd"/>
    </w:p>
    <w:p w:rsidR="00C576C5" w:rsidRDefault="00C576C5" w:rsidP="00C576C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C576C5" w:rsidRDefault="00C576C5" w:rsidP="00C576C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Fibrin</w:t>
      </w:r>
    </w:p>
    <w:p w:rsidR="00C576C5" w:rsidRDefault="00C576C5" w:rsidP="00C576C5">
      <w:pPr>
        <w:pStyle w:val="ListParagraph"/>
        <w:numPr>
          <w:ilvl w:val="0"/>
          <w:numId w:val="4"/>
        </w:numPr>
        <w:spacing w:after="0"/>
      </w:pPr>
      <w:r>
        <w:t xml:space="preserve"> List two mechanisms by which </w:t>
      </w:r>
      <w:proofErr w:type="spellStart"/>
      <w:r>
        <w:t>microparticles</w:t>
      </w:r>
      <w:proofErr w:type="spellEnd"/>
      <w:r>
        <w:t xml:space="preserve"> result in thrombin generation and propagation.</w:t>
      </w:r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proofErr w:type="spellStart"/>
      <w:r>
        <w:t>Microparticles</w:t>
      </w:r>
      <w:proofErr w:type="spellEnd"/>
      <w:r>
        <w:t xml:space="preserve"> provide a large functional surface area on which coagulation can </w:t>
      </w:r>
      <w:proofErr w:type="spellStart"/>
      <w:r>
        <w:t>propragate</w:t>
      </w:r>
      <w:proofErr w:type="spellEnd"/>
      <w:r>
        <w:t xml:space="preserve"> systemically.  They are enriched in </w:t>
      </w:r>
      <w:proofErr w:type="spellStart"/>
      <w:r>
        <w:t>phosphatidylserine</w:t>
      </w:r>
      <w:proofErr w:type="spellEnd"/>
      <w:r>
        <w:t xml:space="preserve">, a negatively charged </w:t>
      </w:r>
      <w:proofErr w:type="spellStart"/>
      <w:r>
        <w:lastRenderedPageBreak/>
        <w:t>phospholipid</w:t>
      </w:r>
      <w:proofErr w:type="spellEnd"/>
      <w:r>
        <w:t xml:space="preserve"> that is normally found on the inner leaflet of cell membranes, but is flipped to the outer membrane when cells become activated.  They are the binding site for </w:t>
      </w:r>
      <w:proofErr w:type="spellStart"/>
      <w:r>
        <w:t>GIa</w:t>
      </w:r>
      <w:proofErr w:type="spellEnd"/>
      <w:r>
        <w:t xml:space="preserve">-domain-containing coagulation factors and enables assembly of </w:t>
      </w:r>
      <w:proofErr w:type="spellStart"/>
      <w:r>
        <w:t>tenase</w:t>
      </w:r>
      <w:proofErr w:type="spellEnd"/>
      <w:r>
        <w:t xml:space="preserve"> (FX activating) and </w:t>
      </w:r>
      <w:proofErr w:type="spellStart"/>
      <w:r>
        <w:t>prothrombinase</w:t>
      </w:r>
      <w:proofErr w:type="spellEnd"/>
      <w:r>
        <w:t xml:space="preserve"> (thrombin-activating) complexes on cell surfaces.</w:t>
      </w:r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r>
        <w:t>Due to their small size (&lt;1um) they are not restricted to an injured site and persist in the circulation.</w:t>
      </w:r>
    </w:p>
    <w:p w:rsidR="00C576C5" w:rsidRDefault="00C576C5" w:rsidP="00C576C5">
      <w:pPr>
        <w:pStyle w:val="ListParagraph"/>
        <w:numPr>
          <w:ilvl w:val="0"/>
          <w:numId w:val="4"/>
        </w:numPr>
        <w:spacing w:after="0"/>
      </w:pPr>
      <w:r>
        <w:t xml:space="preserve">Under physiologic conditions, which of the following </w:t>
      </w:r>
      <w:proofErr w:type="gramStart"/>
      <w:r>
        <w:t>are the main source</w:t>
      </w:r>
      <w:proofErr w:type="gramEnd"/>
      <w:r>
        <w:t xml:space="preserve"> of </w:t>
      </w:r>
      <w:proofErr w:type="spellStart"/>
      <w:r>
        <w:t>phosphatidylserine</w:t>
      </w:r>
      <w:proofErr w:type="spellEnd"/>
      <w:r>
        <w:t xml:space="preserve"> membranes?</w:t>
      </w:r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proofErr w:type="spellStart"/>
      <w:r>
        <w:t>Monocytes</w:t>
      </w:r>
      <w:proofErr w:type="spellEnd"/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r>
        <w:t>Granulocytes</w:t>
      </w:r>
    </w:p>
    <w:p w:rsidR="00C576C5" w:rsidRPr="00C576C5" w:rsidRDefault="00C576C5" w:rsidP="00C576C5">
      <w:pPr>
        <w:pStyle w:val="ListParagraph"/>
        <w:numPr>
          <w:ilvl w:val="1"/>
          <w:numId w:val="4"/>
        </w:numPr>
        <w:spacing w:after="0"/>
        <w:rPr>
          <w:b/>
        </w:rPr>
      </w:pPr>
      <w:r w:rsidRPr="00C576C5">
        <w:rPr>
          <w:b/>
        </w:rPr>
        <w:t>Platelets</w:t>
      </w:r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r>
        <w:t>Erythrocytes</w:t>
      </w:r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r>
        <w:t>Endothelial cells</w:t>
      </w:r>
    </w:p>
    <w:p w:rsidR="00C576C5" w:rsidRDefault="00C576C5" w:rsidP="00C576C5">
      <w:pPr>
        <w:pStyle w:val="ListParagraph"/>
        <w:numPr>
          <w:ilvl w:val="0"/>
          <w:numId w:val="4"/>
        </w:numPr>
        <w:spacing w:after="0"/>
      </w:pPr>
      <w:r>
        <w:t xml:space="preserve"> T/F:  The </w:t>
      </w:r>
      <w:proofErr w:type="spellStart"/>
      <w:r>
        <w:t>nonovert</w:t>
      </w:r>
      <w:proofErr w:type="spellEnd"/>
      <w:r>
        <w:t xml:space="preserve"> and controlled overt phases of DIC are characterized predominantly by </w:t>
      </w:r>
      <w:proofErr w:type="spellStart"/>
      <w:r>
        <w:t>microthrombi</w:t>
      </w:r>
      <w:proofErr w:type="spellEnd"/>
      <w:r>
        <w:t xml:space="preserve"> generation and inhibited </w:t>
      </w:r>
      <w:proofErr w:type="spellStart"/>
      <w:r>
        <w:t>fibrinolysis</w:t>
      </w:r>
      <w:proofErr w:type="spellEnd"/>
      <w:r>
        <w:t>.  Therefore, FDPs and D-</w:t>
      </w:r>
      <w:proofErr w:type="spellStart"/>
      <w:r>
        <w:t>dimers</w:t>
      </w:r>
      <w:proofErr w:type="spellEnd"/>
      <w:r>
        <w:t xml:space="preserve"> are not characteristically seen during these phases of DIC.  </w:t>
      </w:r>
    </w:p>
    <w:p w:rsidR="00C576C5" w:rsidRDefault="00C576C5" w:rsidP="00C576C5">
      <w:pPr>
        <w:pStyle w:val="ListParagraph"/>
        <w:numPr>
          <w:ilvl w:val="0"/>
          <w:numId w:val="4"/>
        </w:numPr>
        <w:spacing w:after="0"/>
      </w:pPr>
      <w:r>
        <w:t>The following is true regarding scoring systems for the diagnosis of DIC in dogs</w:t>
      </w:r>
    </w:p>
    <w:p w:rsidR="00C576C5" w:rsidRPr="00C576C5" w:rsidRDefault="00C576C5" w:rsidP="00C576C5">
      <w:pPr>
        <w:pStyle w:val="ListParagraph"/>
        <w:numPr>
          <w:ilvl w:val="1"/>
          <w:numId w:val="4"/>
        </w:numPr>
        <w:spacing w:after="0"/>
        <w:rPr>
          <w:b/>
        </w:rPr>
      </w:pPr>
      <w:r w:rsidRPr="00C576C5">
        <w:rPr>
          <w:b/>
        </w:rPr>
        <w:t>More dogs are diagnosed in DIC with the traditional criteria, as compared to the modified ISTH criteria</w:t>
      </w:r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r>
        <w:t>Mortality rates are higher in dogs classified in DIC by traditional criteria, as compared to the modified ISTH criteria</w:t>
      </w:r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r>
        <w:t xml:space="preserve">Serial monitoring of diagnostic screening assays is not useful for the diagnosis of </w:t>
      </w:r>
      <w:proofErr w:type="spellStart"/>
      <w:r>
        <w:t>nonovert</w:t>
      </w:r>
      <w:proofErr w:type="spellEnd"/>
      <w:r>
        <w:t xml:space="preserve"> DIC</w:t>
      </w:r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r>
        <w:t>A and B</w:t>
      </w:r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r>
        <w:t>All of the above</w:t>
      </w:r>
    </w:p>
    <w:p w:rsidR="00C576C5" w:rsidRDefault="00C576C5" w:rsidP="00C576C5">
      <w:pPr>
        <w:pStyle w:val="ListParagraph"/>
        <w:numPr>
          <w:ilvl w:val="0"/>
          <w:numId w:val="4"/>
        </w:numPr>
        <w:spacing w:after="0"/>
      </w:pPr>
      <w:r>
        <w:t xml:space="preserve"> List three factors that influence coagulation results in </w:t>
      </w:r>
      <w:proofErr w:type="spellStart"/>
      <w:r>
        <w:t>viscoelastographic</w:t>
      </w:r>
      <w:proofErr w:type="spellEnd"/>
      <w:r>
        <w:t xml:space="preserve"> testing</w:t>
      </w:r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r>
        <w:t>Type and concentration of the activator</w:t>
      </w:r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r>
        <w:t>Timing of analysis</w:t>
      </w:r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proofErr w:type="spellStart"/>
      <w:r>
        <w:t>Hematocrit</w:t>
      </w:r>
      <w:proofErr w:type="spellEnd"/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r>
        <w:t>Platelet count</w:t>
      </w:r>
    </w:p>
    <w:p w:rsidR="00C576C5" w:rsidRDefault="00C576C5" w:rsidP="00C576C5">
      <w:pPr>
        <w:pStyle w:val="ListParagraph"/>
        <w:numPr>
          <w:ilvl w:val="1"/>
          <w:numId w:val="4"/>
        </w:numPr>
        <w:spacing w:after="0"/>
      </w:pPr>
      <w:r>
        <w:t>Fibrinogen level</w:t>
      </w:r>
      <w:r>
        <w:br/>
      </w:r>
    </w:p>
    <w:sectPr w:rsidR="00C576C5" w:rsidSect="00035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5BFA"/>
    <w:multiLevelType w:val="hybridMultilevel"/>
    <w:tmpl w:val="AF74A5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66D73"/>
    <w:multiLevelType w:val="hybridMultilevel"/>
    <w:tmpl w:val="C0867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81CC8"/>
    <w:multiLevelType w:val="hybridMultilevel"/>
    <w:tmpl w:val="939683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9A7A9C"/>
    <w:multiLevelType w:val="hybridMultilevel"/>
    <w:tmpl w:val="0D968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149D"/>
    <w:rsid w:val="00035C5D"/>
    <w:rsid w:val="00AE149D"/>
    <w:rsid w:val="00C5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C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4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CUHA-Setup</dc:creator>
  <cp:lastModifiedBy>CUHA-Setup</cp:lastModifiedBy>
  <cp:revision>1</cp:revision>
  <dcterms:created xsi:type="dcterms:W3CDTF">2012-11-02T18:58:00Z</dcterms:created>
  <dcterms:modified xsi:type="dcterms:W3CDTF">2012-11-02T21:14:00Z</dcterms:modified>
</cp:coreProperties>
</file>