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9551A">
        <w:rPr>
          <w:rFonts w:ascii="Times New Roman" w:hAnsi="Times New Roman" w:cs="Times New Roman"/>
          <w:b/>
          <w:bCs/>
          <w:sz w:val="20"/>
          <w:szCs w:val="20"/>
          <w:u w:val="single"/>
        </w:rPr>
        <w:t>Alterations in the hemostatic profiles of dogs with naturally occurring septic peritonitis</w:t>
      </w: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7293B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b/>
          <w:sz w:val="20"/>
          <w:szCs w:val="20"/>
        </w:rPr>
        <w:t>Authors</w:t>
      </w:r>
      <w:r w:rsidRPr="00E9551A">
        <w:rPr>
          <w:rFonts w:ascii="Times New Roman" w:hAnsi="Times New Roman" w:cs="Times New Roman"/>
          <w:sz w:val="20"/>
          <w:szCs w:val="20"/>
        </w:rPr>
        <w:t xml:space="preserve">: Adrienne M. Bentley, DVM, DACVS; Philipp D. Mayhew, BVMS, DACVS; William T. N.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Culp</w:t>
      </w:r>
      <w:proofErr w:type="gramStart"/>
      <w:r w:rsidRPr="00E9551A">
        <w:rPr>
          <w:rFonts w:ascii="Times New Roman" w:hAnsi="Times New Roman" w:cs="Times New Roman"/>
          <w:sz w:val="20"/>
          <w:szCs w:val="20"/>
        </w:rPr>
        <w:t>,VMD</w:t>
      </w:r>
      <w:proofErr w:type="spellEnd"/>
      <w:proofErr w:type="gramEnd"/>
      <w:r w:rsidRPr="00E9551A">
        <w:rPr>
          <w:rFonts w:ascii="Times New Roman" w:hAnsi="Times New Roman" w:cs="Times New Roman"/>
          <w:sz w:val="20"/>
          <w:szCs w:val="20"/>
        </w:rPr>
        <w:t>, DACVS and Cynthia M. Otto, DVM, PhD, DACVECC</w:t>
      </w: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9551A">
        <w:rPr>
          <w:rFonts w:ascii="Times New Roman" w:hAnsi="Times New Roman" w:cs="Times New Roman"/>
          <w:b/>
          <w:bCs/>
          <w:sz w:val="20"/>
          <w:szCs w:val="20"/>
        </w:rPr>
        <w:t>Abstract</w:t>
      </w: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9551A">
        <w:rPr>
          <w:rFonts w:ascii="Times New Roman" w:hAnsi="Times New Roman" w:cs="Times New Roman"/>
          <w:b/>
          <w:bCs/>
          <w:sz w:val="20"/>
          <w:szCs w:val="20"/>
        </w:rPr>
        <w:t xml:space="preserve">Objective </w:t>
      </w:r>
      <w:r w:rsidRPr="00E9551A">
        <w:rPr>
          <w:rFonts w:ascii="Times New Roman" w:hAnsi="Times New Roman" w:cs="Times New Roman"/>
          <w:sz w:val="20"/>
          <w:szCs w:val="20"/>
        </w:rPr>
        <w:t>– To characterize derangements in the hemostatic profiles of dogs with naturally occurring septic peritonitis and determine if such derangements were predictive of survival.</w:t>
      </w:r>
      <w:proofErr w:type="gramEnd"/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b/>
          <w:bCs/>
          <w:sz w:val="20"/>
          <w:szCs w:val="20"/>
        </w:rPr>
        <w:t xml:space="preserve">Design </w:t>
      </w:r>
      <w:r w:rsidRPr="00E9551A">
        <w:rPr>
          <w:rFonts w:ascii="Times New Roman" w:hAnsi="Times New Roman" w:cs="Times New Roman"/>
          <w:sz w:val="20"/>
          <w:szCs w:val="20"/>
        </w:rPr>
        <w:t>– Prospective, observational single cohort study.</w:t>
      </w: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b/>
          <w:bCs/>
          <w:sz w:val="20"/>
          <w:szCs w:val="20"/>
        </w:rPr>
        <w:t xml:space="preserve">Setting </w:t>
      </w:r>
      <w:r w:rsidRPr="00E9551A">
        <w:rPr>
          <w:rFonts w:ascii="Times New Roman" w:hAnsi="Times New Roman" w:cs="Times New Roman"/>
          <w:sz w:val="20"/>
          <w:szCs w:val="20"/>
        </w:rPr>
        <w:t>– University veterinary teaching hospital.</w:t>
      </w: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b/>
          <w:bCs/>
          <w:sz w:val="20"/>
          <w:szCs w:val="20"/>
        </w:rPr>
        <w:t xml:space="preserve">Animals </w:t>
      </w:r>
      <w:r w:rsidRPr="00E9551A">
        <w:rPr>
          <w:rFonts w:ascii="Times New Roman" w:hAnsi="Times New Roman" w:cs="Times New Roman"/>
          <w:sz w:val="20"/>
          <w:szCs w:val="20"/>
        </w:rPr>
        <w:t>– A total of 27 client-owned dogs with naturally occurring septic peritonitis.</w:t>
      </w: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b/>
          <w:bCs/>
          <w:sz w:val="20"/>
          <w:szCs w:val="20"/>
        </w:rPr>
        <w:t xml:space="preserve">Interventions </w:t>
      </w:r>
      <w:r w:rsidRPr="00E9551A">
        <w:rPr>
          <w:rFonts w:ascii="Times New Roman" w:hAnsi="Times New Roman" w:cs="Times New Roman"/>
          <w:sz w:val="20"/>
          <w:szCs w:val="20"/>
        </w:rPr>
        <w:t xml:space="preserve">– Standard treatment included fluid resuscitation, antimicrobial therapy, supportive care, and surgery provided at the discretion of the primary clinician. Blood was collected preoperatively and on days 1 and 3 postoperatively for platelet count,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prothrombin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 time, activated partial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thromboplastin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 time, D-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dimer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 and fibrinogen concentrations, total protein C (PC) and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antithrombin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 (AT) activities, and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thromboelastography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>.</w:t>
      </w: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b/>
          <w:bCs/>
          <w:sz w:val="20"/>
          <w:szCs w:val="20"/>
        </w:rPr>
        <w:t xml:space="preserve">Measurements and Main Results </w:t>
      </w:r>
      <w:r w:rsidRPr="00E9551A">
        <w:rPr>
          <w:rFonts w:ascii="Times New Roman" w:hAnsi="Times New Roman" w:cs="Times New Roman"/>
          <w:sz w:val="20"/>
          <w:szCs w:val="20"/>
        </w:rPr>
        <w:t xml:space="preserve">– Sixteen of 27 (59%) dogs survived. Preoperative PC deficiency was identified in 10 of 11 (91%)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nonsurvivors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 and 2 of 15 (13%) survivors. Preoperative AT deficiency was identified in 10 of 11 (91%)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nonsurvivors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 and 14 of 15 (93%) survivors. Compared to survivors,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nonsurvivors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 had lower mean preoperative PC (98 ± 24% versus 49 ± 26%; </w:t>
      </w:r>
      <w:r w:rsidRPr="00E9551A">
        <w:rPr>
          <w:rFonts w:ascii="Times New Roman" w:hAnsi="Times New Roman" w:cs="Times New Roman"/>
          <w:i/>
          <w:iCs/>
          <w:sz w:val="20"/>
          <w:szCs w:val="20"/>
        </w:rPr>
        <w:t xml:space="preserve">P &lt; </w:t>
      </w:r>
      <w:r w:rsidRPr="00E9551A">
        <w:rPr>
          <w:rFonts w:ascii="Times New Roman" w:hAnsi="Times New Roman" w:cs="Times New Roman"/>
          <w:sz w:val="20"/>
          <w:szCs w:val="20"/>
        </w:rPr>
        <w:t xml:space="preserve">0.001) and AT (53 ± 9% versus 32 ± 16%; </w:t>
      </w:r>
      <w:r w:rsidRPr="00E9551A">
        <w:rPr>
          <w:rFonts w:ascii="Times New Roman" w:hAnsi="Times New Roman" w:cs="Times New Roman"/>
          <w:i/>
          <w:iCs/>
          <w:sz w:val="20"/>
          <w:szCs w:val="20"/>
        </w:rPr>
        <w:t xml:space="preserve">P &lt; </w:t>
      </w:r>
      <w:r w:rsidRPr="00E9551A">
        <w:rPr>
          <w:rFonts w:ascii="Times New Roman" w:hAnsi="Times New Roman" w:cs="Times New Roman"/>
          <w:sz w:val="20"/>
          <w:szCs w:val="20"/>
        </w:rPr>
        <w:t xml:space="preserve">0.001) activities. Anticoagulant activities decreased on day 1 postoperatively. As a predictor of survival, preoperative PC activity of more than 60% achieved a sensitivity of 93% and specificity of 82%. Preoperative AT activity of more than 41.5% achieved a sensitivity of 100% and specificity of 82%. The maximum amplitude, alpha angle, and coagulation index from preoperative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thromboelastograms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 of survivors were significantly greater (more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hypercoagulable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>)</w:t>
      </w: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E9551A">
        <w:rPr>
          <w:rFonts w:ascii="Times New Roman" w:hAnsi="Times New Roman" w:cs="Times New Roman"/>
          <w:sz w:val="20"/>
          <w:szCs w:val="20"/>
        </w:rPr>
        <w:t>than</w:t>
      </w:r>
      <w:proofErr w:type="gramEnd"/>
      <w:r w:rsidRPr="00E955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nonsurvivors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 (</w:t>
      </w:r>
      <w:r w:rsidRPr="00E9551A">
        <w:rPr>
          <w:rFonts w:ascii="Times New Roman" w:hAnsi="Times New Roman" w:cs="Times New Roman"/>
          <w:i/>
          <w:iCs/>
          <w:sz w:val="20"/>
          <w:szCs w:val="20"/>
        </w:rPr>
        <w:t>P&lt;</w:t>
      </w:r>
      <w:r w:rsidRPr="00E9551A">
        <w:rPr>
          <w:rFonts w:ascii="Times New Roman" w:hAnsi="Times New Roman" w:cs="Times New Roman"/>
          <w:sz w:val="20"/>
          <w:szCs w:val="20"/>
        </w:rPr>
        <w:t>0.01), with the maximum amplitude being the most specific predictor of survival (100%).</w:t>
      </w:r>
    </w:p>
    <w:p w:rsidR="001458C4" w:rsidRPr="00E9551A" w:rsidRDefault="001458C4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458C4" w:rsidRPr="00E9551A" w:rsidRDefault="001458C4" w:rsidP="001458C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sz w:val="20"/>
          <w:szCs w:val="20"/>
        </w:rPr>
        <w:t>Survival to discharge and cause of death or reason for euthanasia were recorded as outcome parameters.</w:t>
      </w:r>
    </w:p>
    <w:p w:rsidR="001458C4" w:rsidRPr="00E9551A" w:rsidRDefault="001458C4" w:rsidP="001458C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sz w:val="20"/>
          <w:szCs w:val="20"/>
        </w:rPr>
        <w:t>Of the survivors, 15 of 16 dogs that survived to discharge were still alive 30 days after discharge</w:t>
      </w:r>
    </w:p>
    <w:p w:rsidR="001458C4" w:rsidRPr="00E9551A" w:rsidRDefault="001458C4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9C2A87" w:rsidRPr="00E9551A" w:rsidRDefault="009C2A87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b/>
          <w:bCs/>
          <w:sz w:val="20"/>
          <w:szCs w:val="20"/>
        </w:rPr>
        <w:t xml:space="preserve">Conclusions </w:t>
      </w:r>
      <w:r w:rsidRPr="00E9551A">
        <w:rPr>
          <w:rFonts w:ascii="Times New Roman" w:hAnsi="Times New Roman" w:cs="Times New Roman"/>
          <w:sz w:val="20"/>
          <w:szCs w:val="20"/>
        </w:rPr>
        <w:t>– Deficiencies of PC and AT and hypercoagulability appear to be consistent features of naturally</w:t>
      </w:r>
      <w:r w:rsidR="00C24CCE" w:rsidRPr="00E9551A">
        <w:rPr>
          <w:rFonts w:ascii="Times New Roman" w:hAnsi="Times New Roman" w:cs="Times New Roman"/>
          <w:sz w:val="20"/>
          <w:szCs w:val="20"/>
        </w:rPr>
        <w:t xml:space="preserve"> </w:t>
      </w:r>
      <w:r w:rsidRPr="00E9551A">
        <w:rPr>
          <w:rFonts w:ascii="Times New Roman" w:hAnsi="Times New Roman" w:cs="Times New Roman"/>
          <w:sz w:val="20"/>
          <w:szCs w:val="20"/>
        </w:rPr>
        <w:t>occurring canine sepsis and may be useful prognostic indicators in canine septic peritonitis</w:t>
      </w:r>
    </w:p>
    <w:p w:rsidR="00C24CCE" w:rsidRPr="00E9551A" w:rsidRDefault="00C24CCE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4CCE" w:rsidRPr="00E9551A" w:rsidRDefault="00C24CCE" w:rsidP="009C2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b/>
          <w:sz w:val="20"/>
          <w:szCs w:val="20"/>
        </w:rPr>
        <w:t>Key points</w:t>
      </w:r>
      <w:r w:rsidRPr="00E9551A">
        <w:rPr>
          <w:rFonts w:ascii="Times New Roman" w:hAnsi="Times New Roman" w:cs="Times New Roman"/>
          <w:sz w:val="20"/>
          <w:szCs w:val="20"/>
        </w:rPr>
        <w:t>:</w:t>
      </w:r>
    </w:p>
    <w:p w:rsidR="001458C4" w:rsidRPr="00E9551A" w:rsidRDefault="001458C4" w:rsidP="001458C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sz w:val="20"/>
          <w:szCs w:val="20"/>
        </w:rPr>
        <w:t xml:space="preserve">Mean AT activity was below the reference interval for both survivors and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nonsurvivors</w:t>
      </w:r>
      <w:proofErr w:type="spellEnd"/>
    </w:p>
    <w:p w:rsidR="001458C4" w:rsidRPr="00E9551A" w:rsidRDefault="001458C4" w:rsidP="001458C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sz w:val="20"/>
          <w:szCs w:val="20"/>
        </w:rPr>
        <w:t xml:space="preserve">Mean PC activity was below the reference interval for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nonsurvivors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; 10 of 11 (91%)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nonsurvivors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 and only 2 of 15 (13%) survivors had preoperative PC activity below the reference interval</w:t>
      </w:r>
    </w:p>
    <w:p w:rsidR="001458C4" w:rsidRPr="00E9551A" w:rsidRDefault="001458C4" w:rsidP="001458C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sz w:val="20"/>
          <w:szCs w:val="20"/>
        </w:rPr>
        <w:t xml:space="preserve">There was no difference in the </w:t>
      </w:r>
      <w:r w:rsidRPr="00E9551A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E9551A">
        <w:rPr>
          <w:rFonts w:ascii="Times New Roman" w:hAnsi="Times New Roman" w:cs="Times New Roman"/>
          <w:sz w:val="20"/>
          <w:szCs w:val="20"/>
        </w:rPr>
        <w:t xml:space="preserve">-value between survivors and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nonsurvivors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, although the median value for both groups was below the reference interval  </w:t>
      </w:r>
    </w:p>
    <w:p w:rsidR="001458C4" w:rsidRPr="00E9551A" w:rsidRDefault="001458C4" w:rsidP="001458C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sz w:val="20"/>
          <w:szCs w:val="20"/>
        </w:rPr>
        <w:t xml:space="preserve">The </w:t>
      </w:r>
      <w:r w:rsidRPr="00E9551A">
        <w:rPr>
          <w:rFonts w:ascii="Times New Roman" w:hAnsi="Times New Roman" w:cs="Times New Roman"/>
          <w:i/>
          <w:iCs/>
          <w:sz w:val="20"/>
          <w:szCs w:val="20"/>
        </w:rPr>
        <w:t xml:space="preserve">K </w:t>
      </w:r>
      <w:r w:rsidRPr="00E9551A">
        <w:rPr>
          <w:rFonts w:ascii="Times New Roman" w:hAnsi="Times New Roman" w:cs="Times New Roman"/>
          <w:sz w:val="20"/>
          <w:szCs w:val="20"/>
        </w:rPr>
        <w:t xml:space="preserve">value was significantly lower (more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hypercoagulable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) among survivors, although the median value for both groups was below the reference interval. </w:t>
      </w:r>
    </w:p>
    <w:p w:rsidR="009C0DC7" w:rsidRDefault="001458C4" w:rsidP="009C0DC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551A">
        <w:rPr>
          <w:rFonts w:ascii="Times New Roman" w:hAnsi="Times New Roman" w:cs="Times New Roman"/>
          <w:sz w:val="20"/>
          <w:szCs w:val="20"/>
        </w:rPr>
        <w:t>The remaining TEG values (</w:t>
      </w:r>
      <w:proofErr w:type="gramStart"/>
      <w:r w:rsidRPr="00E9551A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E9551A">
        <w:rPr>
          <w:rFonts w:ascii="Times New Roman" w:hAnsi="Times New Roman" w:cs="Times New Roman"/>
          <w:sz w:val="20"/>
          <w:szCs w:val="20"/>
        </w:rPr>
        <w:t xml:space="preserve"> angle, MA, CI) were significantly greater (more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hypercoagulable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 xml:space="preserve">) among survivors compared to </w:t>
      </w:r>
      <w:proofErr w:type="spellStart"/>
      <w:r w:rsidRPr="00E9551A">
        <w:rPr>
          <w:rFonts w:ascii="Times New Roman" w:hAnsi="Times New Roman" w:cs="Times New Roman"/>
          <w:sz w:val="20"/>
          <w:szCs w:val="20"/>
        </w:rPr>
        <w:t>nonsurvivors</w:t>
      </w:r>
      <w:proofErr w:type="spellEnd"/>
      <w:r w:rsidRPr="00E9551A">
        <w:rPr>
          <w:rFonts w:ascii="Times New Roman" w:hAnsi="Times New Roman" w:cs="Times New Roman"/>
          <w:sz w:val="20"/>
          <w:szCs w:val="20"/>
        </w:rPr>
        <w:t>, whose values were within the reference intervals.</w:t>
      </w:r>
    </w:p>
    <w:p w:rsidR="008445E1" w:rsidRPr="008445E1" w:rsidRDefault="009C0DC7" w:rsidP="008445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0DC7">
        <w:rPr>
          <w:rFonts w:ascii="Palatino-Roman" w:hAnsi="Palatino-Roman" w:cs="Palatino-Roman"/>
          <w:sz w:val="19"/>
          <w:szCs w:val="19"/>
        </w:rPr>
        <w:t>The CI</w:t>
      </w:r>
      <w:r w:rsidR="005F236F">
        <w:rPr>
          <w:rFonts w:ascii="Palatino-Roman" w:hAnsi="Palatino-Roman" w:cs="Palatino-Roman"/>
          <w:sz w:val="19"/>
          <w:szCs w:val="19"/>
        </w:rPr>
        <w:t xml:space="preserve"> </w:t>
      </w:r>
      <w:r w:rsidRPr="009C0DC7">
        <w:rPr>
          <w:rFonts w:ascii="Palatino-Roman" w:hAnsi="Palatino-Roman" w:cs="Palatino-Roman"/>
          <w:sz w:val="19"/>
          <w:szCs w:val="19"/>
        </w:rPr>
        <w:t>was the only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9C0DC7">
        <w:rPr>
          <w:rFonts w:ascii="Palatino-Roman" w:hAnsi="Palatino-Roman" w:cs="Palatino-Roman"/>
          <w:sz w:val="19"/>
          <w:szCs w:val="19"/>
        </w:rPr>
        <w:t>postoperative (day 1) TEG value that lacked predictive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9C0DC7">
        <w:rPr>
          <w:rFonts w:ascii="Palatino-Roman" w:hAnsi="Palatino-Roman" w:cs="Palatino-Roman"/>
          <w:sz w:val="19"/>
          <w:szCs w:val="19"/>
        </w:rPr>
        <w:t>value based on ROC analysis</w:t>
      </w:r>
    </w:p>
    <w:p w:rsidR="008445E1" w:rsidRPr="008445E1" w:rsidRDefault="008445E1" w:rsidP="008445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5E1">
        <w:rPr>
          <w:rFonts w:ascii="Palatino-Roman" w:hAnsi="Palatino-Roman" w:cs="Palatino-Roman"/>
          <w:sz w:val="19"/>
          <w:szCs w:val="19"/>
        </w:rPr>
        <w:t xml:space="preserve">The </w:t>
      </w:r>
      <w:r w:rsidRPr="008445E1">
        <w:rPr>
          <w:rFonts w:ascii="Palatino-Italic" w:hAnsi="Palatino-Italic" w:cs="Palatino-Italic"/>
          <w:i/>
          <w:iCs/>
          <w:sz w:val="19"/>
          <w:szCs w:val="19"/>
        </w:rPr>
        <w:t>K</w:t>
      </w:r>
      <w:r w:rsidRPr="008445E1">
        <w:rPr>
          <w:rFonts w:ascii="Palatino-Roman" w:hAnsi="Palatino-Roman" w:cs="Palatino-Roman"/>
          <w:sz w:val="19"/>
          <w:szCs w:val="19"/>
        </w:rPr>
        <w:t xml:space="preserve">, </w:t>
      </w:r>
      <w:proofErr w:type="gramStart"/>
      <w:r w:rsidRPr="008445E1">
        <w:rPr>
          <w:rFonts w:ascii="MathematicalPi-One" w:hAnsi="MathematicalPi-One" w:cs="MathematicalPi-One"/>
          <w:sz w:val="19"/>
          <w:szCs w:val="19"/>
        </w:rPr>
        <w:t>a</w:t>
      </w:r>
      <w:proofErr w:type="gramEnd"/>
      <w:r w:rsidRPr="008445E1">
        <w:rPr>
          <w:rFonts w:ascii="MathematicalPi-One" w:hAnsi="MathematicalPi-One" w:cs="MathematicalPi-One"/>
          <w:sz w:val="19"/>
          <w:szCs w:val="19"/>
        </w:rPr>
        <w:t xml:space="preserve"> </w:t>
      </w:r>
      <w:r w:rsidRPr="008445E1">
        <w:rPr>
          <w:rFonts w:ascii="Palatino-Roman" w:hAnsi="Palatino-Roman" w:cs="Palatino-Roman"/>
          <w:sz w:val="19"/>
          <w:szCs w:val="19"/>
        </w:rPr>
        <w:t>angle, and MA parameters had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8445E1">
        <w:rPr>
          <w:rFonts w:ascii="Palatino-Roman" w:hAnsi="Palatino-Roman" w:cs="Palatino-Roman"/>
          <w:sz w:val="19"/>
          <w:szCs w:val="19"/>
        </w:rPr>
        <w:t>strong predictive value, particularly on day 1 postoperatively,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8445E1">
        <w:rPr>
          <w:rFonts w:ascii="Palatino-Roman" w:hAnsi="Palatino-Roman" w:cs="Palatino-Roman"/>
          <w:sz w:val="19"/>
          <w:szCs w:val="19"/>
        </w:rPr>
        <w:t>each achieving a sensitivity and specificity of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8445E1">
        <w:rPr>
          <w:rFonts w:ascii="Palatino-Roman" w:hAnsi="Palatino-Roman" w:cs="Palatino-Roman"/>
          <w:sz w:val="19"/>
          <w:szCs w:val="19"/>
        </w:rPr>
        <w:t>100%.</w:t>
      </w:r>
    </w:p>
    <w:p w:rsidR="005F236F" w:rsidRPr="008445E1" w:rsidRDefault="005F236F" w:rsidP="008445E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445E1">
        <w:rPr>
          <w:rFonts w:ascii="Palatino-Roman" w:hAnsi="Palatino-Roman" w:cs="Palatino-Roman"/>
          <w:sz w:val="19"/>
          <w:szCs w:val="19"/>
        </w:rPr>
        <w:t>results</w:t>
      </w:r>
      <w:proofErr w:type="gramEnd"/>
      <w:r w:rsidRPr="008445E1">
        <w:rPr>
          <w:rFonts w:ascii="Palatino-Roman" w:hAnsi="Palatino-Roman" w:cs="Palatino-Roman"/>
          <w:sz w:val="19"/>
          <w:szCs w:val="19"/>
        </w:rPr>
        <w:t xml:space="preserve"> of the ROC analysis demonstrate that PC and AT deficiencies early in septic peritonitis, as well as postoperatively, were predictive of mortality.</w:t>
      </w:r>
    </w:p>
    <w:p w:rsidR="00133105" w:rsidRPr="00133105" w:rsidRDefault="005F236F" w:rsidP="001331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F236F">
        <w:rPr>
          <w:rFonts w:ascii="Palatino-Roman" w:hAnsi="Palatino-Roman" w:cs="Palatino-Roman"/>
          <w:sz w:val="19"/>
          <w:szCs w:val="19"/>
        </w:rPr>
        <w:t>Unlike PC and AT, however, TEG</w:t>
      </w:r>
      <w:r>
        <w:rPr>
          <w:rFonts w:ascii="Palatino-Roman" w:hAnsi="Palatino-Roman" w:cs="Palatino-Roman"/>
          <w:sz w:val="19"/>
          <w:szCs w:val="19"/>
        </w:rPr>
        <w:t xml:space="preserve"> </w:t>
      </w:r>
      <w:r w:rsidRPr="005F236F">
        <w:rPr>
          <w:rFonts w:ascii="Palatino-Roman" w:hAnsi="Palatino-Roman" w:cs="Palatino-Roman"/>
          <w:sz w:val="19"/>
          <w:szCs w:val="19"/>
        </w:rPr>
        <w:t>values did not trend back toward normal by day 3 among</w:t>
      </w:r>
      <w:r>
        <w:rPr>
          <w:rFonts w:ascii="Palatino-Roman" w:hAnsi="Palatino-Roman" w:cs="Palatino-Roman"/>
          <w:sz w:val="19"/>
          <w:szCs w:val="19"/>
        </w:rPr>
        <w:t xml:space="preserve"> survivors</w:t>
      </w:r>
    </w:p>
    <w:p w:rsidR="00133105" w:rsidRDefault="00133105" w:rsidP="00133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33105" w:rsidRDefault="00133105" w:rsidP="001331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Questions:</w:t>
      </w:r>
    </w:p>
    <w:p w:rsidR="00133105" w:rsidRDefault="00133105" w:rsidP="0013310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Meant AT and PC activity were below the reference interval for survivors and non survivors? T or F</w:t>
      </w:r>
    </w:p>
    <w:p w:rsidR="00133105" w:rsidRDefault="00032915" w:rsidP="0013310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TEG results revealed survivors to have normal </w:t>
      </w:r>
      <w:proofErr w:type="gramStart"/>
      <w:r>
        <w:rPr>
          <w:rFonts w:ascii="Times New Roman" w:hAnsi="Times New Roman" w:cs="Times New Roman"/>
          <w:sz w:val="20"/>
          <w:szCs w:val="20"/>
        </w:rPr>
        <w:t>coagulation ?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 or F</w:t>
      </w:r>
    </w:p>
    <w:p w:rsidR="00032915" w:rsidRPr="00133105" w:rsidRDefault="00032915" w:rsidP="0013310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List the TEG values that were statistically significant between the 2 groups:</w:t>
      </w:r>
      <w:bookmarkStart w:id="0" w:name="_GoBack"/>
      <w:bookmarkEnd w:id="0"/>
    </w:p>
    <w:sectPr w:rsidR="00032915" w:rsidRPr="00133105" w:rsidSect="00641D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thematicalPi-On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6631C"/>
    <w:multiLevelType w:val="hybridMultilevel"/>
    <w:tmpl w:val="E0EA0F8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C05C2"/>
    <w:multiLevelType w:val="hybridMultilevel"/>
    <w:tmpl w:val="BC9E9170"/>
    <w:lvl w:ilvl="0" w:tplc="16E4A8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846561"/>
    <w:multiLevelType w:val="hybridMultilevel"/>
    <w:tmpl w:val="37D2BAD6"/>
    <w:lvl w:ilvl="0" w:tplc="8BF6CCB8">
      <w:numFmt w:val="bullet"/>
      <w:lvlText w:val="-"/>
      <w:lvlJc w:val="left"/>
      <w:pPr>
        <w:ind w:left="720" w:hanging="360"/>
      </w:pPr>
      <w:rPr>
        <w:rFonts w:ascii="Palatino-Roman" w:eastAsiaTheme="minorHAnsi" w:hAnsi="Palatino-Roman" w:cs="Palatino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C2A87"/>
    <w:rsid w:val="00032915"/>
    <w:rsid w:val="000D3C3D"/>
    <w:rsid w:val="00133105"/>
    <w:rsid w:val="001458C4"/>
    <w:rsid w:val="004C09FE"/>
    <w:rsid w:val="004D1C8F"/>
    <w:rsid w:val="005F236F"/>
    <w:rsid w:val="00641DA4"/>
    <w:rsid w:val="008027D5"/>
    <w:rsid w:val="008445E1"/>
    <w:rsid w:val="009A720B"/>
    <w:rsid w:val="009C0DC7"/>
    <w:rsid w:val="009C2A87"/>
    <w:rsid w:val="00C24CCE"/>
    <w:rsid w:val="00DF3685"/>
    <w:rsid w:val="00E95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8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8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vrm26</dc:creator>
  <cp:lastModifiedBy>vrm26</cp:lastModifiedBy>
  <cp:revision>2</cp:revision>
  <dcterms:created xsi:type="dcterms:W3CDTF">2013-02-12T21:23:00Z</dcterms:created>
  <dcterms:modified xsi:type="dcterms:W3CDTF">2013-02-12T21:23:00Z</dcterms:modified>
</cp:coreProperties>
</file>