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889" w:rsidRDefault="001C1889">
      <w:pPr>
        <w:rPr>
          <w:noProof/>
        </w:rPr>
      </w:pPr>
      <w:r>
        <w:rPr>
          <w:noProof/>
        </w:rPr>
        <w:drawing>
          <wp:anchor distT="0" distB="0" distL="114300" distR="114300" simplePos="0" relativeHeight="251658240" behindDoc="1" locked="0" layoutInCell="1" allowOverlap="1">
            <wp:simplePos x="0" y="0"/>
            <wp:positionH relativeFrom="column">
              <wp:posOffset>19050</wp:posOffset>
            </wp:positionH>
            <wp:positionV relativeFrom="paragraph">
              <wp:posOffset>0</wp:posOffset>
            </wp:positionV>
            <wp:extent cx="5126990" cy="3516630"/>
            <wp:effectExtent l="19050" t="0" r="0" b="0"/>
            <wp:wrapTight wrapText="bothSides">
              <wp:wrapPolygon edited="0">
                <wp:start x="-80" y="0"/>
                <wp:lineTo x="-80" y="21530"/>
                <wp:lineTo x="21589" y="21530"/>
                <wp:lineTo x="21589" y="0"/>
                <wp:lineTo x="-8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126990" cy="3516630"/>
                    </a:xfrm>
                    <a:prstGeom prst="rect">
                      <a:avLst/>
                    </a:prstGeom>
                    <a:noFill/>
                    <a:ln w="9525">
                      <a:noFill/>
                      <a:miter lim="800000"/>
                      <a:headEnd/>
                      <a:tailEnd/>
                    </a:ln>
                  </pic:spPr>
                </pic:pic>
              </a:graphicData>
            </a:graphic>
          </wp:anchor>
        </w:drawing>
      </w:r>
    </w:p>
    <w:p w:rsidR="001C1889" w:rsidRDefault="001C1889">
      <w:pPr>
        <w:rPr>
          <w:noProof/>
        </w:rPr>
      </w:pPr>
    </w:p>
    <w:p w:rsidR="001C1889" w:rsidRDefault="001C1889">
      <w:pPr>
        <w:rPr>
          <w:noProof/>
        </w:rPr>
      </w:pPr>
      <w:r>
        <w:rPr>
          <w:noProof/>
        </w:rPr>
        <w:t>Purpose: describe clinical signs and diagnostic findings for dogs with ATE, assess survival associations</w:t>
      </w:r>
    </w:p>
    <w:p w:rsidR="001C1889" w:rsidRDefault="001C1889">
      <w:pPr>
        <w:rPr>
          <w:noProof/>
        </w:rPr>
      </w:pPr>
      <w:r>
        <w:rPr>
          <w:noProof/>
        </w:rPr>
        <w:t>Retrospective, case series</w:t>
      </w:r>
      <w:r w:rsidR="001C5D89">
        <w:rPr>
          <w:noProof/>
        </w:rPr>
        <w:t>. Therapies not standardized.</w:t>
      </w:r>
    </w:p>
    <w:p w:rsidR="00A91B1F" w:rsidRDefault="00B87EA5">
      <w:r>
        <w:t>N=31 cases</w:t>
      </w:r>
    </w:p>
    <w:p w:rsidR="001C5D89" w:rsidRDefault="001C5D89" w:rsidP="001C5D89">
      <w:r>
        <w:t xml:space="preserve">Stats: normally distributed data (mean with SD) </w:t>
      </w:r>
      <w:proofErr w:type="gramStart"/>
      <w:r>
        <w:t>non</w:t>
      </w:r>
      <w:proofErr w:type="gramEnd"/>
      <w:r>
        <w:t xml:space="preserve"> normally distributed data (median with SD)</w:t>
      </w:r>
      <w:r w:rsidRPr="001C5D89">
        <w:t xml:space="preserve"> </w:t>
      </w:r>
    </w:p>
    <w:p w:rsidR="001C5D89" w:rsidRDefault="001C5D89" w:rsidP="001C5D89">
      <w:r>
        <w:t>Chronic: clinical signs that developed over period &gt;24 hours (48%). Acute: clinical signs developed within 24 hours. (45%)</w:t>
      </w:r>
    </w:p>
    <w:p w:rsidR="00B5083D" w:rsidRDefault="00B5083D" w:rsidP="001C5D89"/>
    <w:p w:rsidR="00B5083D" w:rsidRDefault="00B5083D" w:rsidP="001C5D89"/>
    <w:p w:rsidR="00B5083D" w:rsidRDefault="00B5083D" w:rsidP="001C5D89"/>
    <w:p w:rsidR="001C5D89" w:rsidRDefault="009F283A" w:rsidP="001C5D89">
      <w:r>
        <w:tab/>
        <w:t>Paresis/paralysis 82%</w:t>
      </w:r>
    </w:p>
    <w:p w:rsidR="009F283A" w:rsidRDefault="009F283A" w:rsidP="001C5D89">
      <w:r>
        <w:tab/>
      </w:r>
      <w:r>
        <w:tab/>
        <w:t>Single limb: 5 cases (all acute)</w:t>
      </w:r>
    </w:p>
    <w:p w:rsidR="009F283A" w:rsidRDefault="009F283A" w:rsidP="001C5D89">
      <w:r>
        <w:tab/>
      </w:r>
      <w:r>
        <w:tab/>
        <w:t xml:space="preserve">Bilateral </w:t>
      </w:r>
      <w:proofErr w:type="spellStart"/>
      <w:r>
        <w:t>hindlimb</w:t>
      </w:r>
      <w:proofErr w:type="spellEnd"/>
      <w:r>
        <w:t xml:space="preserve">: all chronic </w:t>
      </w:r>
      <w:proofErr w:type="gramStart"/>
      <w:r>
        <w:t>cases  and</w:t>
      </w:r>
      <w:proofErr w:type="gramEnd"/>
      <w:r>
        <w:t xml:space="preserve"> 68% of all cases</w:t>
      </w:r>
    </w:p>
    <w:p w:rsidR="009F283A" w:rsidRDefault="009F283A" w:rsidP="001C5D89">
      <w:r>
        <w:tab/>
      </w:r>
      <w:r>
        <w:tab/>
        <w:t xml:space="preserve">Three developed </w:t>
      </w:r>
      <w:proofErr w:type="spellStart"/>
      <w:r>
        <w:t>tetraparesis</w:t>
      </w:r>
      <w:proofErr w:type="spellEnd"/>
    </w:p>
    <w:p w:rsidR="00182ADA" w:rsidRDefault="00182ADA" w:rsidP="001C5D89">
      <w:r>
        <w:t>Echocardiography n=14</w:t>
      </w:r>
    </w:p>
    <w:p w:rsidR="00182ADA" w:rsidRDefault="00182ADA" w:rsidP="001C5D89">
      <w:r>
        <w:tab/>
        <w:t xml:space="preserve">9 had murmurs (7 had </w:t>
      </w:r>
      <w:proofErr w:type="spellStart"/>
      <w:r>
        <w:t>echos</w:t>
      </w:r>
      <w:proofErr w:type="spellEnd"/>
      <w:r>
        <w:t>)</w:t>
      </w:r>
    </w:p>
    <w:p w:rsidR="00182ADA" w:rsidRDefault="00182ADA" w:rsidP="001C5D89">
      <w:r>
        <w:tab/>
      </w:r>
      <w:r>
        <w:tab/>
        <w:t>6 = mitral valve regurgitation</w:t>
      </w:r>
    </w:p>
    <w:p w:rsidR="00182ADA" w:rsidRDefault="00182ADA" w:rsidP="001C5D89">
      <w:r>
        <w:tab/>
      </w:r>
      <w:r>
        <w:tab/>
        <w:t xml:space="preserve">1 ea thickened </w:t>
      </w:r>
      <w:proofErr w:type="spellStart"/>
      <w:r>
        <w:t>interventricular</w:t>
      </w:r>
      <w:proofErr w:type="spellEnd"/>
      <w:r>
        <w:t xml:space="preserve"> septum (infiltrative </w:t>
      </w:r>
      <w:proofErr w:type="spellStart"/>
      <w:r>
        <w:t>dz</w:t>
      </w:r>
      <w:proofErr w:type="spellEnd"/>
      <w:r>
        <w:t xml:space="preserve">), </w:t>
      </w:r>
      <w:proofErr w:type="spellStart"/>
      <w:r>
        <w:t>poss</w:t>
      </w:r>
      <w:proofErr w:type="spellEnd"/>
      <w:r>
        <w:t xml:space="preserve"> </w:t>
      </w:r>
      <w:proofErr w:type="spellStart"/>
      <w:r>
        <w:t>begetative</w:t>
      </w:r>
      <w:proofErr w:type="spellEnd"/>
      <w:r>
        <w:t xml:space="preserve"> lesion, </w:t>
      </w:r>
      <w:proofErr w:type="gramStart"/>
      <w:r>
        <w:t>proximal</w:t>
      </w:r>
      <w:proofErr w:type="gramEnd"/>
      <w:r>
        <w:t xml:space="preserve"> aortic thrombus</w:t>
      </w:r>
    </w:p>
    <w:p w:rsidR="00182ADA" w:rsidRDefault="00182ADA" w:rsidP="001C5D89">
      <w:r>
        <w:tab/>
      </w:r>
      <w:r>
        <w:tab/>
        <w:t>No spontaneous contrast in any patient</w:t>
      </w:r>
    </w:p>
    <w:p w:rsidR="00182ADA" w:rsidRDefault="00107E20" w:rsidP="001C5D89">
      <w:r>
        <w:t>Antithrombin levels: Low in 5/12 dogs, all with elevated UPC</w:t>
      </w:r>
    </w:p>
    <w:p w:rsidR="00107E20" w:rsidRDefault="00107E20" w:rsidP="001C5D89">
      <w:r>
        <w:t>Fibrinogen levels: elevated in 11/17</w:t>
      </w:r>
    </w:p>
    <w:p w:rsidR="00107E20" w:rsidRDefault="00107E20" w:rsidP="001C5D89">
      <w:r>
        <w:t>D-</w:t>
      </w:r>
      <w:proofErr w:type="spellStart"/>
      <w:r>
        <w:t>dimer</w:t>
      </w:r>
      <w:proofErr w:type="spellEnd"/>
      <w:r>
        <w:t xml:space="preserve"> elevated in 9/11</w:t>
      </w:r>
    </w:p>
    <w:p w:rsidR="00107E20" w:rsidRDefault="00107E20" w:rsidP="001C5D89">
      <w:r>
        <w:t>TEG: hypercoagulable in 4/5</w:t>
      </w:r>
    </w:p>
    <w:p w:rsidR="00107E20" w:rsidRDefault="00107E20" w:rsidP="001C5D89">
      <w:r>
        <w:t>AUS: 13/25 had some blood flow present; 8 did not</w:t>
      </w:r>
    </w:p>
    <w:p w:rsidR="00107E20" w:rsidRDefault="00107E20" w:rsidP="001C5D89">
      <w:r>
        <w:t>Renal disease: 26% n=8</w:t>
      </w:r>
    </w:p>
    <w:p w:rsidR="00107E20" w:rsidRDefault="00107E20" w:rsidP="001C5D89">
      <w:r>
        <w:t>Median survival tine</w:t>
      </w:r>
    </w:p>
    <w:p w:rsidR="00107E20" w:rsidRDefault="00107E20" w:rsidP="001C5D89">
      <w:r>
        <w:tab/>
        <w:t>Euthanized: 10 acute, 8 chronic. 14 without treatment (half chronic half acute)</w:t>
      </w:r>
    </w:p>
    <w:p w:rsidR="00107E20" w:rsidRDefault="00107E20" w:rsidP="00107E20">
      <w:pPr>
        <w:ind w:firstLine="720"/>
      </w:pPr>
      <w:r>
        <w:t>Chronic disease: 30d, range 0-959d (significantly longer)</w:t>
      </w:r>
    </w:p>
    <w:p w:rsidR="00107E20" w:rsidRDefault="00107E20" w:rsidP="001C5D89">
      <w:r>
        <w:tab/>
        <w:t>Acute: 1.5d range 0-120</w:t>
      </w:r>
    </w:p>
    <w:p w:rsidR="00107E20" w:rsidRDefault="00107E20" w:rsidP="001C5D89">
      <w:r>
        <w:tab/>
        <w:t>Of patients treated:</w:t>
      </w:r>
    </w:p>
    <w:p w:rsidR="00107E20" w:rsidRDefault="00107E20" w:rsidP="001C5D89">
      <w:r>
        <w:tab/>
      </w:r>
      <w:r>
        <w:tab/>
        <w:t>Chronic: 293 d, range 7-959 survival tine</w:t>
      </w:r>
    </w:p>
    <w:p w:rsidR="00107E20" w:rsidRDefault="00107E20" w:rsidP="001C5D89">
      <w:r>
        <w:tab/>
      </w:r>
      <w:r>
        <w:tab/>
        <w:t>Acute: 9 days, range 1-120d</w:t>
      </w:r>
    </w:p>
    <w:p w:rsidR="00107E20" w:rsidRDefault="00107E20" w:rsidP="001C5D89">
      <w:r>
        <w:t xml:space="preserve">Discussion: </w:t>
      </w:r>
    </w:p>
    <w:p w:rsidR="003775D1" w:rsidRDefault="003775D1" w:rsidP="003775D1">
      <w:pPr>
        <w:ind w:left="720"/>
      </w:pPr>
      <w:r>
        <w:t>Dogs with ATE had longer survival time than cats</w:t>
      </w:r>
    </w:p>
    <w:p w:rsidR="003775D1" w:rsidRDefault="003775D1" w:rsidP="003775D1">
      <w:pPr>
        <w:ind w:left="720"/>
      </w:pPr>
      <w:r>
        <w:t>Clinical signs differ in dogs than cats (less pain).</w:t>
      </w:r>
    </w:p>
    <w:p w:rsidR="003775D1" w:rsidRDefault="003775D1" w:rsidP="003775D1">
      <w:pPr>
        <w:ind w:left="720"/>
      </w:pPr>
      <w:r>
        <w:t>Chronic clinical signs had significantly longer survival times than acute.</w:t>
      </w:r>
    </w:p>
    <w:p w:rsidR="003775D1" w:rsidRDefault="003775D1" w:rsidP="003775D1">
      <w:pPr>
        <w:ind w:left="720"/>
      </w:pPr>
      <w:r>
        <w:t>Outcomes typically poor but outliers had significantly prolonged survival times</w:t>
      </w:r>
    </w:p>
    <w:p w:rsidR="003775D1" w:rsidRDefault="003775D1" w:rsidP="003775D1">
      <w:pPr>
        <w:ind w:left="720"/>
      </w:pPr>
      <w:r>
        <w:t xml:space="preserve">Common findings: </w:t>
      </w:r>
      <w:proofErr w:type="spellStart"/>
      <w:r>
        <w:t>azotemia</w:t>
      </w:r>
      <w:proofErr w:type="spellEnd"/>
      <w:r>
        <w:t xml:space="preserve">, hypoalbuminemia, </w:t>
      </w:r>
      <w:proofErr w:type="spellStart"/>
      <w:r>
        <w:t>proteinuria</w:t>
      </w:r>
      <w:proofErr w:type="spellEnd"/>
      <w:r>
        <w:t>. Unsure if renal disease is predisposing factor</w:t>
      </w:r>
    </w:p>
    <w:p w:rsidR="00D062BF" w:rsidRDefault="00D062BF" w:rsidP="003775D1">
      <w:pPr>
        <w:ind w:left="720"/>
      </w:pPr>
      <w:r>
        <w:t>Treatments included</w:t>
      </w:r>
    </w:p>
    <w:p w:rsidR="00D062BF" w:rsidRDefault="00D062BF" w:rsidP="00D062BF">
      <w:pPr>
        <w:ind w:left="1440"/>
      </w:pPr>
      <w:r>
        <w:t xml:space="preserve">Aspirin, aspirin and </w:t>
      </w:r>
      <w:proofErr w:type="spellStart"/>
      <w:r>
        <w:t>plavix</w:t>
      </w:r>
      <w:proofErr w:type="spellEnd"/>
      <w:r>
        <w:t xml:space="preserve">, </w:t>
      </w:r>
      <w:proofErr w:type="spellStart"/>
      <w:r>
        <w:t>enoxaparin</w:t>
      </w:r>
      <w:proofErr w:type="spellEnd"/>
      <w:r>
        <w:t>,</w:t>
      </w:r>
    </w:p>
    <w:p w:rsidR="00D062BF" w:rsidRDefault="00D062BF" w:rsidP="00D062BF">
      <w:pPr>
        <w:ind w:left="1440"/>
      </w:pPr>
      <w:proofErr w:type="spellStart"/>
      <w:r>
        <w:t>Enoxaparin</w:t>
      </w:r>
      <w:proofErr w:type="spellEnd"/>
      <w:r>
        <w:t xml:space="preserve"> and aspirin, heparin, </w:t>
      </w:r>
      <w:proofErr w:type="spellStart"/>
      <w:r>
        <w:t>rheolytic</w:t>
      </w:r>
      <w:proofErr w:type="spellEnd"/>
      <w:r>
        <w:t xml:space="preserve"> treatment, surgery, t-PA and heparin, </w:t>
      </w:r>
      <w:proofErr w:type="spellStart"/>
      <w:r>
        <w:t>warfarin</w:t>
      </w:r>
      <w:proofErr w:type="spellEnd"/>
    </w:p>
    <w:p w:rsidR="00B5083D" w:rsidRDefault="00B5083D"/>
    <w:p w:rsidR="00B5083D" w:rsidRDefault="00B5083D">
      <w:r>
        <w:rPr>
          <w:noProof/>
        </w:rPr>
        <w:lastRenderedPageBreak/>
        <w:drawing>
          <wp:inline distT="0" distB="0" distL="0" distR="0">
            <wp:extent cx="6858000" cy="486281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858000" cy="4862815"/>
                    </a:xfrm>
                    <a:prstGeom prst="rect">
                      <a:avLst/>
                    </a:prstGeom>
                    <a:noFill/>
                    <a:ln w="9525">
                      <a:noFill/>
                      <a:miter lim="800000"/>
                      <a:headEnd/>
                      <a:tailEnd/>
                    </a:ln>
                  </pic:spPr>
                </pic:pic>
              </a:graphicData>
            </a:graphic>
          </wp:inline>
        </w:drawing>
      </w:r>
    </w:p>
    <w:p w:rsidR="00B5083D" w:rsidRDefault="00B5083D">
      <w:r>
        <w:t xml:space="preserve">RBC, </w:t>
      </w:r>
      <w:proofErr w:type="spellStart"/>
      <w:r>
        <w:t>Hgb</w:t>
      </w:r>
      <w:proofErr w:type="spellEnd"/>
      <w:r>
        <w:t xml:space="preserve"> and HCT significantly decreased over time (until end of the definitive radiation protocol). </w:t>
      </w:r>
    </w:p>
    <w:p w:rsidR="00B5083D" w:rsidRDefault="00B5083D">
      <w:r>
        <w:t>While statistically significant the decrease was not thought to be clinically significant (HCT from 45 to 40 mean)</w:t>
      </w:r>
    </w:p>
    <w:p w:rsidR="00B5083D" w:rsidRDefault="00B5083D">
      <w:r>
        <w:t xml:space="preserve">No evidence of </w:t>
      </w:r>
      <w:proofErr w:type="spellStart"/>
      <w:r>
        <w:t>hemolysis</w:t>
      </w:r>
      <w:proofErr w:type="spellEnd"/>
      <w:r>
        <w:t xml:space="preserve"> or Heinz body formation to explain the decrease in HCT. Changes were not dependent on NSAID use however those patients did have statistically significant decreases in Albumin (3.1 to 2.7) and TP.</w:t>
      </w:r>
    </w:p>
    <w:p w:rsidR="00B5083D" w:rsidRDefault="00B5083D"/>
    <w:p w:rsidR="00B5083D" w:rsidRDefault="002B2A75">
      <w:r>
        <w:rPr>
          <w:noProof/>
        </w:rPr>
        <w:lastRenderedPageBreak/>
        <w:drawing>
          <wp:inline distT="0" distB="0" distL="0" distR="0">
            <wp:extent cx="6858000" cy="5935486"/>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858000" cy="5935486"/>
                    </a:xfrm>
                    <a:prstGeom prst="rect">
                      <a:avLst/>
                    </a:prstGeom>
                    <a:noFill/>
                    <a:ln w="9525">
                      <a:noFill/>
                      <a:miter lim="800000"/>
                      <a:headEnd/>
                      <a:tailEnd/>
                    </a:ln>
                  </pic:spPr>
                </pic:pic>
              </a:graphicData>
            </a:graphic>
          </wp:inline>
        </w:drawing>
      </w:r>
    </w:p>
    <w:p w:rsidR="002B2A75" w:rsidRDefault="002B2A75"/>
    <w:p w:rsidR="002B2A75" w:rsidRDefault="002B2A75">
      <w:r>
        <w:t xml:space="preserve">Combination of thoracic duct ligation and </w:t>
      </w:r>
      <w:proofErr w:type="spellStart"/>
      <w:r>
        <w:t>subphrenic</w:t>
      </w:r>
      <w:proofErr w:type="spellEnd"/>
      <w:r>
        <w:t xml:space="preserve"> </w:t>
      </w:r>
      <w:proofErr w:type="spellStart"/>
      <w:r>
        <w:t>pericardectomy</w:t>
      </w:r>
      <w:proofErr w:type="spellEnd"/>
      <w:r>
        <w:t xml:space="preserve"> was successful in the 6 cases described with no complications from the procedure. </w:t>
      </w:r>
    </w:p>
    <w:p w:rsidR="002B2A75" w:rsidRDefault="002B2A75"/>
    <w:p w:rsidR="002B2A75" w:rsidRDefault="002B2A75">
      <w:r>
        <w:t>Post ligation lymphangiography was unsuccessful in many of the patients, so they were unable to document that the duct was completely occluded, however none regained clinical signs.</w:t>
      </w:r>
    </w:p>
    <w:p w:rsidR="002B2A75" w:rsidRDefault="002B2A75">
      <w:r>
        <w:br w:type="page"/>
      </w:r>
    </w:p>
    <w:p w:rsidR="002B2A75" w:rsidRDefault="002B2A75">
      <w:r>
        <w:rPr>
          <w:noProof/>
        </w:rPr>
        <w:lastRenderedPageBreak/>
        <w:drawing>
          <wp:inline distT="0" distB="0" distL="0" distR="0">
            <wp:extent cx="6858000" cy="5371600"/>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6858000" cy="5371600"/>
                    </a:xfrm>
                    <a:prstGeom prst="rect">
                      <a:avLst/>
                    </a:prstGeom>
                    <a:noFill/>
                    <a:ln w="9525">
                      <a:noFill/>
                      <a:miter lim="800000"/>
                      <a:headEnd/>
                      <a:tailEnd/>
                    </a:ln>
                  </pic:spPr>
                </pic:pic>
              </a:graphicData>
            </a:graphic>
          </wp:inline>
        </w:drawing>
      </w:r>
    </w:p>
    <w:p w:rsidR="002B2A75" w:rsidRDefault="002B2A75"/>
    <w:p w:rsidR="002B2A75" w:rsidRDefault="00F720F5">
      <w:proofErr w:type="spellStart"/>
      <w:r>
        <w:t>Sphericity</w:t>
      </w:r>
      <w:proofErr w:type="spellEnd"/>
      <w:r>
        <w:t xml:space="preserve"> index (SI) – can evaluate both globular shape of the whole cardiac silhouette and specific heart chambers.</w:t>
      </w:r>
    </w:p>
    <w:p w:rsidR="00F720F5" w:rsidRDefault="00F720F5">
      <w:r>
        <w:tab/>
        <w:t>Calculate ratio of the long axis to the short axis with lateral and VD views respectively</w:t>
      </w:r>
    </w:p>
    <w:p w:rsidR="00F720F5" w:rsidRDefault="00F720F5">
      <w:r>
        <w:tab/>
        <w:t>Global SI values calculated as the mean value between the lateral and VD SI values – most sensitive of the SI’s.</w:t>
      </w:r>
    </w:p>
    <w:p w:rsidR="00F720F5" w:rsidRDefault="00F720F5">
      <w:r>
        <w:tab/>
        <w:t>Index of 1.0 = circular. Elongated cardiac silhouette has an increased value.</w:t>
      </w:r>
    </w:p>
    <w:p w:rsidR="00F720F5" w:rsidRDefault="00F720F5"/>
    <w:p w:rsidR="00F720F5" w:rsidRDefault="00F720F5">
      <w:r>
        <w:t xml:space="preserve">Values </w:t>
      </w:r>
      <w:proofErr w:type="gramStart"/>
      <w:r>
        <w:t>that were</w:t>
      </w:r>
      <w:proofErr w:type="gramEnd"/>
      <w:r>
        <w:t xml:space="preserve"> most accurate for PE dogs.</w:t>
      </w:r>
    </w:p>
    <w:p w:rsidR="00F720F5" w:rsidRDefault="00F720F5" w:rsidP="00F720F5">
      <w:pPr>
        <w:ind w:firstLine="720"/>
      </w:pPr>
      <w:r>
        <w:t>&gt;11.9 lateral heart score</w:t>
      </w:r>
    </w:p>
    <w:p w:rsidR="00F720F5" w:rsidRDefault="00F720F5" w:rsidP="00F720F5">
      <w:pPr>
        <w:ind w:firstLine="720"/>
      </w:pPr>
      <w:r>
        <w:t>&gt;12.3 VD heart score</w:t>
      </w:r>
    </w:p>
    <w:p w:rsidR="00F720F5" w:rsidRDefault="00F720F5" w:rsidP="00F720F5">
      <w:pPr>
        <w:ind w:firstLine="720"/>
      </w:pPr>
      <w:r>
        <w:t>&lt;/= 1.17 global SI</w:t>
      </w:r>
    </w:p>
    <w:p w:rsidR="00F720F5" w:rsidRDefault="00F720F5"/>
    <w:p w:rsidR="00F720F5" w:rsidRDefault="00F720F5">
      <w:r>
        <w:t>Echocardiogram was always diagnostic.</w:t>
      </w:r>
    </w:p>
    <w:p w:rsidR="00F720F5" w:rsidRDefault="00F720F5"/>
    <w:p w:rsidR="00F720F5" w:rsidRDefault="00F720F5">
      <w:r>
        <w:br w:type="page"/>
      </w:r>
    </w:p>
    <w:p w:rsidR="00B5083D" w:rsidRDefault="00F720F5">
      <w:r>
        <w:rPr>
          <w:noProof/>
        </w:rPr>
        <w:lastRenderedPageBreak/>
        <w:drawing>
          <wp:inline distT="0" distB="0" distL="0" distR="0">
            <wp:extent cx="6858000" cy="5190799"/>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6858000" cy="5190799"/>
                    </a:xfrm>
                    <a:prstGeom prst="rect">
                      <a:avLst/>
                    </a:prstGeom>
                    <a:noFill/>
                    <a:ln w="9525">
                      <a:noFill/>
                      <a:miter lim="800000"/>
                      <a:headEnd/>
                      <a:tailEnd/>
                    </a:ln>
                  </pic:spPr>
                </pic:pic>
              </a:graphicData>
            </a:graphic>
          </wp:inline>
        </w:drawing>
      </w:r>
    </w:p>
    <w:p w:rsidR="00F720F5" w:rsidRDefault="00F720F5">
      <w:proofErr w:type="spellStart"/>
      <w:r>
        <w:t>Baclofen</w:t>
      </w:r>
      <w:proofErr w:type="spellEnd"/>
      <w:r>
        <w:t>: gamma-amino-beta-[p-</w:t>
      </w:r>
      <w:proofErr w:type="spellStart"/>
      <w:r>
        <w:t>chlorophenyl</w:t>
      </w:r>
      <w:proofErr w:type="spellEnd"/>
      <w:r>
        <w:t>]-butyric acid – centrally acting muscle relaxant</w:t>
      </w:r>
    </w:p>
    <w:p w:rsidR="00F720F5" w:rsidRDefault="00F720F5">
      <w:r>
        <w:tab/>
        <w:t>Proposed mechanism: depression monosynaptic and polysynapti</w:t>
      </w:r>
      <w:r w:rsidR="000F732B">
        <w:t>c afferent reflex activity in the spinal cord</w:t>
      </w:r>
    </w:p>
    <w:p w:rsidR="000F732B" w:rsidRDefault="000F732B">
      <w:r>
        <w:tab/>
        <w:t>Derivative of GABA</w:t>
      </w:r>
    </w:p>
    <w:p w:rsidR="000F732B" w:rsidRDefault="000F732B">
      <w:r>
        <w:t>Narrow margin of safety in dogs</w:t>
      </w:r>
    </w:p>
    <w:p w:rsidR="000F732B" w:rsidRDefault="000F732B">
      <w:r>
        <w:t>No established toxic dose</w:t>
      </w:r>
    </w:p>
    <w:p w:rsidR="000F732B" w:rsidRDefault="000F732B">
      <w:r>
        <w:tab/>
        <w:t>Fatalities with 8-16mg/kg</w:t>
      </w:r>
    </w:p>
    <w:p w:rsidR="000F732B" w:rsidRDefault="000F732B">
      <w:r>
        <w:tab/>
        <w:t>Clinical signs as low as 1.3 mg/kg</w:t>
      </w:r>
    </w:p>
    <w:p w:rsidR="000F732B" w:rsidRDefault="000F732B"/>
    <w:p w:rsidR="000F732B" w:rsidRDefault="000F732B">
      <w:r>
        <w:t>This study: lowest amt ingested that produced clinical signs: 0.7mg/kg</w:t>
      </w:r>
    </w:p>
    <w:p w:rsidR="000F732B" w:rsidRDefault="000F732B">
      <w:r>
        <w:tab/>
        <w:t>Lowest dose producing death: 2.3mg/kg (although did not receive medical attention for many hours)</w:t>
      </w:r>
    </w:p>
    <w:p w:rsidR="000F732B" w:rsidRDefault="000F732B"/>
    <w:p w:rsidR="000F732B" w:rsidRDefault="000F732B">
      <w:r>
        <w:t xml:space="preserve">Most common clinical signs: CNS depression, vomiting, ataxia, vocalization, coma, lethargy, </w:t>
      </w:r>
      <w:proofErr w:type="spellStart"/>
      <w:r>
        <w:t>hypersalivation</w:t>
      </w:r>
      <w:proofErr w:type="spellEnd"/>
      <w:r>
        <w:t>, agitation, hypothermia</w:t>
      </w:r>
    </w:p>
    <w:p w:rsidR="000F732B" w:rsidRDefault="000F732B"/>
    <w:p w:rsidR="000F732B" w:rsidRDefault="000F732B">
      <w:r>
        <w:t>83% survival rate</w:t>
      </w:r>
    </w:p>
    <w:p w:rsidR="000F732B" w:rsidRDefault="000F732B"/>
    <w:p w:rsidR="000F732B" w:rsidRDefault="000F732B">
      <w:r>
        <w:br w:type="page"/>
      </w:r>
    </w:p>
    <w:p w:rsidR="000F732B" w:rsidRDefault="000F732B">
      <w:r>
        <w:rPr>
          <w:noProof/>
        </w:rPr>
        <w:lastRenderedPageBreak/>
        <w:drawing>
          <wp:inline distT="0" distB="0" distL="0" distR="0">
            <wp:extent cx="5741035" cy="4349115"/>
            <wp:effectExtent l="1905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5741035" cy="4349115"/>
                    </a:xfrm>
                    <a:prstGeom prst="rect">
                      <a:avLst/>
                    </a:prstGeom>
                    <a:noFill/>
                    <a:ln w="9525">
                      <a:noFill/>
                      <a:miter lim="800000"/>
                      <a:headEnd/>
                      <a:tailEnd/>
                    </a:ln>
                  </pic:spPr>
                </pic:pic>
              </a:graphicData>
            </a:graphic>
          </wp:inline>
        </w:drawing>
      </w:r>
    </w:p>
    <w:p w:rsidR="004456A6" w:rsidRDefault="004456A6"/>
    <w:p w:rsidR="004456A6" w:rsidRDefault="004456A6">
      <w:r>
        <w:t>First report of tumor thrombi assoc with insulinoma.</w:t>
      </w:r>
    </w:p>
    <w:sectPr w:rsidR="004456A6" w:rsidSect="001C1889">
      <w:headerReference w:type="default" r:id="rId12"/>
      <w:pgSz w:w="12240" w:h="15840"/>
      <w:pgMar w:top="720" w:right="720" w:bottom="720" w:left="720" w:header="144" w:footer="14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711E" w:rsidRDefault="00EA711E" w:rsidP="001C1889">
      <w:r>
        <w:separator/>
      </w:r>
    </w:p>
  </w:endnote>
  <w:endnote w:type="continuationSeparator" w:id="0">
    <w:p w:rsidR="00EA711E" w:rsidRDefault="00EA711E" w:rsidP="001C188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711E" w:rsidRDefault="00EA711E" w:rsidP="001C1889">
      <w:r>
        <w:separator/>
      </w:r>
    </w:p>
  </w:footnote>
  <w:footnote w:type="continuationSeparator" w:id="0">
    <w:p w:rsidR="00EA711E" w:rsidRDefault="00EA711E" w:rsidP="001C18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889" w:rsidRDefault="001C1889">
    <w:pPr>
      <w:pStyle w:val="Header"/>
    </w:pPr>
    <w:r>
      <w:t>JAVMA October 2012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1C1889"/>
    <w:rsid w:val="00090C88"/>
    <w:rsid w:val="000F732B"/>
    <w:rsid w:val="00107E20"/>
    <w:rsid w:val="00182ADA"/>
    <w:rsid w:val="001C1889"/>
    <w:rsid w:val="001C5D89"/>
    <w:rsid w:val="00287CB5"/>
    <w:rsid w:val="002B2A75"/>
    <w:rsid w:val="003775D1"/>
    <w:rsid w:val="004456A6"/>
    <w:rsid w:val="004A2BE6"/>
    <w:rsid w:val="009F283A"/>
    <w:rsid w:val="00A91B1F"/>
    <w:rsid w:val="00AB7331"/>
    <w:rsid w:val="00B5083D"/>
    <w:rsid w:val="00B87EA5"/>
    <w:rsid w:val="00BE3596"/>
    <w:rsid w:val="00C760C1"/>
    <w:rsid w:val="00CC7E94"/>
    <w:rsid w:val="00D062BF"/>
    <w:rsid w:val="00D73282"/>
    <w:rsid w:val="00EA711E"/>
    <w:rsid w:val="00F720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B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1889"/>
    <w:rPr>
      <w:rFonts w:ascii="Tahoma" w:hAnsi="Tahoma" w:cs="Tahoma"/>
      <w:sz w:val="16"/>
      <w:szCs w:val="16"/>
    </w:rPr>
  </w:style>
  <w:style w:type="character" w:customStyle="1" w:styleId="BalloonTextChar">
    <w:name w:val="Balloon Text Char"/>
    <w:basedOn w:val="DefaultParagraphFont"/>
    <w:link w:val="BalloonText"/>
    <w:uiPriority w:val="99"/>
    <w:semiHidden/>
    <w:rsid w:val="001C1889"/>
    <w:rPr>
      <w:rFonts w:ascii="Tahoma" w:hAnsi="Tahoma" w:cs="Tahoma"/>
      <w:sz w:val="16"/>
      <w:szCs w:val="16"/>
    </w:rPr>
  </w:style>
  <w:style w:type="paragraph" w:styleId="Header">
    <w:name w:val="header"/>
    <w:basedOn w:val="Normal"/>
    <w:link w:val="HeaderChar"/>
    <w:uiPriority w:val="99"/>
    <w:semiHidden/>
    <w:unhideWhenUsed/>
    <w:rsid w:val="001C1889"/>
    <w:pPr>
      <w:tabs>
        <w:tab w:val="center" w:pos="4680"/>
        <w:tab w:val="right" w:pos="9360"/>
      </w:tabs>
    </w:pPr>
  </w:style>
  <w:style w:type="character" w:customStyle="1" w:styleId="HeaderChar">
    <w:name w:val="Header Char"/>
    <w:basedOn w:val="DefaultParagraphFont"/>
    <w:link w:val="Header"/>
    <w:uiPriority w:val="99"/>
    <w:semiHidden/>
    <w:rsid w:val="001C1889"/>
  </w:style>
  <w:style w:type="paragraph" w:styleId="Footer">
    <w:name w:val="footer"/>
    <w:basedOn w:val="Normal"/>
    <w:link w:val="FooterChar"/>
    <w:uiPriority w:val="99"/>
    <w:semiHidden/>
    <w:unhideWhenUsed/>
    <w:rsid w:val="001C1889"/>
    <w:pPr>
      <w:tabs>
        <w:tab w:val="center" w:pos="4680"/>
        <w:tab w:val="right" w:pos="9360"/>
      </w:tabs>
    </w:pPr>
  </w:style>
  <w:style w:type="character" w:customStyle="1" w:styleId="FooterChar">
    <w:name w:val="Footer Char"/>
    <w:basedOn w:val="DefaultParagraphFont"/>
    <w:link w:val="Footer"/>
    <w:uiPriority w:val="99"/>
    <w:semiHidden/>
    <w:rsid w:val="001C188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endnotes" Target="endnotes.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6</Pages>
  <Words>578</Words>
  <Characters>3296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Hyatt</dc:creator>
  <cp:lastModifiedBy>Clare Hyatt</cp:lastModifiedBy>
  <cp:revision>3</cp:revision>
  <dcterms:created xsi:type="dcterms:W3CDTF">2012-10-30T23:53:00Z</dcterms:created>
  <dcterms:modified xsi:type="dcterms:W3CDTF">2012-11-01T01:55:00Z</dcterms:modified>
</cp:coreProperties>
</file>