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3DF" w:rsidRDefault="00975001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66640" cy="3495675"/>
            <wp:effectExtent l="0" t="0" r="0" b="9525"/>
            <wp:wrapTight wrapText="bothSides">
              <wp:wrapPolygon edited="0">
                <wp:start x="0" y="0"/>
                <wp:lineTo x="0" y="21541"/>
                <wp:lineTo x="21476" y="21541"/>
                <wp:lineTo x="2147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4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C84" w:rsidRDefault="004F4C84">
      <w:r>
        <w:t xml:space="preserve">Severity of anemia and </w:t>
      </w:r>
      <w:proofErr w:type="spellStart"/>
      <w:r>
        <w:t>hyperbilirubinemia</w:t>
      </w:r>
      <w:proofErr w:type="spellEnd"/>
      <w:r>
        <w:t xml:space="preserve"> was significantly </w:t>
      </w:r>
      <w:proofErr w:type="spellStart"/>
      <w:r>
        <w:t>assoc</w:t>
      </w:r>
      <w:proofErr w:type="spellEnd"/>
      <w:r>
        <w:t xml:space="preserve"> with the percent coating of the RBC’s by antibodies. </w:t>
      </w:r>
      <w:r>
        <w:br/>
        <w:t xml:space="preserve">The percent coverage of antibodies on the RBC did not correlate with development of </w:t>
      </w:r>
      <w:proofErr w:type="spellStart"/>
      <w:r>
        <w:t>spherocytes</w:t>
      </w:r>
      <w:proofErr w:type="spellEnd"/>
      <w:r>
        <w:t xml:space="preserve"> or </w:t>
      </w:r>
      <w:proofErr w:type="spellStart"/>
      <w:r>
        <w:t>autoagglutination</w:t>
      </w:r>
      <w:proofErr w:type="spellEnd"/>
      <w:r>
        <w:t xml:space="preserve">. </w:t>
      </w:r>
    </w:p>
    <w:p w:rsidR="00975001" w:rsidRDefault="004F4C84">
      <w:r>
        <w:t xml:space="preserve">Dogs with BOTH </w:t>
      </w:r>
      <w:proofErr w:type="spellStart"/>
      <w:r>
        <w:t>IgG</w:t>
      </w:r>
      <w:proofErr w:type="spellEnd"/>
      <w:r>
        <w:t xml:space="preserve"> and </w:t>
      </w:r>
      <w:proofErr w:type="spellStart"/>
      <w:r>
        <w:t>IgM</w:t>
      </w:r>
      <w:proofErr w:type="spellEnd"/>
      <w:r>
        <w:t xml:space="preserve"> on RBC’s had lower HCT and greater degree of spherocytosis. </w:t>
      </w:r>
    </w:p>
    <w:p w:rsidR="004F4C84" w:rsidRDefault="004F4C84">
      <w:r>
        <w:t>However most cases are likely not tested as they are diagnosed by alternative means (</w:t>
      </w:r>
      <w:proofErr w:type="spellStart"/>
      <w:r>
        <w:t>spherocytes</w:t>
      </w:r>
      <w:proofErr w:type="spellEnd"/>
      <w:r>
        <w:t xml:space="preserve">, agglutination, </w:t>
      </w:r>
      <w:proofErr w:type="spellStart"/>
      <w:r>
        <w:t>etc</w:t>
      </w:r>
      <w:proofErr w:type="spellEnd"/>
      <w:r>
        <w:t xml:space="preserve">) and therefore the 75% mortality may either be invalid or skewed by the tested patients being less severely affected. </w:t>
      </w:r>
    </w:p>
    <w:p w:rsidR="004F4C84" w:rsidRDefault="004F4C84">
      <w:r>
        <w:rPr>
          <w:noProof/>
        </w:rPr>
        <w:drawing>
          <wp:anchor distT="0" distB="0" distL="114300" distR="114300" simplePos="0" relativeHeight="251659264" behindDoc="1" locked="0" layoutInCell="1" allowOverlap="1" wp14:anchorId="24A74C7D" wp14:editId="412E1E98">
            <wp:simplePos x="0" y="0"/>
            <wp:positionH relativeFrom="column">
              <wp:posOffset>-66675</wp:posOffset>
            </wp:positionH>
            <wp:positionV relativeFrom="paragraph">
              <wp:posOffset>76835</wp:posOffset>
            </wp:positionV>
            <wp:extent cx="5307330" cy="4248150"/>
            <wp:effectExtent l="0" t="0" r="7620" b="0"/>
            <wp:wrapTight wrapText="bothSides">
              <wp:wrapPolygon edited="0">
                <wp:start x="0" y="0"/>
                <wp:lineTo x="0" y="21503"/>
                <wp:lineTo x="21553" y="21503"/>
                <wp:lineTo x="2155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C84" w:rsidRDefault="004F4C84">
      <w:r>
        <w:t xml:space="preserve">Evaluated use of </w:t>
      </w:r>
      <w:proofErr w:type="spellStart"/>
      <w:r>
        <w:t>pimobendan</w:t>
      </w:r>
      <w:proofErr w:type="spellEnd"/>
      <w:r>
        <w:t xml:space="preserve"> in cats with: </w:t>
      </w:r>
      <w:r w:rsidR="00E23CA9">
        <w:t>ventricular systolic dysfunction as evidenced by echo findings. Diseases known to cause this include: UCM, DCM, ARVC, some forms of HCM, some severe congenital cardiomyopathy or other acquired heart disease.</w:t>
      </w:r>
    </w:p>
    <w:p w:rsidR="00E23CA9" w:rsidRDefault="00E23CA9">
      <w:r>
        <w:t>Conclusion: median survival time encouraging (167d range 32-339d, although no untreated group with which to compare.</w:t>
      </w:r>
    </w:p>
    <w:p w:rsidR="00E23CA9" w:rsidRDefault="00E23CA9">
      <w:r>
        <w:br w:type="page"/>
      </w:r>
    </w:p>
    <w:p w:rsidR="00416916" w:rsidRDefault="00416916">
      <w:r>
        <w:rPr>
          <w:noProof/>
        </w:rPr>
        <w:lastRenderedPageBreak/>
        <w:drawing>
          <wp:inline distT="0" distB="0" distL="0" distR="0">
            <wp:extent cx="4958158" cy="32861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158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C4" w:rsidRDefault="00416916">
      <w:r>
        <w:t>61% of patients had received at least 1 antibiotic within the previous 12 months</w:t>
      </w:r>
      <w:r w:rsidR="00171F75">
        <w:t xml:space="preserve">. Beta-lactams were most commonly administered. Dermatology patients accounted for </w:t>
      </w:r>
      <w:r w:rsidR="002222C4">
        <w:t>51%</w:t>
      </w:r>
      <w:r w:rsidR="00171F75">
        <w:t xml:space="preserve"> of the cases studied. </w:t>
      </w:r>
      <w:r w:rsidR="002222C4">
        <w:t xml:space="preserve">Authors urge caution in prescribing antibiotics, as this is a known risk factor in humans for development of MRSA. They also comment on the number of </w:t>
      </w:r>
      <w:proofErr w:type="spellStart"/>
      <w:r w:rsidR="002222C4">
        <w:t>abx</w:t>
      </w:r>
      <w:proofErr w:type="spellEnd"/>
      <w:r w:rsidR="002222C4">
        <w:t xml:space="preserve"> not approved for veterinary use (potentially over those that are). This paper does not take into account any cultures performed or the presence of MRSA in this population.</w:t>
      </w:r>
    </w:p>
    <w:p w:rsidR="002222C4" w:rsidRDefault="002222C4">
      <w:r>
        <w:rPr>
          <w:noProof/>
        </w:rPr>
        <w:drawing>
          <wp:inline distT="0" distB="0" distL="0" distR="0" wp14:anchorId="234C1C9F" wp14:editId="39F2D688">
            <wp:extent cx="4667250" cy="3594503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59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02A" w:rsidRDefault="002222C4">
      <w:proofErr w:type="spellStart"/>
      <w:r>
        <w:t>Sequensing</w:t>
      </w:r>
      <w:proofErr w:type="spellEnd"/>
      <w:r>
        <w:t xml:space="preserve"> of the </w:t>
      </w:r>
      <w:proofErr w:type="spellStart"/>
      <w:r>
        <w:t>parvo</w:t>
      </w:r>
      <w:proofErr w:type="spellEnd"/>
      <w:r>
        <w:t xml:space="preserve"> gene does not appear necessary as the type 2b and 2c had similar health risks. CPV-2c was more prevalent in this study (73%). Dogs treated at home were as likely to recover as those hospitalized. </w:t>
      </w:r>
      <w:r w:rsidR="00DB30AF">
        <w:t xml:space="preserve">Hydration status was only variable </w:t>
      </w:r>
      <w:proofErr w:type="spellStart"/>
      <w:r w:rsidR="00DB30AF">
        <w:t>assoc</w:t>
      </w:r>
      <w:proofErr w:type="spellEnd"/>
      <w:r w:rsidR="00DB30AF">
        <w:t xml:space="preserve"> with outcome.</w:t>
      </w:r>
    </w:p>
    <w:p w:rsidR="0058002A" w:rsidRDefault="0058002A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632960" cy="4086225"/>
            <wp:effectExtent l="0" t="0" r="0" b="9525"/>
            <wp:wrapTight wrapText="bothSides">
              <wp:wrapPolygon edited="0">
                <wp:start x="0" y="0"/>
                <wp:lineTo x="0" y="21550"/>
                <wp:lineTo x="21493" y="21550"/>
                <wp:lineTo x="2149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Most common isolates: mycoplasma </w:t>
      </w:r>
      <w:proofErr w:type="spellStart"/>
      <w:r>
        <w:t>spp</w:t>
      </w:r>
      <w:proofErr w:type="spellEnd"/>
      <w:r>
        <w:t xml:space="preserve"> and </w:t>
      </w:r>
      <w:proofErr w:type="spellStart"/>
      <w:r>
        <w:t>bordetella</w:t>
      </w:r>
      <w:proofErr w:type="spellEnd"/>
      <w:r>
        <w:t xml:space="preserve"> </w:t>
      </w:r>
      <w:proofErr w:type="spellStart"/>
      <w:r>
        <w:t>bronchiseptica</w:t>
      </w:r>
      <w:proofErr w:type="spellEnd"/>
      <w:r>
        <w:t>.</w:t>
      </w:r>
    </w:p>
    <w:p w:rsidR="0058002A" w:rsidRDefault="003D2E5E">
      <w:proofErr w:type="gramStart"/>
      <w:r>
        <w:t xml:space="preserve">Tested </w:t>
      </w:r>
      <w:proofErr w:type="spellStart"/>
      <w:r>
        <w:t>abx</w:t>
      </w:r>
      <w:proofErr w:type="spellEnd"/>
      <w:r>
        <w:t xml:space="preserve">: </w:t>
      </w:r>
      <w:proofErr w:type="spellStart"/>
      <w:r>
        <w:t>Clavamox</w:t>
      </w:r>
      <w:proofErr w:type="spellEnd"/>
      <w:r>
        <w:t xml:space="preserve">, </w:t>
      </w:r>
      <w:proofErr w:type="spellStart"/>
      <w:r>
        <w:t>c</w:t>
      </w:r>
      <w:r w:rsidR="0058002A">
        <w:t>efovecin</w:t>
      </w:r>
      <w:proofErr w:type="spellEnd"/>
      <w:r w:rsidR="0058002A">
        <w:t>, doxycycline.</w:t>
      </w:r>
      <w:proofErr w:type="gramEnd"/>
    </w:p>
    <w:p w:rsidR="0058002A" w:rsidRDefault="003D2E5E">
      <w:proofErr w:type="spellStart"/>
      <w:r>
        <w:t>Clavamox</w:t>
      </w:r>
      <w:proofErr w:type="spellEnd"/>
      <w:r>
        <w:t xml:space="preserve"> and doxycycline appeared most effective. </w:t>
      </w:r>
    </w:p>
    <w:p w:rsidR="00A52C26" w:rsidRDefault="00A52C26"/>
    <w:p w:rsidR="00A52C26" w:rsidRDefault="00A52C26"/>
    <w:p w:rsidR="00A52C26" w:rsidRDefault="00A52C26"/>
    <w:p w:rsidR="00A52C26" w:rsidRDefault="00A52C26"/>
    <w:p w:rsidR="00A52C26" w:rsidRDefault="00A52C26"/>
    <w:p w:rsidR="00A52C26" w:rsidRDefault="00A52C26"/>
    <w:p w:rsidR="00A52C26" w:rsidRDefault="00A52C26"/>
    <w:p w:rsidR="00A52C26" w:rsidRDefault="00A52C26"/>
    <w:p w:rsidR="00A52C26" w:rsidRDefault="00A52C26">
      <w:r>
        <w:rPr>
          <w:noProof/>
        </w:rPr>
        <w:drawing>
          <wp:anchor distT="0" distB="0" distL="114300" distR="114300" simplePos="0" relativeHeight="251661312" behindDoc="1" locked="0" layoutInCell="1" allowOverlap="1" wp14:anchorId="3656FFD5" wp14:editId="42A1588F">
            <wp:simplePos x="0" y="0"/>
            <wp:positionH relativeFrom="column">
              <wp:posOffset>0</wp:posOffset>
            </wp:positionH>
            <wp:positionV relativeFrom="paragraph">
              <wp:posOffset>113030</wp:posOffset>
            </wp:positionV>
            <wp:extent cx="4707890" cy="3943350"/>
            <wp:effectExtent l="0" t="0" r="0" b="0"/>
            <wp:wrapTight wrapText="bothSides">
              <wp:wrapPolygon edited="0">
                <wp:start x="0" y="0"/>
                <wp:lineTo x="0" y="21496"/>
                <wp:lineTo x="21501" y="21496"/>
                <wp:lineTo x="2150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89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C26" w:rsidRDefault="00A52C26">
      <w:r>
        <w:t xml:space="preserve">Pre-op </w:t>
      </w:r>
      <w:proofErr w:type="spellStart"/>
      <w:proofErr w:type="gramStart"/>
      <w:r>
        <w:t>iCa</w:t>
      </w:r>
      <w:proofErr w:type="spellEnd"/>
      <w:proofErr w:type="gramEnd"/>
      <w:r>
        <w:t xml:space="preserve"> levels and PTH concentrations were not predictive of post-op </w:t>
      </w:r>
      <w:proofErr w:type="spellStart"/>
      <w:r>
        <w:t>hypocalcemia</w:t>
      </w:r>
      <w:proofErr w:type="spellEnd"/>
      <w:r>
        <w:t xml:space="preserve">. </w:t>
      </w:r>
    </w:p>
    <w:p w:rsidR="00A52C26" w:rsidRDefault="00A52C26">
      <w:proofErr w:type="spellStart"/>
      <w:proofErr w:type="gramStart"/>
      <w:r>
        <w:t>iCa</w:t>
      </w:r>
      <w:proofErr w:type="spellEnd"/>
      <w:proofErr w:type="gramEnd"/>
      <w:r>
        <w:t xml:space="preserve"> decreased in linear fashion, reaching a plateau after the first 24 hours. </w:t>
      </w:r>
    </w:p>
    <w:p w:rsidR="00A52C26" w:rsidRDefault="00A52C26">
      <w:r>
        <w:t>PTH levels not evaluated post-op.</w:t>
      </w:r>
    </w:p>
    <w:p w:rsidR="00A52C26" w:rsidRDefault="00A52C26">
      <w:r>
        <w:br w:type="page"/>
      </w:r>
    </w:p>
    <w:p w:rsidR="00A52C26" w:rsidRDefault="00A52C26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73650" cy="3943350"/>
            <wp:effectExtent l="0" t="0" r="0" b="0"/>
            <wp:wrapTight wrapText="bothSides">
              <wp:wrapPolygon edited="0">
                <wp:start x="0" y="0"/>
                <wp:lineTo x="0" y="21496"/>
                <wp:lineTo x="21492" y="21496"/>
                <wp:lineTo x="21492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Outcomes were largely successful. </w:t>
      </w:r>
    </w:p>
    <w:p w:rsidR="00A52C26" w:rsidRDefault="00A52C26">
      <w:bookmarkStart w:id="0" w:name="_GoBack"/>
      <w:bookmarkEnd w:id="0"/>
      <w:r>
        <w:t xml:space="preserve">8/15 dogs needed long term calcium supplementation. </w:t>
      </w:r>
    </w:p>
    <w:p w:rsidR="00A52C26" w:rsidRDefault="00A52C26">
      <w:proofErr w:type="gramStart"/>
      <w:r>
        <w:t>Median survival 38.3 months.</w:t>
      </w:r>
      <w:proofErr w:type="gramEnd"/>
    </w:p>
    <w:p w:rsidR="0058002A" w:rsidRDefault="0058002A">
      <w:r>
        <w:br w:type="page"/>
      </w:r>
    </w:p>
    <w:p w:rsidR="00416916" w:rsidRDefault="00416916">
      <w:r>
        <w:lastRenderedPageBreak/>
        <w:br w:type="page"/>
      </w:r>
    </w:p>
    <w:p w:rsidR="00E23CA9" w:rsidRDefault="00E23CA9">
      <w:r>
        <w:lastRenderedPageBreak/>
        <w:t>Questions:</w:t>
      </w:r>
      <w:r w:rsidR="00416916">
        <w:t xml:space="preserve"> Gordon, et al. Effect of oral administration of </w:t>
      </w:r>
      <w:proofErr w:type="spellStart"/>
      <w:r w:rsidR="00416916">
        <w:t>pimobendan</w:t>
      </w:r>
      <w:proofErr w:type="spellEnd"/>
      <w:r w:rsidR="00416916">
        <w:t xml:space="preserve"> in cats with heart failure JAVMA 2012</w:t>
      </w:r>
    </w:p>
    <w:p w:rsidR="00E23CA9" w:rsidRDefault="00E23CA9" w:rsidP="00E23CA9">
      <w:pPr>
        <w:pStyle w:val="ListParagraph"/>
        <w:numPr>
          <w:ilvl w:val="0"/>
          <w:numId w:val="1"/>
        </w:numPr>
      </w:pPr>
      <w:r>
        <w:t xml:space="preserve">Which of the following are proposed to be ancillary effects of </w:t>
      </w:r>
      <w:proofErr w:type="spellStart"/>
      <w:r>
        <w:t>pimobendan</w:t>
      </w:r>
      <w:proofErr w:type="spellEnd"/>
      <w:r>
        <w:t>?</w:t>
      </w:r>
    </w:p>
    <w:p w:rsidR="00E23CA9" w:rsidRDefault="00E23CA9" w:rsidP="00E23CA9">
      <w:pPr>
        <w:pStyle w:val="ListParagraph"/>
        <w:numPr>
          <w:ilvl w:val="1"/>
          <w:numId w:val="1"/>
        </w:numPr>
      </w:pPr>
      <w:r>
        <w:t>Antiplatelet effects</w:t>
      </w:r>
    </w:p>
    <w:p w:rsidR="00E23CA9" w:rsidRDefault="00E23CA9" w:rsidP="00E23CA9">
      <w:pPr>
        <w:pStyle w:val="ListParagraph"/>
        <w:numPr>
          <w:ilvl w:val="1"/>
          <w:numId w:val="1"/>
        </w:numPr>
      </w:pPr>
      <w:r>
        <w:t xml:space="preserve">Positive </w:t>
      </w:r>
      <w:proofErr w:type="spellStart"/>
      <w:r>
        <w:t>lusotrophy</w:t>
      </w:r>
      <w:proofErr w:type="spellEnd"/>
    </w:p>
    <w:p w:rsidR="00E23CA9" w:rsidRDefault="00E23CA9" w:rsidP="00E23CA9">
      <w:pPr>
        <w:pStyle w:val="ListParagraph"/>
        <w:numPr>
          <w:ilvl w:val="1"/>
          <w:numId w:val="1"/>
        </w:numPr>
      </w:pPr>
      <w:r>
        <w:t xml:space="preserve">Negative </w:t>
      </w:r>
      <w:proofErr w:type="spellStart"/>
      <w:r>
        <w:t>chronotrophy</w:t>
      </w:r>
      <w:proofErr w:type="spellEnd"/>
    </w:p>
    <w:p w:rsidR="00E23CA9" w:rsidRDefault="00E23CA9" w:rsidP="00E23CA9">
      <w:pPr>
        <w:pStyle w:val="ListParagraph"/>
        <w:numPr>
          <w:ilvl w:val="1"/>
          <w:numId w:val="1"/>
        </w:numPr>
      </w:pPr>
      <w:r>
        <w:t>Endothelium dependent vasodilatation</w:t>
      </w:r>
    </w:p>
    <w:p w:rsidR="00E23CA9" w:rsidRDefault="00E23CA9" w:rsidP="00E23CA9">
      <w:pPr>
        <w:pStyle w:val="ListParagraph"/>
        <w:numPr>
          <w:ilvl w:val="1"/>
          <w:numId w:val="1"/>
        </w:numPr>
      </w:pPr>
      <w:r>
        <w:t>A and C</w:t>
      </w:r>
    </w:p>
    <w:p w:rsidR="00E23CA9" w:rsidRDefault="00E23CA9" w:rsidP="00E23CA9">
      <w:pPr>
        <w:pStyle w:val="ListParagraph"/>
        <w:numPr>
          <w:ilvl w:val="1"/>
          <w:numId w:val="1"/>
        </w:numPr>
      </w:pPr>
      <w:r>
        <w:t>A, B and C</w:t>
      </w:r>
    </w:p>
    <w:p w:rsidR="00416916" w:rsidRDefault="00416916" w:rsidP="00416916">
      <w:pPr>
        <w:pStyle w:val="ListParagraph"/>
        <w:ind w:left="1440"/>
      </w:pPr>
    </w:p>
    <w:p w:rsidR="00E23CA9" w:rsidRDefault="00E23CA9" w:rsidP="00E23CA9">
      <w:pPr>
        <w:pStyle w:val="ListParagraph"/>
        <w:numPr>
          <w:ilvl w:val="0"/>
          <w:numId w:val="1"/>
        </w:numPr>
      </w:pPr>
      <w:r>
        <w:t xml:space="preserve">Describe a reason why </w:t>
      </w:r>
      <w:proofErr w:type="spellStart"/>
      <w:r>
        <w:t>pimobendan</w:t>
      </w:r>
      <w:proofErr w:type="spellEnd"/>
      <w:r>
        <w:t xml:space="preserve"> might be contraindicated in cats with HCM.</w:t>
      </w:r>
    </w:p>
    <w:p w:rsidR="00E23CA9" w:rsidRDefault="00E23CA9" w:rsidP="00E23CA9">
      <w:pPr>
        <w:pStyle w:val="ListParagraph"/>
        <w:numPr>
          <w:ilvl w:val="1"/>
          <w:numId w:val="1"/>
        </w:numPr>
      </w:pPr>
      <w:r>
        <w:t xml:space="preserve">Because of </w:t>
      </w:r>
      <w:proofErr w:type="spellStart"/>
      <w:r>
        <w:t>pimobendans</w:t>
      </w:r>
      <w:proofErr w:type="spellEnd"/>
      <w:r>
        <w:t xml:space="preserve"> </w:t>
      </w:r>
      <w:proofErr w:type="spellStart"/>
      <w:r>
        <w:t>ionodilator</w:t>
      </w:r>
      <w:proofErr w:type="spellEnd"/>
      <w:r>
        <w:t xml:space="preserve"> status (increased strength of contraction and vasodilation), patients with diastolic dysfunction (impaired relaxation) especially those with systolic motion of the anterior mitral valve leaflet (SAM) could experience worsening outflow obstruction</w:t>
      </w:r>
      <w:r w:rsidR="00416916">
        <w:t xml:space="preserve"> (and subsequent worsening of systemic hypotension, tachycardia, worsening CHF, or arrhythmias.</w:t>
      </w:r>
    </w:p>
    <w:p w:rsidR="00416916" w:rsidRDefault="00416916" w:rsidP="00416916">
      <w:pPr>
        <w:pStyle w:val="ListParagraph"/>
        <w:ind w:left="1440"/>
      </w:pPr>
    </w:p>
    <w:p w:rsidR="00416916" w:rsidRDefault="00416916" w:rsidP="00416916">
      <w:pPr>
        <w:pStyle w:val="ListParagraph"/>
        <w:numPr>
          <w:ilvl w:val="0"/>
          <w:numId w:val="1"/>
        </w:numPr>
      </w:pPr>
      <w:r>
        <w:t>In this article, which of the following were associated with longer survival times?</w:t>
      </w:r>
    </w:p>
    <w:p w:rsidR="00416916" w:rsidRDefault="00416916" w:rsidP="00416916">
      <w:pPr>
        <w:pStyle w:val="ListParagraph"/>
        <w:numPr>
          <w:ilvl w:val="1"/>
          <w:numId w:val="1"/>
        </w:numPr>
      </w:pPr>
      <w:r>
        <w:t>Purebred cat</w:t>
      </w:r>
    </w:p>
    <w:p w:rsidR="00416916" w:rsidRDefault="00416916" w:rsidP="00416916">
      <w:pPr>
        <w:pStyle w:val="ListParagraph"/>
        <w:numPr>
          <w:ilvl w:val="1"/>
          <w:numId w:val="1"/>
        </w:numPr>
      </w:pPr>
      <w:r>
        <w:t>Male gender</w:t>
      </w:r>
    </w:p>
    <w:p w:rsidR="00416916" w:rsidRDefault="00416916" w:rsidP="00416916">
      <w:pPr>
        <w:pStyle w:val="ListParagraph"/>
        <w:numPr>
          <w:ilvl w:val="1"/>
          <w:numId w:val="1"/>
        </w:numPr>
      </w:pPr>
      <w:r>
        <w:t>Presence of smoke in the left atrium</w:t>
      </w:r>
      <w:r w:rsidRPr="00416916">
        <w:t xml:space="preserve"> </w:t>
      </w:r>
    </w:p>
    <w:p w:rsidR="00416916" w:rsidRDefault="00416916" w:rsidP="00416916">
      <w:pPr>
        <w:pStyle w:val="ListParagraph"/>
        <w:numPr>
          <w:ilvl w:val="1"/>
          <w:numId w:val="1"/>
        </w:numPr>
      </w:pPr>
      <w:r>
        <w:t>Age</w:t>
      </w:r>
    </w:p>
    <w:p w:rsidR="00416916" w:rsidRDefault="00416916" w:rsidP="00416916">
      <w:pPr>
        <w:pStyle w:val="ListParagraph"/>
        <w:numPr>
          <w:ilvl w:val="1"/>
          <w:numId w:val="1"/>
        </w:numPr>
      </w:pPr>
      <w:r>
        <w:t>Lethargy at the time of presentation</w:t>
      </w:r>
    </w:p>
    <w:p w:rsidR="00416916" w:rsidRDefault="00416916" w:rsidP="00416916">
      <w:pPr>
        <w:pStyle w:val="ListParagraph"/>
        <w:numPr>
          <w:ilvl w:val="1"/>
          <w:numId w:val="1"/>
        </w:numPr>
      </w:pPr>
      <w:r>
        <w:t>A, B and C</w:t>
      </w:r>
    </w:p>
    <w:p w:rsidR="00416916" w:rsidRDefault="00416916" w:rsidP="00416916">
      <w:pPr>
        <w:pStyle w:val="ListParagraph"/>
        <w:numPr>
          <w:ilvl w:val="1"/>
          <w:numId w:val="1"/>
        </w:numPr>
      </w:pPr>
      <w:r>
        <w:t>B, C, and F</w:t>
      </w:r>
    </w:p>
    <w:p w:rsidR="004F4C84" w:rsidRDefault="004F4C84"/>
    <w:p w:rsidR="004F4C84" w:rsidRDefault="004F4C84"/>
    <w:p w:rsidR="004F4C84" w:rsidRDefault="004F4C84"/>
    <w:sectPr w:rsidR="004F4C84" w:rsidSect="005405E1">
      <w:headerReference w:type="default" r:id="rId16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5E1" w:rsidRDefault="005405E1" w:rsidP="005405E1">
      <w:pPr>
        <w:spacing w:after="0" w:line="240" w:lineRule="auto"/>
      </w:pPr>
      <w:r>
        <w:separator/>
      </w:r>
    </w:p>
  </w:endnote>
  <w:endnote w:type="continuationSeparator" w:id="0">
    <w:p w:rsidR="005405E1" w:rsidRDefault="005405E1" w:rsidP="0054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5E1" w:rsidRDefault="005405E1" w:rsidP="005405E1">
      <w:pPr>
        <w:spacing w:after="0" w:line="240" w:lineRule="auto"/>
      </w:pPr>
      <w:r>
        <w:separator/>
      </w:r>
    </w:p>
  </w:footnote>
  <w:footnote w:type="continuationSeparator" w:id="0">
    <w:p w:rsidR="005405E1" w:rsidRDefault="005405E1" w:rsidP="00540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5E1" w:rsidRDefault="005405E1">
    <w:pPr>
      <w:pStyle w:val="Header"/>
    </w:pPr>
    <w:r>
      <w:t>JAVMA</w:t>
    </w:r>
    <w:r w:rsidR="00A52C26">
      <w:t xml:space="preserve"> July 2012</w:t>
    </w:r>
    <w:r>
      <w:t xml:space="preserve"> summaries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2CD"/>
    <w:multiLevelType w:val="hybridMultilevel"/>
    <w:tmpl w:val="5880C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5E1"/>
    <w:rsid w:val="00171F75"/>
    <w:rsid w:val="002222C4"/>
    <w:rsid w:val="003D2E5E"/>
    <w:rsid w:val="00416916"/>
    <w:rsid w:val="004F4C84"/>
    <w:rsid w:val="005405E1"/>
    <w:rsid w:val="0058002A"/>
    <w:rsid w:val="00975001"/>
    <w:rsid w:val="00A52C26"/>
    <w:rsid w:val="00D003DF"/>
    <w:rsid w:val="00DB30AF"/>
    <w:rsid w:val="00E2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5E1"/>
  </w:style>
  <w:style w:type="paragraph" w:styleId="Footer">
    <w:name w:val="footer"/>
    <w:basedOn w:val="Normal"/>
    <w:link w:val="FooterChar"/>
    <w:uiPriority w:val="99"/>
    <w:unhideWhenUsed/>
    <w:rsid w:val="00540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5E1"/>
  </w:style>
  <w:style w:type="paragraph" w:styleId="BalloonText">
    <w:name w:val="Balloon Text"/>
    <w:basedOn w:val="Normal"/>
    <w:link w:val="BalloonTextChar"/>
    <w:uiPriority w:val="99"/>
    <w:semiHidden/>
    <w:unhideWhenUsed/>
    <w:rsid w:val="0097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0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C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5E1"/>
  </w:style>
  <w:style w:type="paragraph" w:styleId="Footer">
    <w:name w:val="footer"/>
    <w:basedOn w:val="Normal"/>
    <w:link w:val="FooterChar"/>
    <w:uiPriority w:val="99"/>
    <w:unhideWhenUsed/>
    <w:rsid w:val="00540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5E1"/>
  </w:style>
  <w:style w:type="paragraph" w:styleId="BalloonText">
    <w:name w:val="Balloon Text"/>
    <w:basedOn w:val="Normal"/>
    <w:link w:val="BalloonTextChar"/>
    <w:uiPriority w:val="99"/>
    <w:semiHidden/>
    <w:unhideWhenUsed/>
    <w:rsid w:val="0097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0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3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BE9E2-6F81-4963-8218-A265F189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 ICU</dc:creator>
  <cp:lastModifiedBy>CAH ICU</cp:lastModifiedBy>
  <cp:revision>3</cp:revision>
  <dcterms:created xsi:type="dcterms:W3CDTF">2012-10-03T07:44:00Z</dcterms:created>
  <dcterms:modified xsi:type="dcterms:W3CDTF">2012-10-03T10:03:00Z</dcterms:modified>
</cp:coreProperties>
</file>