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7BA" w:rsidRDefault="00B51A3A">
      <w:r>
        <w:rPr>
          <w:noProof/>
        </w:rPr>
        <w:drawing>
          <wp:inline distT="0" distB="0" distL="0" distR="0">
            <wp:extent cx="5943600" cy="48411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841118"/>
                    </a:xfrm>
                    <a:prstGeom prst="rect">
                      <a:avLst/>
                    </a:prstGeom>
                    <a:noFill/>
                    <a:ln>
                      <a:noFill/>
                    </a:ln>
                  </pic:spPr>
                </pic:pic>
              </a:graphicData>
            </a:graphic>
          </wp:inline>
        </w:drawing>
      </w:r>
    </w:p>
    <w:p w:rsidR="00B51A3A" w:rsidRDefault="00B51A3A">
      <w:r>
        <w:t xml:space="preserve">Base excess (amount of strong acid or base required to restore 1 L of blood to pH of 7.40 at 37C with PCO2 40 mmHg). </w:t>
      </w:r>
      <w:proofErr w:type="gramStart"/>
      <w:r>
        <w:t>Calculated value, dependent on blood pH, PCO2 and hematocrit.</w:t>
      </w:r>
      <w:proofErr w:type="gramEnd"/>
      <w:r>
        <w:t xml:space="preserve"> As lactate levels increase, base excess should decrease (almost in 1:1 fashion). Base excess has been used, along with lactate, as an endpoint of resuscitation, and their use together have been shown to be superior to either alone in predicting developing organ debt and death.</w:t>
      </w:r>
    </w:p>
    <w:p w:rsidR="00B51A3A" w:rsidRDefault="00B51A3A">
      <w:r>
        <w:t>Purpose: Determine the correlation between plasma lactate concentration and base excess at the time of hospital admission, and evaluate each as a predictor of gastric necrosis or outcome in dogs with GDV.</w:t>
      </w:r>
    </w:p>
    <w:p w:rsidR="00B51A3A" w:rsidRDefault="00B51A3A">
      <w:proofErr w:type="gramStart"/>
      <w:r>
        <w:t>Retrospective case series.</w:t>
      </w:r>
      <w:proofErr w:type="gramEnd"/>
    </w:p>
    <w:p w:rsidR="00B51A3A" w:rsidRDefault="00B51A3A">
      <w:r>
        <w:t xml:space="preserve">Inclusion: dogs with </w:t>
      </w:r>
      <w:proofErr w:type="spellStart"/>
      <w:r>
        <w:t>radiographically</w:t>
      </w:r>
      <w:proofErr w:type="spellEnd"/>
      <w:r>
        <w:t xml:space="preserve"> confirmed GDV, had venous blood gas performed prior to receiving fluid therapy or gastric decompression, did not undergo surgery (euthanized prior without necropsy). </w:t>
      </w:r>
      <w:proofErr w:type="gramStart"/>
      <w:r>
        <w:t xml:space="preserve">Also excluded dogs with possible underlying disease that might induce metabolic acidosis (uremia, </w:t>
      </w:r>
      <w:proofErr w:type="spellStart"/>
      <w:r>
        <w:t>etc</w:t>
      </w:r>
      <w:proofErr w:type="spellEnd"/>
      <w:r>
        <w:t>).</w:t>
      </w:r>
      <w:proofErr w:type="gramEnd"/>
    </w:p>
    <w:p w:rsidR="00A7323C" w:rsidRDefault="00A7323C">
      <w:r>
        <w:t>Results: n=78 enrolled (only one excluded because of concurrent disease). Median age 8y (range 1.2-16.2y), 64% male. Most common breeds: GSD, Dane, Lab, St. Bern, SPOO.</w:t>
      </w:r>
    </w:p>
    <w:p w:rsidR="00A7323C" w:rsidRDefault="00A7323C">
      <w:proofErr w:type="gramStart"/>
      <w:r>
        <w:t xml:space="preserve">Gastric necrosis </w:t>
      </w:r>
      <w:proofErr w:type="spellStart"/>
      <w:r>
        <w:t>foung</w:t>
      </w:r>
      <w:proofErr w:type="spellEnd"/>
      <w:r>
        <w:t xml:space="preserve"> in 16 (21%) of dogs (12 in surgery, 4 in necropsy).</w:t>
      </w:r>
      <w:proofErr w:type="gramEnd"/>
    </w:p>
    <w:p w:rsidR="00A7323C" w:rsidRDefault="00A7323C">
      <w:proofErr w:type="gramStart"/>
      <w:r>
        <w:t>83% (65) survival to discharge.</w:t>
      </w:r>
      <w:proofErr w:type="gramEnd"/>
      <w:r>
        <w:t xml:space="preserve"> 8 had gastric necrosis</w:t>
      </w:r>
    </w:p>
    <w:p w:rsidR="00A7323C" w:rsidRDefault="00A7323C">
      <w:r>
        <w:t xml:space="preserve">17% (13) </w:t>
      </w:r>
      <w:proofErr w:type="spellStart"/>
      <w:r>
        <w:t>nonsurvivors</w:t>
      </w:r>
      <w:proofErr w:type="spellEnd"/>
      <w:r>
        <w:t xml:space="preserve">: 5 </w:t>
      </w:r>
      <w:proofErr w:type="spellStart"/>
      <w:r>
        <w:t>euth</w:t>
      </w:r>
      <w:proofErr w:type="spellEnd"/>
      <w:r>
        <w:t xml:space="preserve"> pre-</w:t>
      </w:r>
      <w:proofErr w:type="spellStart"/>
      <w:r>
        <w:t>sx</w:t>
      </w:r>
      <w:proofErr w:type="spellEnd"/>
      <w:r>
        <w:t xml:space="preserve"> and underwent necropsy. 3 dogs euthanized intra-op due to gastric necrosis, 4 dogs </w:t>
      </w:r>
      <w:proofErr w:type="spellStart"/>
      <w:r>
        <w:t>euth</w:t>
      </w:r>
      <w:proofErr w:type="spellEnd"/>
      <w:r>
        <w:t xml:space="preserve"> post-op (2=DIC, 1=ARDS, 1=not stated). 1 died post-op, no necropsy.</w:t>
      </w:r>
    </w:p>
    <w:p w:rsidR="00A7323C" w:rsidRDefault="00A7323C">
      <w:r>
        <w:t>Significant differences in the proportion of dogs with gastric necrosis – dogs with gastric necrosis that underwent surgery were 7.1 times as likely not to survive as dogs without gastric necrosis.</w:t>
      </w:r>
    </w:p>
    <w:p w:rsidR="00A7323C" w:rsidRDefault="00A7323C">
      <w:proofErr w:type="gramStart"/>
      <w:r>
        <w:t>Hospitalization longer with gastric necrosis</w:t>
      </w:r>
      <w:r w:rsidR="00516CF3">
        <w:t xml:space="preserve"> (4 day median </w:t>
      </w:r>
      <w:proofErr w:type="spellStart"/>
      <w:r w:rsidR="00516CF3">
        <w:t>vs</w:t>
      </w:r>
      <w:proofErr w:type="spellEnd"/>
      <w:r w:rsidR="00516CF3">
        <w:t xml:space="preserve"> 2 day).</w:t>
      </w:r>
      <w:proofErr w:type="gramEnd"/>
      <w:r w:rsidR="00516CF3">
        <w:t xml:space="preserve"> Also had longer ICU </w:t>
      </w:r>
      <w:proofErr w:type="gramStart"/>
      <w:r w:rsidR="00516CF3">
        <w:t>stay</w:t>
      </w:r>
      <w:proofErr w:type="gramEnd"/>
      <w:r w:rsidR="00516CF3">
        <w:t xml:space="preserve"> (2.5d </w:t>
      </w:r>
      <w:proofErr w:type="spellStart"/>
      <w:r w:rsidR="00516CF3">
        <w:t>vs</w:t>
      </w:r>
      <w:proofErr w:type="spellEnd"/>
      <w:r w:rsidR="00516CF3">
        <w:t xml:space="preserve"> 1 day).</w:t>
      </w:r>
    </w:p>
    <w:p w:rsidR="00516CF3" w:rsidRDefault="00516CF3">
      <w:r w:rsidRPr="009B71DF">
        <w:rPr>
          <w:b/>
        </w:rPr>
        <w:t>Lactate:</w:t>
      </w:r>
      <w:r>
        <w:t xml:space="preserve"> Significantly less for survivors (4.5 median) </w:t>
      </w:r>
      <w:proofErr w:type="spellStart"/>
      <w:r>
        <w:t>vs</w:t>
      </w:r>
      <w:proofErr w:type="spellEnd"/>
      <w:r>
        <w:t xml:space="preserve"> </w:t>
      </w:r>
      <w:proofErr w:type="spellStart"/>
      <w:r>
        <w:t>nonsurvivors</w:t>
      </w:r>
      <w:proofErr w:type="spellEnd"/>
      <w:r>
        <w:t xml:space="preserve"> (7.9 median). Lactate correlated with ICU stay. Lactate for dogs with gastric necrosis was 6.95 median (range 1.9-14.4) </w:t>
      </w:r>
      <w:proofErr w:type="spellStart"/>
      <w:r>
        <w:t>vs</w:t>
      </w:r>
      <w:proofErr w:type="spellEnd"/>
      <w:r>
        <w:t xml:space="preserve"> no gastric necrosis (4.5 median, 0.8-15 range).</w:t>
      </w:r>
    </w:p>
    <w:p w:rsidR="009B71DF" w:rsidRDefault="009B71DF">
      <w:r>
        <w:t>Cutoff of 7.4mmol/L had 82% accuracy for predicting gastric necrosis, 88% accuracy for predicting outcome. For predicting gastric necrosis: sensitivity 50% and specificity 88%, for outcome sensitivity 75%, specificity 89%.</w:t>
      </w:r>
    </w:p>
    <w:p w:rsidR="009B71DF" w:rsidRDefault="009B71DF">
      <w:r w:rsidRPr="009B71DF">
        <w:rPr>
          <w:b/>
        </w:rPr>
        <w:t xml:space="preserve">Base excess: </w:t>
      </w:r>
      <w:r>
        <w:t xml:space="preserve">Significantly lower (-6.1, range -14.9 to -2.9) in the </w:t>
      </w:r>
      <w:proofErr w:type="spellStart"/>
      <w:r>
        <w:t>nonsurvivors</w:t>
      </w:r>
      <w:proofErr w:type="spellEnd"/>
      <w:r>
        <w:t xml:space="preserve"> that underwent surgery. Also significantly less in those with gastric necrosis (-5.7, range -12.2 to 0.6). Despite this BE was poor predictor of outcome and necrosis.</w:t>
      </w:r>
    </w:p>
    <w:p w:rsidR="00516CF3" w:rsidRDefault="00516CF3"/>
    <w:p w:rsidR="00FA07B2" w:rsidRDefault="009B71DF">
      <w:r>
        <w:t>Discussion: Because of the reported 1:1 correlation between serum lactate and base excess, the authors were hoping to find a correlation in these GDV cases, however in this study the BE was not found to be an accurate predictor of survival or gastric necrosis.</w:t>
      </w:r>
    </w:p>
    <w:p w:rsidR="009B71DF" w:rsidRDefault="009B71DF">
      <w:r>
        <w:t>Limitations: retrospective, potential bias in treatment based on severity of elevated lactate levels</w:t>
      </w:r>
      <w:r w:rsidR="00864782">
        <w:t>, peripheral blood draws, consistency of sample handling</w:t>
      </w:r>
      <w:bookmarkStart w:id="0" w:name="_GoBack"/>
      <w:bookmarkEnd w:id="0"/>
    </w:p>
    <w:p w:rsidR="00B51A3A" w:rsidRDefault="00516CF3">
      <w:r>
        <w:t xml:space="preserve"> </w:t>
      </w:r>
    </w:p>
    <w:sectPr w:rsidR="00B51A3A" w:rsidSect="00B51A3A">
      <w:headerReference w:type="default" r:id="rId8"/>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9FA" w:rsidRDefault="007779FA" w:rsidP="00B51A3A">
      <w:r>
        <w:separator/>
      </w:r>
    </w:p>
  </w:endnote>
  <w:endnote w:type="continuationSeparator" w:id="0">
    <w:p w:rsidR="007779FA" w:rsidRDefault="007779FA" w:rsidP="00B51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9FA" w:rsidRDefault="007779FA" w:rsidP="00B51A3A">
      <w:r>
        <w:separator/>
      </w:r>
    </w:p>
  </w:footnote>
  <w:footnote w:type="continuationSeparator" w:id="0">
    <w:p w:rsidR="007779FA" w:rsidRDefault="007779FA" w:rsidP="00B51A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A3A" w:rsidRDefault="00B51A3A">
    <w:pPr>
      <w:pStyle w:val="Header"/>
    </w:pPr>
    <w:r>
      <w:t>JAVMA 2013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3A"/>
    <w:rsid w:val="00516CF3"/>
    <w:rsid w:val="007779FA"/>
    <w:rsid w:val="00864782"/>
    <w:rsid w:val="00871B9A"/>
    <w:rsid w:val="00977C3D"/>
    <w:rsid w:val="009B71DF"/>
    <w:rsid w:val="00A7323C"/>
    <w:rsid w:val="00B20975"/>
    <w:rsid w:val="00B51A3A"/>
    <w:rsid w:val="00F04E3C"/>
    <w:rsid w:val="00FA0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1A3A"/>
    <w:rPr>
      <w:rFonts w:ascii="Tahoma" w:hAnsi="Tahoma" w:cs="Tahoma"/>
      <w:sz w:val="16"/>
      <w:szCs w:val="16"/>
    </w:rPr>
  </w:style>
  <w:style w:type="character" w:customStyle="1" w:styleId="BalloonTextChar">
    <w:name w:val="Balloon Text Char"/>
    <w:basedOn w:val="DefaultParagraphFont"/>
    <w:link w:val="BalloonText"/>
    <w:uiPriority w:val="99"/>
    <w:semiHidden/>
    <w:rsid w:val="00B51A3A"/>
    <w:rPr>
      <w:rFonts w:ascii="Tahoma" w:hAnsi="Tahoma" w:cs="Tahoma"/>
      <w:sz w:val="16"/>
      <w:szCs w:val="16"/>
    </w:rPr>
  </w:style>
  <w:style w:type="paragraph" w:styleId="Header">
    <w:name w:val="header"/>
    <w:basedOn w:val="Normal"/>
    <w:link w:val="HeaderChar"/>
    <w:uiPriority w:val="99"/>
    <w:unhideWhenUsed/>
    <w:rsid w:val="00B51A3A"/>
    <w:pPr>
      <w:tabs>
        <w:tab w:val="center" w:pos="4680"/>
        <w:tab w:val="right" w:pos="9360"/>
      </w:tabs>
    </w:pPr>
  </w:style>
  <w:style w:type="character" w:customStyle="1" w:styleId="HeaderChar">
    <w:name w:val="Header Char"/>
    <w:basedOn w:val="DefaultParagraphFont"/>
    <w:link w:val="Header"/>
    <w:uiPriority w:val="99"/>
    <w:rsid w:val="00B51A3A"/>
  </w:style>
  <w:style w:type="paragraph" w:styleId="Footer">
    <w:name w:val="footer"/>
    <w:basedOn w:val="Normal"/>
    <w:link w:val="FooterChar"/>
    <w:uiPriority w:val="99"/>
    <w:unhideWhenUsed/>
    <w:rsid w:val="00B51A3A"/>
    <w:pPr>
      <w:tabs>
        <w:tab w:val="center" w:pos="4680"/>
        <w:tab w:val="right" w:pos="9360"/>
      </w:tabs>
    </w:pPr>
  </w:style>
  <w:style w:type="character" w:customStyle="1" w:styleId="FooterChar">
    <w:name w:val="Footer Char"/>
    <w:basedOn w:val="DefaultParagraphFont"/>
    <w:link w:val="Footer"/>
    <w:uiPriority w:val="99"/>
    <w:rsid w:val="00B51A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1A3A"/>
    <w:rPr>
      <w:rFonts w:ascii="Tahoma" w:hAnsi="Tahoma" w:cs="Tahoma"/>
      <w:sz w:val="16"/>
      <w:szCs w:val="16"/>
    </w:rPr>
  </w:style>
  <w:style w:type="character" w:customStyle="1" w:styleId="BalloonTextChar">
    <w:name w:val="Balloon Text Char"/>
    <w:basedOn w:val="DefaultParagraphFont"/>
    <w:link w:val="BalloonText"/>
    <w:uiPriority w:val="99"/>
    <w:semiHidden/>
    <w:rsid w:val="00B51A3A"/>
    <w:rPr>
      <w:rFonts w:ascii="Tahoma" w:hAnsi="Tahoma" w:cs="Tahoma"/>
      <w:sz w:val="16"/>
      <w:szCs w:val="16"/>
    </w:rPr>
  </w:style>
  <w:style w:type="paragraph" w:styleId="Header">
    <w:name w:val="header"/>
    <w:basedOn w:val="Normal"/>
    <w:link w:val="HeaderChar"/>
    <w:uiPriority w:val="99"/>
    <w:unhideWhenUsed/>
    <w:rsid w:val="00B51A3A"/>
    <w:pPr>
      <w:tabs>
        <w:tab w:val="center" w:pos="4680"/>
        <w:tab w:val="right" w:pos="9360"/>
      </w:tabs>
    </w:pPr>
  </w:style>
  <w:style w:type="character" w:customStyle="1" w:styleId="HeaderChar">
    <w:name w:val="Header Char"/>
    <w:basedOn w:val="DefaultParagraphFont"/>
    <w:link w:val="Header"/>
    <w:uiPriority w:val="99"/>
    <w:rsid w:val="00B51A3A"/>
  </w:style>
  <w:style w:type="paragraph" w:styleId="Footer">
    <w:name w:val="footer"/>
    <w:basedOn w:val="Normal"/>
    <w:link w:val="FooterChar"/>
    <w:uiPriority w:val="99"/>
    <w:unhideWhenUsed/>
    <w:rsid w:val="00B51A3A"/>
    <w:pPr>
      <w:tabs>
        <w:tab w:val="center" w:pos="4680"/>
        <w:tab w:val="right" w:pos="9360"/>
      </w:tabs>
    </w:pPr>
  </w:style>
  <w:style w:type="character" w:customStyle="1" w:styleId="FooterChar">
    <w:name w:val="Footer Char"/>
    <w:basedOn w:val="DefaultParagraphFont"/>
    <w:link w:val="Footer"/>
    <w:uiPriority w:val="99"/>
    <w:rsid w:val="00B51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TotalTime>
  <Pages>2</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E Hyatt</dc:creator>
  <cp:lastModifiedBy>Clare E Hyatt</cp:lastModifiedBy>
  <cp:revision>3</cp:revision>
  <dcterms:created xsi:type="dcterms:W3CDTF">2013-01-09T13:23:00Z</dcterms:created>
  <dcterms:modified xsi:type="dcterms:W3CDTF">2013-01-11T15:06:00Z</dcterms:modified>
</cp:coreProperties>
</file>