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FE8" w:rsidRPr="00165F41" w:rsidRDefault="008212ED" w:rsidP="00165F41">
      <w:pPr>
        <w:jc w:val="center"/>
        <w:rPr>
          <w:b/>
          <w:sz w:val="28"/>
          <w:szCs w:val="28"/>
          <w:u w:val="single"/>
        </w:rPr>
      </w:pPr>
      <w:bookmarkStart w:id="0" w:name="_GoBack"/>
      <w:bookmarkEnd w:id="0"/>
      <w:r w:rsidRPr="00165F41">
        <w:rPr>
          <w:b/>
          <w:sz w:val="28"/>
          <w:szCs w:val="28"/>
          <w:u w:val="single"/>
        </w:rPr>
        <w:t>Esophagostomy tubes</w:t>
      </w:r>
    </w:p>
    <w:p w:rsidR="008212ED" w:rsidRDefault="008212ED" w:rsidP="00B34F7B"/>
    <w:p w:rsidR="00D477B4" w:rsidRDefault="00D477B4" w:rsidP="00D477B4">
      <w:pPr>
        <w:pStyle w:val="ListParagraph"/>
        <w:numPr>
          <w:ilvl w:val="0"/>
          <w:numId w:val="5"/>
        </w:numPr>
      </w:pPr>
      <w:r>
        <w:t>An esophagostomy tube should be considered whenever a patient is inappetant because iteither voluntarily will not or cannot eat.</w:t>
      </w:r>
    </w:p>
    <w:p w:rsidR="00D477B4" w:rsidRDefault="00D477B4" w:rsidP="00D477B4">
      <w:pPr>
        <w:pStyle w:val="ListParagraph"/>
        <w:numPr>
          <w:ilvl w:val="1"/>
          <w:numId w:val="5"/>
        </w:numPr>
      </w:pPr>
      <w:r>
        <w:t>Severe maxillofacial trauma, neoplasia or masseffects, inappetance</w:t>
      </w:r>
    </w:p>
    <w:p w:rsidR="00D477B4" w:rsidRDefault="00D477B4" w:rsidP="00D477B4">
      <w:pPr>
        <w:pStyle w:val="ListParagraph"/>
        <w:numPr>
          <w:ilvl w:val="0"/>
          <w:numId w:val="5"/>
        </w:numPr>
      </w:pPr>
      <w:r w:rsidRPr="00D477B4">
        <w:rPr>
          <w:u w:val="single"/>
        </w:rPr>
        <w:t>Advantages:</w:t>
      </w:r>
      <w:r>
        <w:t>esophagostomy tubes are simple to place, require minimal equipment,</w:t>
      </w:r>
      <w:r w:rsidR="00782D9F">
        <w:t xml:space="preserve"> can feed thick gruel through tube</w:t>
      </w:r>
      <w:r>
        <w:t xml:space="preserve">and can be used immediately. </w:t>
      </w:r>
    </w:p>
    <w:p w:rsidR="00D477B4" w:rsidRDefault="00D477B4" w:rsidP="00D477B4">
      <w:pPr>
        <w:pStyle w:val="ListParagraph"/>
        <w:numPr>
          <w:ilvl w:val="0"/>
          <w:numId w:val="5"/>
        </w:numPr>
      </w:pPr>
      <w:r w:rsidRPr="00D477B4">
        <w:rPr>
          <w:u w:val="single"/>
        </w:rPr>
        <w:t>Disadvantages:</w:t>
      </w:r>
      <w:r>
        <w:t xml:space="preserve"> contraindicated in patients thatcannot protect their airway, are vomiting or regurgitating, or have functional or mechanicalesophageal abnormalities such as megaesophagus or strictures</w:t>
      </w:r>
    </w:p>
    <w:p w:rsidR="000751EF" w:rsidRDefault="00081593" w:rsidP="00081593">
      <w:pPr>
        <w:pStyle w:val="ListParagraph"/>
        <w:numPr>
          <w:ilvl w:val="0"/>
          <w:numId w:val="5"/>
        </w:numPr>
      </w:pPr>
      <w:r>
        <w:t>Can use red rubber, silicone catheter or polyurethane catheter</w:t>
      </w:r>
    </w:p>
    <w:p w:rsidR="00BC34D1" w:rsidRDefault="00BC34D1" w:rsidP="00081593">
      <w:pPr>
        <w:pStyle w:val="ListParagraph"/>
        <w:numPr>
          <w:ilvl w:val="0"/>
          <w:numId w:val="5"/>
        </w:numPr>
      </w:pPr>
      <w:r>
        <w:t>Can easily be replaced with a stylet/coat hanger</w:t>
      </w:r>
    </w:p>
    <w:p w:rsidR="000751EF" w:rsidRDefault="000751EF" w:rsidP="00B34F7B">
      <w:r>
        <w:t>Placement of an esophagostomy feeding tube.</w:t>
      </w:r>
    </w:p>
    <w:p w:rsidR="000751EF" w:rsidRDefault="00525E77" w:rsidP="000751EF">
      <w:pPr>
        <w:pStyle w:val="ListParagraph"/>
        <w:numPr>
          <w:ilvl w:val="0"/>
          <w:numId w:val="3"/>
        </w:numPr>
      </w:pPr>
      <w:r>
        <w:t>Premeasure a red rubber tube (8</w:t>
      </w:r>
      <w:r w:rsidR="000751EF">
        <w:t>-</w:t>
      </w:r>
      <w:r>
        <w:t>20</w:t>
      </w:r>
      <w:r w:rsidR="000751EF">
        <w:t>Fr) from the</w:t>
      </w:r>
      <w:r w:rsidR="00B655E3">
        <w:t xml:space="preserve"> </w:t>
      </w:r>
      <w:r w:rsidR="000751EF">
        <w:t>mid cervical esophagus to the level of the xiphoid(7th to 9th intercostal space). Mark the proximalend of the tube with a permanent marker. Cut the distal end of the tube on an angle tomaximize the opening through which food will pass,lessening the likelihood of the tube becomingclogged.</w:t>
      </w:r>
    </w:p>
    <w:p w:rsidR="00165F41" w:rsidRDefault="00165F41" w:rsidP="00165F41">
      <w:pPr>
        <w:pStyle w:val="ListParagraph"/>
        <w:numPr>
          <w:ilvl w:val="0"/>
          <w:numId w:val="3"/>
        </w:numPr>
      </w:pPr>
      <w:r>
        <w:t>Place the patient in right lateral recumb</w:t>
      </w:r>
      <w:r w:rsidR="00B655E3">
        <w:t>a</w:t>
      </w:r>
      <w:r>
        <w:t>ncy. Clippatient’s fur on the left side from the ramus of themandible caudally to the thoracic inlet. Extendclipped margins dorsally and ventrally to midline.A routine surgical scrub is performed after inductionof general anesthesia and endotracheal intubation.</w:t>
      </w:r>
    </w:p>
    <w:p w:rsidR="00165F41" w:rsidRDefault="00165F41" w:rsidP="00165F41">
      <w:pPr>
        <w:pStyle w:val="ListParagraph"/>
        <w:numPr>
          <w:ilvl w:val="0"/>
          <w:numId w:val="3"/>
        </w:numPr>
      </w:pPr>
      <w:r>
        <w:t>A curved Rochester carmalt is placed into the mouthand down the esophagus to the mid</w:t>
      </w:r>
      <w:r w:rsidR="00B655E3">
        <w:t>-</w:t>
      </w:r>
      <w:r>
        <w:t>cervical region. Carefully visualize the jugular vein, please do not cut it.</w:t>
      </w:r>
    </w:p>
    <w:p w:rsidR="00165F41" w:rsidRDefault="00165F41" w:rsidP="00165F41">
      <w:pPr>
        <w:pStyle w:val="ListParagraph"/>
        <w:numPr>
          <w:ilvl w:val="0"/>
          <w:numId w:val="3"/>
        </w:numPr>
      </w:pPr>
      <w:r>
        <w:t>Turn the tips of the carmalt laterally to the skin,pushing the esophagus to the level of the skin. Makesure that the tips of the carmalt are dorsal to thejugular vein.</w:t>
      </w:r>
    </w:p>
    <w:p w:rsidR="00165F41" w:rsidRDefault="00165F41" w:rsidP="00165F41">
      <w:pPr>
        <w:pStyle w:val="ListParagraph"/>
        <w:numPr>
          <w:ilvl w:val="0"/>
          <w:numId w:val="3"/>
        </w:numPr>
      </w:pPr>
      <w:r>
        <w:t>Open the tips of the carmalt and palpate. Make asmall stab incision just large enough through whichto place the tube. The stab incision should penetratethe skin and underlying fascia.</w:t>
      </w:r>
    </w:p>
    <w:p w:rsidR="00165F41" w:rsidRDefault="00165F41" w:rsidP="00165F41">
      <w:pPr>
        <w:pStyle w:val="ListParagraph"/>
        <w:numPr>
          <w:ilvl w:val="0"/>
          <w:numId w:val="3"/>
        </w:numPr>
      </w:pPr>
      <w:r>
        <w:t>Close the tips of the carmalt and push, using bluntforce, through the skin incision.</w:t>
      </w:r>
    </w:p>
    <w:p w:rsidR="00165F41" w:rsidRDefault="00165F41" w:rsidP="00165F41">
      <w:pPr>
        <w:pStyle w:val="ListParagraph"/>
        <w:numPr>
          <w:ilvl w:val="0"/>
          <w:numId w:val="3"/>
        </w:numPr>
      </w:pPr>
      <w:r>
        <w:t>Open the tips of the carmalt and grasp the distalend of the red rubber tube. Lock the clampin place, and pull the distal end of the tube rostrally</w:t>
      </w:r>
      <w:r w:rsidR="00B655E3">
        <w:t xml:space="preserve"> </w:t>
      </w:r>
      <w:r>
        <w:t>through the mouth.</w:t>
      </w:r>
    </w:p>
    <w:p w:rsidR="00165F41" w:rsidRDefault="00165F41" w:rsidP="00165F41">
      <w:pPr>
        <w:pStyle w:val="ListParagraph"/>
        <w:numPr>
          <w:ilvl w:val="0"/>
          <w:numId w:val="3"/>
        </w:numPr>
      </w:pPr>
      <w:r>
        <w:t>Disengage the tips of the carmalt, then push the</w:t>
      </w:r>
      <w:r w:rsidR="00B655E3">
        <w:t xml:space="preserve"> </w:t>
      </w:r>
      <w:r>
        <w:t>distal end of the tube caudally down the esophagus</w:t>
      </w:r>
      <w:r w:rsidR="00B655E3">
        <w:t>, taking</w:t>
      </w:r>
      <w:r>
        <w:t xml:space="preserve"> care to avoid wrapping it around the endotracheal tube. The proximal part ofthe tube will “flip” rostrally once the tube is straightwithin the lumen of the esophagus.</w:t>
      </w:r>
    </w:p>
    <w:p w:rsidR="00165F41" w:rsidRDefault="00165F41" w:rsidP="00165F41">
      <w:pPr>
        <w:pStyle w:val="ListParagraph"/>
        <w:numPr>
          <w:ilvl w:val="0"/>
          <w:numId w:val="3"/>
        </w:numPr>
      </w:pPr>
      <w:r>
        <w:t>Carefully visualize the oropharynx for kinks in thetube.</w:t>
      </w:r>
    </w:p>
    <w:p w:rsidR="00067FF9" w:rsidRDefault="00067FF9" w:rsidP="00165F41">
      <w:pPr>
        <w:pStyle w:val="ListParagraph"/>
        <w:numPr>
          <w:ilvl w:val="0"/>
          <w:numId w:val="3"/>
        </w:numPr>
      </w:pPr>
      <w:r>
        <w:t>Slide down to the level where the marker on the tube meets the level of the skin.</w:t>
      </w:r>
    </w:p>
    <w:p w:rsidR="00165F41" w:rsidRDefault="00165F41" w:rsidP="00165F41">
      <w:pPr>
        <w:pStyle w:val="ListParagraph"/>
        <w:numPr>
          <w:ilvl w:val="0"/>
          <w:numId w:val="3"/>
        </w:numPr>
      </w:pPr>
      <w:r>
        <w:t>Suture the proximal tube in place using a largegauge, non-dissolvable suture secured with a pursestring pattern. Some prefer a second attachment to the lateralwing of the atlas (C1) or to the skin.A “Chinesefinger trap” will secure the tube to the suture andprevent motion.</w:t>
      </w:r>
    </w:p>
    <w:p w:rsidR="00165F41" w:rsidRDefault="00067FF9" w:rsidP="00067FF9">
      <w:pPr>
        <w:pStyle w:val="ListParagraph"/>
        <w:numPr>
          <w:ilvl w:val="0"/>
          <w:numId w:val="3"/>
        </w:numPr>
      </w:pPr>
      <w:r>
        <w:lastRenderedPageBreak/>
        <w:t>Place antimicrobial ointment over the entry site, and then loosely bandage the tube in place. Check thetube for erythema and drainage on a daily basis.  Confirm placement with thoracic rads.</w:t>
      </w:r>
    </w:p>
    <w:p w:rsidR="00081593" w:rsidRDefault="00081593" w:rsidP="00081593">
      <w:pPr>
        <w:pStyle w:val="ListParagraph"/>
        <w:numPr>
          <w:ilvl w:val="0"/>
          <w:numId w:val="4"/>
        </w:numPr>
      </w:pPr>
      <w:r>
        <w:t xml:space="preserve">Other devices are available, such as the Eld feeding tube placement device </w:t>
      </w:r>
      <w:r w:rsidR="00D477B4">
        <w:t>and percutaneous needle catheter technique or Braun esophagostomy insertion device.</w:t>
      </w:r>
    </w:p>
    <w:p w:rsidR="00D477B4" w:rsidRDefault="00D477B4" w:rsidP="00081593">
      <w:pPr>
        <w:pStyle w:val="ListParagraph"/>
        <w:numPr>
          <w:ilvl w:val="0"/>
          <w:numId w:val="4"/>
        </w:numPr>
      </w:pPr>
      <w:r>
        <w:t>Can use a device to guide aka a bent coat hanger</w:t>
      </w:r>
    </w:p>
    <w:p w:rsidR="00D477B4" w:rsidRDefault="00C958ED" w:rsidP="00C958ED">
      <w:r>
        <w:t>Complications:</w:t>
      </w:r>
    </w:p>
    <w:p w:rsidR="00C958ED" w:rsidRDefault="00C958ED" w:rsidP="00C958ED">
      <w:pPr>
        <w:pStyle w:val="ListParagraph"/>
        <w:numPr>
          <w:ilvl w:val="0"/>
          <w:numId w:val="4"/>
        </w:numPr>
      </w:pPr>
      <w:r>
        <w:t>Peristomal abscess or inflammation</w:t>
      </w:r>
    </w:p>
    <w:p w:rsidR="00C958ED" w:rsidRDefault="00AB3341" w:rsidP="00C958ED">
      <w:pPr>
        <w:pStyle w:val="ListParagraph"/>
        <w:numPr>
          <w:ilvl w:val="0"/>
          <w:numId w:val="4"/>
        </w:numPr>
      </w:pPr>
      <w:r>
        <w:t>Feeding tube displacement or vomiting up the feeding tube</w:t>
      </w:r>
    </w:p>
    <w:p w:rsidR="00AB3341" w:rsidRDefault="00AB3341" w:rsidP="00C958ED">
      <w:pPr>
        <w:pStyle w:val="ListParagraph"/>
        <w:numPr>
          <w:ilvl w:val="0"/>
          <w:numId w:val="4"/>
        </w:numPr>
      </w:pPr>
      <w:r>
        <w:t>Scratching out the feeding tube</w:t>
      </w:r>
    </w:p>
    <w:p w:rsidR="00AB3341" w:rsidRDefault="00AB3341" w:rsidP="00C958ED">
      <w:pPr>
        <w:pStyle w:val="ListParagraph"/>
        <w:numPr>
          <w:ilvl w:val="0"/>
          <w:numId w:val="4"/>
        </w:numPr>
      </w:pPr>
      <w:r>
        <w:t>Tube obstruction</w:t>
      </w:r>
      <w:r w:rsidR="00BC34D1">
        <w:t xml:space="preserve"> (can be relieved with Coca Cola flushed down tube and allowed to sit for 1 hour or a meat tenderizer mixture. A stylet may also be passed down the tube to relieve an obstruction.)</w:t>
      </w:r>
    </w:p>
    <w:p w:rsidR="00BC34D1" w:rsidRDefault="008B6B66" w:rsidP="008B6B66">
      <w:pPr>
        <w:ind w:left="-810" w:right="-1170"/>
      </w:pPr>
      <w:r>
        <w:rPr>
          <w:noProof/>
        </w:rPr>
        <w:drawing>
          <wp:inline distT="0" distB="0" distL="0" distR="0">
            <wp:extent cx="3219190" cy="24193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9190" cy="2419350"/>
                    </a:xfrm>
                    <a:prstGeom prst="rect">
                      <a:avLst/>
                    </a:prstGeom>
                    <a:noFill/>
                    <a:ln>
                      <a:noFill/>
                    </a:ln>
                  </pic:spPr>
                </pic:pic>
              </a:graphicData>
            </a:graphic>
          </wp:inline>
        </w:drawing>
      </w:r>
      <w:r>
        <w:rPr>
          <w:noProof/>
        </w:rPr>
        <w:drawing>
          <wp:inline distT="0" distB="0" distL="0" distR="0">
            <wp:extent cx="3348774" cy="2489233"/>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8774" cy="2489233"/>
                    </a:xfrm>
                    <a:prstGeom prst="rect">
                      <a:avLst/>
                    </a:prstGeom>
                    <a:noFill/>
                    <a:ln>
                      <a:noFill/>
                    </a:ln>
                  </pic:spPr>
                </pic:pic>
              </a:graphicData>
            </a:graphic>
          </wp:inline>
        </w:drawing>
      </w:r>
    </w:p>
    <w:p w:rsidR="008B6B66" w:rsidRDefault="008B6B66" w:rsidP="008B6B66">
      <w:pPr>
        <w:ind w:left="-810" w:right="-1170"/>
      </w:pPr>
      <w:r>
        <w:rPr>
          <w:noProof/>
        </w:rPr>
        <w:drawing>
          <wp:inline distT="0" distB="0" distL="0" distR="0">
            <wp:extent cx="3273355" cy="24669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3355" cy="2466975"/>
                    </a:xfrm>
                    <a:prstGeom prst="rect">
                      <a:avLst/>
                    </a:prstGeom>
                    <a:noFill/>
                    <a:ln>
                      <a:noFill/>
                    </a:ln>
                  </pic:spPr>
                </pic:pic>
              </a:graphicData>
            </a:graphic>
          </wp:inline>
        </w:drawing>
      </w:r>
      <w:r>
        <w:rPr>
          <w:noProof/>
        </w:rPr>
        <w:drawing>
          <wp:inline distT="0" distB="0" distL="0" distR="0">
            <wp:extent cx="3302647" cy="2447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2647" cy="2447925"/>
                    </a:xfrm>
                    <a:prstGeom prst="rect">
                      <a:avLst/>
                    </a:prstGeom>
                    <a:noFill/>
                    <a:ln>
                      <a:noFill/>
                    </a:ln>
                  </pic:spPr>
                </pic:pic>
              </a:graphicData>
            </a:graphic>
          </wp:inline>
        </w:drawing>
      </w:r>
    </w:p>
    <w:p w:rsidR="008B6B66" w:rsidRDefault="008B6B66" w:rsidP="008B6B66">
      <w:pPr>
        <w:ind w:left="-810" w:right="-1170"/>
      </w:pPr>
      <w:r>
        <w:rPr>
          <w:noProof/>
        </w:rPr>
        <w:drawing>
          <wp:inline distT="0" distB="0" distL="0" distR="0">
            <wp:extent cx="3304280" cy="2476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4280" cy="2476500"/>
                    </a:xfrm>
                    <a:prstGeom prst="rect">
                      <a:avLst/>
                    </a:prstGeom>
                    <a:noFill/>
                    <a:ln>
                      <a:noFill/>
                    </a:ln>
                  </pic:spPr>
                </pic:pic>
              </a:graphicData>
            </a:graphic>
          </wp:inline>
        </w:drawing>
      </w:r>
      <w:r>
        <w:rPr>
          <w:noProof/>
        </w:rPr>
        <w:drawing>
          <wp:inline distT="0" distB="0" distL="0" distR="0">
            <wp:extent cx="3313529" cy="24765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3529" cy="2476500"/>
                    </a:xfrm>
                    <a:prstGeom prst="rect">
                      <a:avLst/>
                    </a:prstGeom>
                    <a:noFill/>
                    <a:ln>
                      <a:noFill/>
                    </a:ln>
                  </pic:spPr>
                </pic:pic>
              </a:graphicData>
            </a:graphic>
          </wp:inline>
        </w:drawing>
      </w:r>
    </w:p>
    <w:p w:rsidR="008B6B66" w:rsidRDefault="008B6B66" w:rsidP="008B6B66">
      <w:pPr>
        <w:ind w:left="-810" w:right="-1170"/>
      </w:pPr>
      <w:r>
        <w:rPr>
          <w:noProof/>
        </w:rPr>
        <w:drawing>
          <wp:inline distT="0" distB="0" distL="0" distR="0">
            <wp:extent cx="3342407" cy="2505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2407" cy="2505075"/>
                    </a:xfrm>
                    <a:prstGeom prst="rect">
                      <a:avLst/>
                    </a:prstGeom>
                    <a:noFill/>
                    <a:ln>
                      <a:noFill/>
                    </a:ln>
                  </pic:spPr>
                </pic:pic>
              </a:graphicData>
            </a:graphic>
          </wp:inline>
        </w:drawing>
      </w:r>
      <w:r w:rsidR="00593CEC">
        <w:rPr>
          <w:noProof/>
        </w:rPr>
        <w:drawing>
          <wp:inline distT="0" distB="0" distL="0" distR="0">
            <wp:extent cx="3343275" cy="25622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3275" cy="2562225"/>
                    </a:xfrm>
                    <a:prstGeom prst="rect">
                      <a:avLst/>
                    </a:prstGeom>
                    <a:noFill/>
                    <a:ln>
                      <a:noFill/>
                    </a:ln>
                  </pic:spPr>
                </pic:pic>
              </a:graphicData>
            </a:graphic>
          </wp:inline>
        </w:drawing>
      </w:r>
    </w:p>
    <w:p w:rsidR="00525E77" w:rsidRDefault="00525E77" w:rsidP="00B34F7B">
      <w:pPr>
        <w:rPr>
          <w:u w:val="single"/>
        </w:rPr>
      </w:pPr>
    </w:p>
    <w:p w:rsidR="00B34F7B" w:rsidRPr="00F632DD" w:rsidRDefault="00525E77" w:rsidP="00B34F7B">
      <w:pPr>
        <w:rPr>
          <w:u w:val="single"/>
        </w:rPr>
      </w:pPr>
      <w:r w:rsidRPr="00F632DD">
        <w:rPr>
          <w:u w:val="single"/>
        </w:rPr>
        <w:t>References:</w:t>
      </w:r>
    </w:p>
    <w:p w:rsidR="00B34F7B" w:rsidRPr="00F632DD" w:rsidRDefault="00B34F7B" w:rsidP="00525E77">
      <w:pPr>
        <w:pStyle w:val="ListParagraph"/>
        <w:numPr>
          <w:ilvl w:val="0"/>
          <w:numId w:val="2"/>
        </w:numPr>
      </w:pPr>
      <w:r w:rsidRPr="00F632DD">
        <w:t xml:space="preserve">Kahn SA. Placement of canine and feline esophagostomy feeding tubes. </w:t>
      </w:r>
      <w:r w:rsidRPr="00F632DD">
        <w:rPr>
          <w:i/>
          <w:iCs/>
        </w:rPr>
        <w:t>Lab animal</w:t>
      </w:r>
      <w:r w:rsidRPr="00F632DD">
        <w:t>. 2007;36:25-26.</w:t>
      </w:r>
    </w:p>
    <w:p w:rsidR="00B34F7B" w:rsidRPr="00F632DD" w:rsidRDefault="00B34F7B" w:rsidP="00B34F7B">
      <w:pPr>
        <w:pStyle w:val="ListParagraph"/>
        <w:numPr>
          <w:ilvl w:val="0"/>
          <w:numId w:val="2"/>
        </w:numPr>
      </w:pPr>
      <w:r w:rsidRPr="00F632DD">
        <w:t xml:space="preserve">Mazzaferro EM. Esophagostomy Tubes: Don't Underutilize Them. </w:t>
      </w:r>
      <w:r w:rsidRPr="00F632DD">
        <w:rPr>
          <w:i/>
          <w:iCs/>
        </w:rPr>
        <w:t>Journal of Veterinary Emergency and Critical Care</w:t>
      </w:r>
      <w:r w:rsidRPr="00F632DD">
        <w:t>. 2001;11:153-156.</w:t>
      </w:r>
    </w:p>
    <w:p w:rsidR="00B34F7B" w:rsidRPr="00F632DD" w:rsidRDefault="00F84ED3" w:rsidP="00B34F7B">
      <w:pPr>
        <w:pStyle w:val="ListParagraph"/>
        <w:numPr>
          <w:ilvl w:val="0"/>
          <w:numId w:val="2"/>
        </w:numPr>
      </w:pPr>
      <w:r w:rsidRPr="00F632DD">
        <w:t xml:space="preserve">Wortinger A. Care and Use of Feeding Tubes in Dogs and Cats. </w:t>
      </w:r>
      <w:r w:rsidRPr="00F632DD">
        <w:rPr>
          <w:i/>
          <w:iCs/>
        </w:rPr>
        <w:t>Journal of the American Animal Hospital Association</w:t>
      </w:r>
      <w:r w:rsidRPr="00F632DD">
        <w:t>. 2006;42:401-406.</w:t>
      </w:r>
    </w:p>
    <w:p w:rsidR="00561815" w:rsidRPr="00F632DD" w:rsidRDefault="00561815" w:rsidP="00561815">
      <w:pPr>
        <w:pStyle w:val="ListParagraph"/>
        <w:numPr>
          <w:ilvl w:val="0"/>
          <w:numId w:val="2"/>
        </w:numPr>
      </w:pPr>
      <w:r w:rsidRPr="00F632DD">
        <w:t>Stanley L. Marks. Canine and Feline Gastroenterology,  Chapter 33 - Enteral and Parenteral Nutrition. 2013; 429-444.</w:t>
      </w:r>
    </w:p>
    <w:p w:rsidR="00561815" w:rsidRPr="00F632DD" w:rsidRDefault="00561815" w:rsidP="00561815">
      <w:pPr>
        <w:pStyle w:val="ListParagraph"/>
        <w:numPr>
          <w:ilvl w:val="0"/>
          <w:numId w:val="2"/>
        </w:numPr>
      </w:pPr>
      <w:r w:rsidRPr="00F632DD">
        <w:t xml:space="preserve">Verstraete FJM. </w:t>
      </w:r>
      <w:r w:rsidRPr="00F632DD">
        <w:rPr>
          <w:i/>
          <w:iCs/>
        </w:rPr>
        <w:t xml:space="preserve">Oral and Maxillofacial Surgery in Dogs and Cats. </w:t>
      </w:r>
      <w:r w:rsidRPr="00F632DD">
        <w:t>Edinburgh : Saunders/Elsevier; 2012.</w:t>
      </w:r>
    </w:p>
    <w:p w:rsidR="00561815" w:rsidRPr="00F632DD" w:rsidRDefault="00F632DD" w:rsidP="00561815">
      <w:pPr>
        <w:pStyle w:val="ListParagraph"/>
        <w:numPr>
          <w:ilvl w:val="0"/>
          <w:numId w:val="2"/>
        </w:numPr>
      </w:pPr>
      <w:r>
        <w:t xml:space="preserve">Hackett, T. </w:t>
      </w:r>
      <w:r w:rsidR="00561815" w:rsidRPr="00F632DD">
        <w:t>Veterinary emerge</w:t>
      </w:r>
      <w:r w:rsidR="00165F41" w:rsidRPr="00F632DD">
        <w:t>ncy and critical care procedure,</w:t>
      </w:r>
      <w:r w:rsidR="00561815" w:rsidRPr="00F632DD">
        <w:t xml:space="preserve">2012;30. </w:t>
      </w:r>
    </w:p>
    <w:sectPr w:rsidR="00561815" w:rsidRPr="00F632DD" w:rsidSect="00D62E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A5ECF"/>
    <w:multiLevelType w:val="hybridMultilevel"/>
    <w:tmpl w:val="BFCEF7BC"/>
    <w:lvl w:ilvl="0" w:tplc="984E4FA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657753"/>
    <w:multiLevelType w:val="hybridMultilevel"/>
    <w:tmpl w:val="A3185A50"/>
    <w:lvl w:ilvl="0" w:tplc="C392655A">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5E520F"/>
    <w:multiLevelType w:val="hybridMultilevel"/>
    <w:tmpl w:val="292E49BA"/>
    <w:lvl w:ilvl="0" w:tplc="AE7670D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2C56E7"/>
    <w:multiLevelType w:val="hybridMultilevel"/>
    <w:tmpl w:val="D6B45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6051B0"/>
    <w:multiLevelType w:val="hybridMultilevel"/>
    <w:tmpl w:val="0C463826"/>
    <w:lvl w:ilvl="0" w:tplc="4C0868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2ED"/>
    <w:rsid w:val="00067FF9"/>
    <w:rsid w:val="000751EF"/>
    <w:rsid w:val="00081593"/>
    <w:rsid w:val="00091FE8"/>
    <w:rsid w:val="00165F41"/>
    <w:rsid w:val="00525E77"/>
    <w:rsid w:val="00561815"/>
    <w:rsid w:val="00593CEC"/>
    <w:rsid w:val="00700C80"/>
    <w:rsid w:val="00782D9F"/>
    <w:rsid w:val="008212ED"/>
    <w:rsid w:val="008B6B66"/>
    <w:rsid w:val="00AB3341"/>
    <w:rsid w:val="00B34F7B"/>
    <w:rsid w:val="00B655E3"/>
    <w:rsid w:val="00BC34D1"/>
    <w:rsid w:val="00C24290"/>
    <w:rsid w:val="00C958ED"/>
    <w:rsid w:val="00D477B4"/>
    <w:rsid w:val="00D62E63"/>
    <w:rsid w:val="00F632DD"/>
    <w:rsid w:val="00F84ED3"/>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2ED"/>
    <w:pPr>
      <w:ind w:left="720"/>
      <w:contextualSpacing/>
    </w:pPr>
  </w:style>
  <w:style w:type="paragraph" w:styleId="BalloonText">
    <w:name w:val="Balloon Text"/>
    <w:basedOn w:val="Normal"/>
    <w:link w:val="BalloonTextChar"/>
    <w:uiPriority w:val="99"/>
    <w:semiHidden/>
    <w:unhideWhenUsed/>
    <w:rsid w:val="008B6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2ED"/>
    <w:pPr>
      <w:ind w:left="720"/>
      <w:contextualSpacing/>
    </w:pPr>
  </w:style>
  <w:style w:type="paragraph" w:styleId="BalloonText">
    <w:name w:val="Balloon Text"/>
    <w:basedOn w:val="Normal"/>
    <w:link w:val="BalloonTextChar"/>
    <w:uiPriority w:val="99"/>
    <w:semiHidden/>
    <w:unhideWhenUsed/>
    <w:rsid w:val="008B6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CAH ICU</cp:lastModifiedBy>
  <cp:revision>2</cp:revision>
  <dcterms:created xsi:type="dcterms:W3CDTF">2012-10-04T20:30:00Z</dcterms:created>
  <dcterms:modified xsi:type="dcterms:W3CDTF">2012-10-04T20:30:00Z</dcterms:modified>
</cp:coreProperties>
</file>