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B82" w:rsidRPr="008012F5" w:rsidRDefault="006177E0" w:rsidP="008012F5">
      <w:pPr>
        <w:jc w:val="center"/>
        <w:rPr>
          <w:sz w:val="40"/>
          <w:szCs w:val="40"/>
        </w:rPr>
      </w:pPr>
      <w:r w:rsidRPr="008012F5">
        <w:rPr>
          <w:sz w:val="40"/>
          <w:szCs w:val="40"/>
        </w:rPr>
        <w:t xml:space="preserve">Chapter </w:t>
      </w:r>
      <w:proofErr w:type="gramStart"/>
      <w:r w:rsidRPr="008012F5">
        <w:rPr>
          <w:sz w:val="40"/>
          <w:szCs w:val="40"/>
        </w:rPr>
        <w:t>3 :</w:t>
      </w:r>
      <w:proofErr w:type="gramEnd"/>
      <w:r w:rsidRPr="008012F5">
        <w:rPr>
          <w:sz w:val="40"/>
          <w:szCs w:val="40"/>
        </w:rPr>
        <w:t xml:space="preserve"> Calcium Channel Blockers</w:t>
      </w:r>
    </w:p>
    <w:p w:rsidR="006177E0" w:rsidRPr="008012F5" w:rsidRDefault="008012F5">
      <w:pPr>
        <w:rPr>
          <w:b/>
          <w:u w:val="single"/>
        </w:rPr>
      </w:pPr>
      <w:r w:rsidRPr="008012F5">
        <w:rPr>
          <w:b/>
          <w:u w:val="single"/>
        </w:rPr>
        <w:t>Overview</w:t>
      </w:r>
    </w:p>
    <w:p w:rsidR="006177E0" w:rsidRDefault="006177E0" w:rsidP="006177E0">
      <w:pPr>
        <w:pStyle w:val="ListParagraph"/>
        <w:numPr>
          <w:ilvl w:val="0"/>
          <w:numId w:val="1"/>
        </w:numPr>
      </w:pPr>
      <w:r>
        <w:t>A</w:t>
      </w:r>
      <w:r>
        <w:t xml:space="preserve">ct </w:t>
      </w:r>
      <w:r>
        <w:t>mainly through</w:t>
      </w:r>
      <w:r>
        <w:t xml:space="preserve"> vasodilation and reduction of the</w:t>
      </w:r>
      <w:r>
        <w:t xml:space="preserve"> </w:t>
      </w:r>
      <w:r>
        <w:t>peripheral vascular resistance</w:t>
      </w:r>
    </w:p>
    <w:p w:rsidR="006177E0" w:rsidRDefault="006177E0" w:rsidP="006177E0">
      <w:pPr>
        <w:pStyle w:val="ListParagraph"/>
        <w:numPr>
          <w:ilvl w:val="0"/>
          <w:numId w:val="1"/>
        </w:numPr>
      </w:pPr>
      <w:r>
        <w:t>C</w:t>
      </w:r>
      <w:r>
        <w:t xml:space="preserve">hemically classified into the </w:t>
      </w:r>
      <w:proofErr w:type="spellStart"/>
      <w:r>
        <w:t>dihydropyridines</w:t>
      </w:r>
      <w:proofErr w:type="spellEnd"/>
      <w:r>
        <w:t xml:space="preserve"> </w:t>
      </w:r>
      <w:r>
        <w:t>(DHPs) and the non-DHPs</w:t>
      </w:r>
    </w:p>
    <w:p w:rsidR="006177E0" w:rsidRDefault="00C77E7F" w:rsidP="006177E0">
      <w:pPr>
        <w:pStyle w:val="ListParagraph"/>
        <w:numPr>
          <w:ilvl w:val="0"/>
          <w:numId w:val="1"/>
        </w:numPr>
      </w:pPr>
      <w:r>
        <w:rPr>
          <w:noProof/>
        </w:rPr>
        <w:drawing>
          <wp:anchor distT="0" distB="0" distL="114300" distR="114300" simplePos="0" relativeHeight="251658240" behindDoc="0" locked="0" layoutInCell="1" allowOverlap="1" wp14:anchorId="1D1642B7" wp14:editId="7A0A203F">
            <wp:simplePos x="0" y="0"/>
            <wp:positionH relativeFrom="column">
              <wp:posOffset>3056890</wp:posOffset>
            </wp:positionH>
            <wp:positionV relativeFrom="paragraph">
              <wp:posOffset>100965</wp:posOffset>
            </wp:positionV>
            <wp:extent cx="3457575" cy="311658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6">
                      <a:extLst>
                        <a:ext uri="{28A0092B-C50C-407E-A947-70E740481C1C}">
                          <a14:useLocalDpi xmlns:a14="http://schemas.microsoft.com/office/drawing/2010/main" val="0"/>
                        </a:ext>
                      </a:extLst>
                    </a:blip>
                    <a:srcRect r="31959" b="7393"/>
                    <a:stretch/>
                  </pic:blipFill>
                  <pic:spPr bwMode="auto">
                    <a:xfrm>
                      <a:off x="0" y="0"/>
                      <a:ext cx="3457575" cy="3116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77E0">
        <w:t>Distinctions between</w:t>
      </w:r>
      <w:r w:rsidR="006177E0">
        <w:t xml:space="preserve"> </w:t>
      </w:r>
      <w:r w:rsidR="006177E0">
        <w:t>the DHPs and non-DHPs are reflected in different binding sites on the calcium channel pores</w:t>
      </w:r>
    </w:p>
    <w:p w:rsidR="006177E0" w:rsidRDefault="006177E0" w:rsidP="006177E0">
      <w:pPr>
        <w:pStyle w:val="ListParagraph"/>
        <w:numPr>
          <w:ilvl w:val="0"/>
          <w:numId w:val="1"/>
        </w:numPr>
      </w:pPr>
      <w:r>
        <w:t>N</w:t>
      </w:r>
      <w:r>
        <w:t>on-DHPs, by virtue of nodal inhibition,</w:t>
      </w:r>
      <w:r>
        <w:t xml:space="preserve"> </w:t>
      </w:r>
      <w:r>
        <w:t>reduce the heart rate</w:t>
      </w:r>
    </w:p>
    <w:p w:rsidR="00C77E7F" w:rsidRDefault="008012F5" w:rsidP="008012F5">
      <w:pPr>
        <w:pStyle w:val="ListParagraph"/>
        <w:numPr>
          <w:ilvl w:val="0"/>
          <w:numId w:val="1"/>
        </w:numPr>
      </w:pPr>
      <w:r>
        <w:t>The heart rate limiting</w:t>
      </w:r>
      <w:r>
        <w:t xml:space="preserve"> CCBs have a prominent negative inotropic effect, and</w:t>
      </w:r>
      <w:r>
        <w:t xml:space="preserve"> </w:t>
      </w:r>
      <w:r>
        <w:t>inhibit the sinus and the AV nodes</w:t>
      </w:r>
    </w:p>
    <w:p w:rsidR="008012F5" w:rsidRDefault="008012F5" w:rsidP="00C77E7F">
      <w:pPr>
        <w:pStyle w:val="ListParagraph"/>
        <w:numPr>
          <w:ilvl w:val="0"/>
          <w:numId w:val="1"/>
        </w:numPr>
      </w:pPr>
      <w:r>
        <w:t>These inhibitory cardiac effects are absent or muted in the DHPs</w:t>
      </w:r>
      <w:r w:rsidR="00C77E7F">
        <w:t>(</w:t>
      </w:r>
      <w:r>
        <w:t xml:space="preserve"> amlodipine</w:t>
      </w:r>
      <w:r w:rsidR="00C77E7F">
        <w:t>)</w:t>
      </w:r>
    </w:p>
    <w:p w:rsidR="00C77E7F" w:rsidRDefault="00C77E7F" w:rsidP="00C77E7F">
      <w:pPr>
        <w:pStyle w:val="ListParagraph"/>
        <w:numPr>
          <w:ilvl w:val="0"/>
          <w:numId w:val="1"/>
        </w:numPr>
      </w:pPr>
      <w:r>
        <w:t>A</w:t>
      </w:r>
      <w:r w:rsidR="008012F5">
        <w:t>mlodipine is very widely used in hypertension with proven outcome benefit</w:t>
      </w:r>
      <w:r>
        <w:t xml:space="preserve"> in people</w:t>
      </w:r>
    </w:p>
    <w:p w:rsidR="006177E0" w:rsidRDefault="008012F5" w:rsidP="00C77E7F">
      <w:pPr>
        <w:pStyle w:val="ListParagraph"/>
        <w:numPr>
          <w:ilvl w:val="0"/>
          <w:numId w:val="1"/>
        </w:numPr>
      </w:pPr>
      <w:r>
        <w:t xml:space="preserve">Only the non-DHPs, verapamil and </w:t>
      </w:r>
      <w:proofErr w:type="spellStart"/>
      <w:r>
        <w:t>diltiazem</w:t>
      </w:r>
      <w:proofErr w:type="spellEnd"/>
      <w:r>
        <w:t>, have antiarrhythmic properties by</w:t>
      </w:r>
      <w:r w:rsidR="00C77E7F">
        <w:t xml:space="preserve"> </w:t>
      </w:r>
      <w:r>
        <w:t>inhibiting the AV node</w:t>
      </w:r>
    </w:p>
    <w:p w:rsidR="00C77E7F" w:rsidRPr="00D44FDD" w:rsidRDefault="00BB65D2" w:rsidP="00BB65D2">
      <w:pPr>
        <w:rPr>
          <w:b/>
          <w:u w:val="single"/>
        </w:rPr>
      </w:pPr>
      <w:r w:rsidRPr="00D44FDD">
        <w:rPr>
          <w:b/>
          <w:u w:val="single"/>
        </w:rPr>
        <w:t>Mechanism of action</w:t>
      </w:r>
    </w:p>
    <w:p w:rsidR="00BB65D2" w:rsidRDefault="00AC5337" w:rsidP="00AC5337">
      <w:pPr>
        <w:pStyle w:val="ListParagraph"/>
        <w:numPr>
          <w:ilvl w:val="0"/>
          <w:numId w:val="2"/>
        </w:numPr>
      </w:pPr>
      <w:r>
        <w:t>A</w:t>
      </w:r>
      <w:r w:rsidR="00BB65D2">
        <w:t xml:space="preserve">ll CCBs </w:t>
      </w:r>
      <w:r>
        <w:t xml:space="preserve">selectively </w:t>
      </w:r>
      <w:r w:rsidR="00BB65D2">
        <w:t>inhibit the inward flow of charge-bearing calcium</w:t>
      </w:r>
      <w:r>
        <w:t xml:space="preserve"> </w:t>
      </w:r>
      <w:r w:rsidR="00BB65D2">
        <w:t xml:space="preserve">ions when the calcium channel becomes </w:t>
      </w:r>
    </w:p>
    <w:p w:rsidR="00AC5337" w:rsidRDefault="00AC5337" w:rsidP="00BB65D2">
      <w:pPr>
        <w:pStyle w:val="ListParagraph"/>
        <w:numPr>
          <w:ilvl w:val="0"/>
          <w:numId w:val="2"/>
        </w:numPr>
      </w:pPr>
      <w:r>
        <w:t>T</w:t>
      </w:r>
      <w:r w:rsidR="00BB65D2">
        <w:t>here are at least two types of calcium channels, the L and T</w:t>
      </w:r>
    </w:p>
    <w:p w:rsidR="00AC5337" w:rsidRDefault="007D5515" w:rsidP="00BB65D2">
      <w:pPr>
        <w:pStyle w:val="ListParagraph"/>
        <w:numPr>
          <w:ilvl w:val="0"/>
          <w:numId w:val="2"/>
        </w:numPr>
      </w:pPr>
      <w:r>
        <w:rPr>
          <w:noProof/>
        </w:rPr>
        <w:drawing>
          <wp:anchor distT="0" distB="0" distL="114300" distR="114300" simplePos="0" relativeHeight="251659264" behindDoc="1" locked="0" layoutInCell="1" allowOverlap="1" wp14:anchorId="03A20F6A" wp14:editId="7B3605E9">
            <wp:simplePos x="0" y="0"/>
            <wp:positionH relativeFrom="column">
              <wp:posOffset>3576955</wp:posOffset>
            </wp:positionH>
            <wp:positionV relativeFrom="paragraph">
              <wp:posOffset>318770</wp:posOffset>
            </wp:positionV>
            <wp:extent cx="3426460" cy="3114675"/>
            <wp:effectExtent l="0" t="0" r="254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
                      <a:extLst>
                        <a:ext uri="{28A0092B-C50C-407E-A947-70E740481C1C}">
                          <a14:useLocalDpi xmlns:a14="http://schemas.microsoft.com/office/drawing/2010/main" val="0"/>
                        </a:ext>
                      </a:extLst>
                    </a:blip>
                    <a:stretch>
                      <a:fillRect/>
                    </a:stretch>
                  </pic:blipFill>
                  <pic:spPr>
                    <a:xfrm>
                      <a:off x="0" y="0"/>
                      <a:ext cx="3426460" cy="3114675"/>
                    </a:xfrm>
                    <a:prstGeom prst="rect">
                      <a:avLst/>
                    </a:prstGeom>
                  </pic:spPr>
                </pic:pic>
              </a:graphicData>
            </a:graphic>
            <wp14:sizeRelH relativeFrom="page">
              <wp14:pctWidth>0</wp14:pctWidth>
            </wp14:sizeRelH>
            <wp14:sizeRelV relativeFrom="page">
              <wp14:pctHeight>0</wp14:pctHeight>
            </wp14:sizeRelV>
          </wp:anchor>
        </w:drawing>
      </w:r>
      <w:r w:rsidR="00AC5337">
        <w:t>The</w:t>
      </w:r>
      <w:r w:rsidR="00BB65D2">
        <w:t xml:space="preserve"> long-lasting opening calcium</w:t>
      </w:r>
      <w:r w:rsidR="00AC5337">
        <w:t xml:space="preserve"> </w:t>
      </w:r>
      <w:r w:rsidR="00BB65D2">
        <w:t>channel is termed the L-type channel, which is blocked by CCBs and increased in activity by</w:t>
      </w:r>
      <w:r w:rsidR="00AC5337">
        <w:t xml:space="preserve"> </w:t>
      </w:r>
      <w:proofErr w:type="spellStart"/>
      <w:r w:rsidR="00BB65D2">
        <w:t>catecholamines</w:t>
      </w:r>
      <w:proofErr w:type="spellEnd"/>
    </w:p>
    <w:p w:rsidR="00AC5337" w:rsidRDefault="00BB65D2" w:rsidP="00BB65D2">
      <w:pPr>
        <w:pStyle w:val="ListParagraph"/>
        <w:numPr>
          <w:ilvl w:val="0"/>
          <w:numId w:val="2"/>
        </w:numPr>
      </w:pPr>
      <w:r>
        <w:t>The function of the L-type is to admit the substantial amount of calcium ions required for</w:t>
      </w:r>
      <w:r w:rsidR="00AC5337">
        <w:t xml:space="preserve"> </w:t>
      </w:r>
      <w:r>
        <w:t xml:space="preserve">initiation of contraction via calcium-induced calcium release from the sarcoplasmic </w:t>
      </w:r>
    </w:p>
    <w:p w:rsidR="006177E0" w:rsidRDefault="00BB65D2" w:rsidP="00AC5337">
      <w:pPr>
        <w:pStyle w:val="ListParagraph"/>
        <w:numPr>
          <w:ilvl w:val="0"/>
          <w:numId w:val="2"/>
        </w:numPr>
      </w:pPr>
      <w:r>
        <w:t>The T-type (T for transient) channel opens at more negative potentials than the L-type</w:t>
      </w:r>
      <w:r w:rsidR="00AC5337">
        <w:t xml:space="preserve"> and is </w:t>
      </w:r>
      <w:r>
        <w:t>important</w:t>
      </w:r>
      <w:r w:rsidR="00AC5337">
        <w:t xml:space="preserve"> </w:t>
      </w:r>
      <w:r>
        <w:t xml:space="preserve">in the initial depolarization of </w:t>
      </w:r>
      <w:r w:rsidR="00AC5337">
        <w:t>the SA and AV</w:t>
      </w:r>
      <w:r>
        <w:t xml:space="preserve"> nodal tissue </w:t>
      </w:r>
    </w:p>
    <w:p w:rsidR="00AC5337" w:rsidRDefault="00AC5337" w:rsidP="00AC5337">
      <w:pPr>
        <w:pStyle w:val="ListParagraph"/>
        <w:numPr>
          <w:ilvl w:val="0"/>
          <w:numId w:val="2"/>
        </w:numPr>
      </w:pPr>
      <w:r>
        <w:t>In smooth muscle calcium ions regulate the contractile mechanism independently of troponin</w:t>
      </w:r>
      <w:r>
        <w:t xml:space="preserve"> </w:t>
      </w:r>
      <w:r>
        <w:t>C</w:t>
      </w:r>
    </w:p>
    <w:p w:rsidR="00AC5337" w:rsidRDefault="00AC5337" w:rsidP="00AC5337">
      <w:pPr>
        <w:pStyle w:val="ListParagraph"/>
        <w:numPr>
          <w:ilvl w:val="0"/>
          <w:numId w:val="2"/>
        </w:numPr>
      </w:pPr>
      <w:r>
        <w:t xml:space="preserve">Interaction of calcium with </w:t>
      </w:r>
      <w:proofErr w:type="spellStart"/>
      <w:r>
        <w:t>calmodulin</w:t>
      </w:r>
      <w:proofErr w:type="spellEnd"/>
      <w:r>
        <w:t xml:space="preserve"> forms calcium-</w:t>
      </w:r>
      <w:proofErr w:type="spellStart"/>
      <w:r>
        <w:t>calmodulin</w:t>
      </w:r>
      <w:proofErr w:type="spellEnd"/>
      <w:r>
        <w:t>, which then stimulates myosin light chain</w:t>
      </w:r>
      <w:r>
        <w:t xml:space="preserve"> </w:t>
      </w:r>
      <w:r>
        <w:t>kinase (MLCK) to phosphorylate the myosin light chains to allow actin-myosin interaction and, hence,</w:t>
      </w:r>
      <w:r>
        <w:t xml:space="preserve"> </w:t>
      </w:r>
      <w:r>
        <w:t>contraction</w:t>
      </w:r>
    </w:p>
    <w:p w:rsidR="00AC5337" w:rsidRDefault="00AC5337" w:rsidP="00AC5337">
      <w:pPr>
        <w:pStyle w:val="ListParagraph"/>
        <w:numPr>
          <w:ilvl w:val="0"/>
          <w:numId w:val="2"/>
        </w:numPr>
      </w:pPr>
      <w:r>
        <w:t>Cyclic adenosine monophosphate (AMP) inhibits the MLCK</w:t>
      </w:r>
    </w:p>
    <w:p w:rsidR="00D44FDD" w:rsidRDefault="00D44FDD" w:rsidP="00D44FDD"/>
    <w:p w:rsidR="00D44FDD" w:rsidRPr="00D44FDD" w:rsidRDefault="00D44FDD" w:rsidP="00D44FDD">
      <w:pPr>
        <w:rPr>
          <w:b/>
          <w:u w:val="single"/>
        </w:rPr>
      </w:pPr>
      <w:r w:rsidRPr="00D44FDD">
        <w:rPr>
          <w:b/>
          <w:u w:val="single"/>
        </w:rPr>
        <w:t>Classification</w:t>
      </w:r>
    </w:p>
    <w:p w:rsidR="00D44FDD" w:rsidRPr="00D44FDD" w:rsidRDefault="00D44FDD" w:rsidP="00D44FDD">
      <w:pPr>
        <w:rPr>
          <w:i/>
        </w:rPr>
      </w:pPr>
      <w:proofErr w:type="spellStart"/>
      <w:r w:rsidRPr="00D44FDD">
        <w:rPr>
          <w:i/>
        </w:rPr>
        <w:t>Dihydropyridines</w:t>
      </w:r>
      <w:proofErr w:type="spellEnd"/>
    </w:p>
    <w:p w:rsidR="00D44FDD" w:rsidRDefault="00857B16" w:rsidP="00D44FDD">
      <w:pPr>
        <w:pStyle w:val="ListParagraph"/>
        <w:numPr>
          <w:ilvl w:val="0"/>
          <w:numId w:val="3"/>
        </w:numPr>
      </w:pPr>
      <w:r>
        <w:rPr>
          <w:noProof/>
        </w:rPr>
        <w:drawing>
          <wp:anchor distT="0" distB="0" distL="114300" distR="114300" simplePos="0" relativeHeight="251660288" behindDoc="0" locked="0" layoutInCell="1" allowOverlap="1" wp14:anchorId="160D6100" wp14:editId="1A4F0A7A">
            <wp:simplePos x="0" y="0"/>
            <wp:positionH relativeFrom="column">
              <wp:posOffset>3143250</wp:posOffset>
            </wp:positionH>
            <wp:positionV relativeFrom="paragraph">
              <wp:posOffset>297180</wp:posOffset>
            </wp:positionV>
            <wp:extent cx="4094480" cy="2962275"/>
            <wp:effectExtent l="0" t="0" r="127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a:extLst>
                        <a:ext uri="{28A0092B-C50C-407E-A947-70E740481C1C}">
                          <a14:useLocalDpi xmlns:a14="http://schemas.microsoft.com/office/drawing/2010/main" val="0"/>
                        </a:ext>
                      </a:extLst>
                    </a:blip>
                    <a:stretch>
                      <a:fillRect/>
                    </a:stretch>
                  </pic:blipFill>
                  <pic:spPr>
                    <a:xfrm>
                      <a:off x="0" y="0"/>
                      <a:ext cx="4094480" cy="2962275"/>
                    </a:xfrm>
                    <a:prstGeom prst="rect">
                      <a:avLst/>
                    </a:prstGeom>
                  </pic:spPr>
                </pic:pic>
              </a:graphicData>
            </a:graphic>
            <wp14:sizeRelH relativeFrom="page">
              <wp14:pctWidth>0</wp14:pctWidth>
            </wp14:sizeRelH>
            <wp14:sizeRelV relativeFrom="page">
              <wp14:pctHeight>0</wp14:pctHeight>
            </wp14:sizeRelV>
          </wp:anchor>
        </w:drawing>
      </w:r>
      <w:r w:rsidR="00D44FDD">
        <w:t xml:space="preserve"> </w:t>
      </w:r>
      <w:r w:rsidR="00D44FDD">
        <w:t>The DHPs all bind to the same sites on the α1-subunit (the N sites), thereby establishing their common</w:t>
      </w:r>
      <w:r w:rsidR="00D44FDD">
        <w:t xml:space="preserve"> </w:t>
      </w:r>
      <w:r w:rsidR="00D44FDD">
        <w:t>property of calcium channel antagonism</w:t>
      </w:r>
    </w:p>
    <w:p w:rsidR="00D44FDD" w:rsidRDefault="00D44FDD" w:rsidP="00D44FDD">
      <w:pPr>
        <w:pStyle w:val="ListParagraph"/>
        <w:numPr>
          <w:ilvl w:val="0"/>
          <w:numId w:val="3"/>
        </w:numPr>
      </w:pPr>
      <w:r>
        <w:t>T</w:t>
      </w:r>
      <w:r>
        <w:t>hey exert a greater inhibitory</w:t>
      </w:r>
      <w:r>
        <w:t xml:space="preserve"> </w:t>
      </w:r>
      <w:r>
        <w:t xml:space="preserve">effect on vascular smooth muscle than on the myocardium, </w:t>
      </w:r>
      <w:r>
        <w:t>“</w:t>
      </w:r>
      <w:r>
        <w:t>vascular selectivity</w:t>
      </w:r>
      <w:r>
        <w:t>”</w:t>
      </w:r>
    </w:p>
    <w:p w:rsidR="00D44FDD" w:rsidRDefault="00D44FDD" w:rsidP="00D44FDD">
      <w:pPr>
        <w:pStyle w:val="ListParagraph"/>
        <w:numPr>
          <w:ilvl w:val="0"/>
          <w:numId w:val="3"/>
        </w:numPr>
      </w:pPr>
      <w:r>
        <w:t xml:space="preserve">The </w:t>
      </w:r>
      <w:r>
        <w:t xml:space="preserve">effects of DHPs on the </w:t>
      </w:r>
      <w:proofErr w:type="spellStart"/>
      <w:r>
        <w:t>sinoatrial</w:t>
      </w:r>
      <w:proofErr w:type="spellEnd"/>
      <w:r>
        <w:t xml:space="preserve"> (SA) and AV nodes </w:t>
      </w:r>
      <w:r>
        <w:t>are negligible</w:t>
      </w:r>
    </w:p>
    <w:p w:rsidR="00D44FDD" w:rsidRPr="00D44FDD" w:rsidRDefault="00D44FDD" w:rsidP="00D44FDD">
      <w:pPr>
        <w:rPr>
          <w:i/>
        </w:rPr>
      </w:pPr>
      <w:proofErr w:type="spellStart"/>
      <w:r w:rsidRPr="00D44FDD">
        <w:rPr>
          <w:i/>
        </w:rPr>
        <w:t>Nondihydropyridines</w:t>
      </w:r>
      <w:proofErr w:type="spellEnd"/>
      <w:r w:rsidRPr="00D44FDD">
        <w:rPr>
          <w:i/>
        </w:rPr>
        <w:t>: Heart rate lowering agents</w:t>
      </w:r>
    </w:p>
    <w:p w:rsidR="00D870DC" w:rsidRDefault="00D870DC" w:rsidP="00D870DC">
      <w:pPr>
        <w:pStyle w:val="ListParagraph"/>
        <w:numPr>
          <w:ilvl w:val="0"/>
          <w:numId w:val="4"/>
        </w:numPr>
      </w:pPr>
      <w:r>
        <w:t>B</w:t>
      </w:r>
      <w:r>
        <w:t>ind to</w:t>
      </w:r>
      <w:r>
        <w:t xml:space="preserve"> </w:t>
      </w:r>
      <w:r>
        <w:t xml:space="preserve">site on the α1-subunit of the calcium channel </w:t>
      </w:r>
    </w:p>
    <w:p w:rsidR="00D870DC" w:rsidRDefault="00D870DC" w:rsidP="00D870DC">
      <w:pPr>
        <w:pStyle w:val="ListParagraph"/>
        <w:numPr>
          <w:ilvl w:val="0"/>
          <w:numId w:val="4"/>
        </w:numPr>
      </w:pPr>
      <w:r>
        <w:t>A</w:t>
      </w:r>
      <w:r>
        <w:t>ct</w:t>
      </w:r>
      <w:r>
        <w:t>s</w:t>
      </w:r>
      <w:r>
        <w:t xml:space="preserve"> on nodal tissue, being therapeutically effective in supraventricular</w:t>
      </w:r>
      <w:r>
        <w:t xml:space="preserve"> </w:t>
      </w:r>
      <w:proofErr w:type="spellStart"/>
      <w:r>
        <w:t>tachycardias</w:t>
      </w:r>
      <w:proofErr w:type="spellEnd"/>
    </w:p>
    <w:p w:rsidR="00D870DC" w:rsidRDefault="00D870DC" w:rsidP="00D870DC">
      <w:pPr>
        <w:pStyle w:val="ListParagraph"/>
        <w:numPr>
          <w:ilvl w:val="0"/>
          <w:numId w:val="4"/>
        </w:numPr>
      </w:pPr>
      <w:r>
        <w:t>D</w:t>
      </w:r>
      <w:r>
        <w:t>ecrease the sinus rate</w:t>
      </w:r>
      <w:r>
        <w:t xml:space="preserve"> and</w:t>
      </w:r>
      <w:r>
        <w:t xml:space="preserve"> inhibit myocardial contraction more than the DHPs</w:t>
      </w:r>
      <w:r>
        <w:t>/</w:t>
      </w:r>
      <w:r>
        <w:t xml:space="preserve"> are less vascular selective </w:t>
      </w:r>
    </w:p>
    <w:p w:rsidR="00D44FDD" w:rsidRDefault="00D870DC" w:rsidP="00D870DC">
      <w:pPr>
        <w:pStyle w:val="ListParagraph"/>
        <w:numPr>
          <w:ilvl w:val="0"/>
          <w:numId w:val="4"/>
        </w:numPr>
      </w:pPr>
      <w:r>
        <w:t xml:space="preserve">Along with the </w:t>
      </w:r>
      <w:r>
        <w:t>peripheral</w:t>
      </w:r>
      <w:r>
        <w:t xml:space="preserve"> </w:t>
      </w:r>
      <w:r>
        <w:t>vasodilation,</w:t>
      </w:r>
      <w:r>
        <w:t xml:space="preserve"> the inhibition of contraction</w:t>
      </w:r>
      <w:r>
        <w:t xml:space="preserve"> lead</w:t>
      </w:r>
      <w:r>
        <w:t>s</w:t>
      </w:r>
      <w:r>
        <w:t xml:space="preserve"> to substantial reduction in the myocardial oxygen demand</w:t>
      </w:r>
    </w:p>
    <w:p w:rsidR="00857B16" w:rsidRPr="00EC719A" w:rsidRDefault="00EB5B1D" w:rsidP="00EB5B1D">
      <w:pPr>
        <w:rPr>
          <w:b/>
          <w:u w:val="single"/>
        </w:rPr>
      </w:pPr>
      <w:r w:rsidRPr="00EC719A">
        <w:rPr>
          <w:b/>
          <w:u w:val="single"/>
        </w:rPr>
        <w:t>Major indications for Calcium Channel Blockers</w:t>
      </w:r>
    </w:p>
    <w:p w:rsidR="00EB5B1D" w:rsidRDefault="00EB5B1D" w:rsidP="00EB5B1D">
      <w:pPr>
        <w:pStyle w:val="ListParagraph"/>
        <w:numPr>
          <w:ilvl w:val="0"/>
          <w:numId w:val="5"/>
        </w:numPr>
      </w:pPr>
      <w:r>
        <w:t>Stable effort angina (or unstable as well) – not relevant</w:t>
      </w:r>
    </w:p>
    <w:p w:rsidR="00EB5B1D" w:rsidRDefault="00EB5B1D" w:rsidP="00EB5B1D">
      <w:pPr>
        <w:pStyle w:val="ListParagraph"/>
        <w:numPr>
          <w:ilvl w:val="0"/>
          <w:numId w:val="5"/>
        </w:numPr>
      </w:pPr>
      <w:r>
        <w:t>Coronary spasm – not relevant</w:t>
      </w:r>
    </w:p>
    <w:p w:rsidR="00EB5B1D" w:rsidRDefault="00EB5B1D" w:rsidP="00EB5B1D">
      <w:pPr>
        <w:pStyle w:val="ListParagraph"/>
        <w:numPr>
          <w:ilvl w:val="0"/>
          <w:numId w:val="5"/>
        </w:numPr>
      </w:pPr>
      <w:r w:rsidRPr="00EB5B1D">
        <w:t>Hypertension</w:t>
      </w:r>
    </w:p>
    <w:p w:rsidR="00EB5B1D" w:rsidRDefault="00EB5B1D" w:rsidP="00EB5B1D">
      <w:pPr>
        <w:pStyle w:val="ListParagraph"/>
        <w:numPr>
          <w:ilvl w:val="1"/>
          <w:numId w:val="5"/>
        </w:numPr>
      </w:pPr>
      <w:r>
        <w:t xml:space="preserve">CCBs are excellent antihypertensive agents, among the best for older adult and black </w:t>
      </w:r>
      <w:proofErr w:type="gramStart"/>
      <w:r>
        <w:t>patients</w:t>
      </w:r>
      <w:r>
        <w:t>(</w:t>
      </w:r>
      <w:proofErr w:type="gramEnd"/>
      <w:r>
        <w:t>?)</w:t>
      </w:r>
      <w:r>
        <w:t>.</w:t>
      </w:r>
      <w:r>
        <w:t xml:space="preserve"> A</w:t>
      </w:r>
      <w:r>
        <w:t>s effective as other antihypertensive classes</w:t>
      </w:r>
      <w:r>
        <w:t xml:space="preserve">. </w:t>
      </w:r>
      <w:r>
        <w:t xml:space="preserve"> In hypertension with nephropathy, both DHPs and non-DHPs reduce the BP, which</w:t>
      </w:r>
      <w:r>
        <w:t xml:space="preserve"> </w:t>
      </w:r>
      <w:r>
        <w:t>is the primary aim, but non-DHPs reduce proteinuria bette</w:t>
      </w:r>
      <w:r>
        <w:t>r</w:t>
      </w:r>
    </w:p>
    <w:p w:rsidR="00EB5B1D" w:rsidRDefault="00EB5B1D" w:rsidP="00EB5B1D">
      <w:pPr>
        <w:pStyle w:val="ListParagraph"/>
        <w:numPr>
          <w:ilvl w:val="0"/>
          <w:numId w:val="5"/>
        </w:numPr>
      </w:pPr>
      <w:r>
        <w:t xml:space="preserve">Supraventricular tachycardia </w:t>
      </w:r>
    </w:p>
    <w:p w:rsidR="00EB5B1D" w:rsidRDefault="00EB5B1D" w:rsidP="00EB5B1D">
      <w:pPr>
        <w:pStyle w:val="ListParagraph"/>
        <w:numPr>
          <w:ilvl w:val="1"/>
          <w:numId w:val="5"/>
        </w:numPr>
      </w:pPr>
      <w:r>
        <w:t xml:space="preserve">Verapamil and </w:t>
      </w:r>
      <w:proofErr w:type="spellStart"/>
      <w:r>
        <w:t>diltiazem</w:t>
      </w:r>
      <w:proofErr w:type="spellEnd"/>
      <w:r>
        <w:t xml:space="preserve"> inhibit the AV node, which explains their effect in supraventricular </w:t>
      </w:r>
      <w:proofErr w:type="spellStart"/>
      <w:r>
        <w:t>tachycardias</w:t>
      </w:r>
      <w:proofErr w:type="spellEnd"/>
      <w:r>
        <w:t>.</w:t>
      </w:r>
      <w:r>
        <w:t xml:space="preserve"> </w:t>
      </w:r>
      <w:proofErr w:type="spellStart"/>
      <w:r>
        <w:t>Nifedipine</w:t>
      </w:r>
      <w:proofErr w:type="spellEnd"/>
      <w:r>
        <w:t xml:space="preserve"> and other </w:t>
      </w:r>
      <w:r>
        <w:t>DHPs are clinically ineffective</w:t>
      </w:r>
    </w:p>
    <w:p w:rsidR="00EB5B1D" w:rsidRPr="00EC719A" w:rsidRDefault="00EC719A" w:rsidP="00EC719A">
      <w:pPr>
        <w:rPr>
          <w:b/>
          <w:u w:val="single"/>
        </w:rPr>
      </w:pPr>
      <w:r w:rsidRPr="00EC719A">
        <w:rPr>
          <w:b/>
          <w:u w:val="single"/>
        </w:rPr>
        <w:t>Specific Drugs</w:t>
      </w:r>
    </w:p>
    <w:p w:rsidR="00EC719A" w:rsidRDefault="00EC719A" w:rsidP="00EC719A">
      <w:pPr>
        <w:rPr>
          <w:i/>
        </w:rPr>
      </w:pPr>
      <w:r w:rsidRPr="00EC719A">
        <w:rPr>
          <w:i/>
        </w:rPr>
        <w:t>Verapamil</w:t>
      </w:r>
    </w:p>
    <w:p w:rsidR="006D2480" w:rsidRDefault="00F50B5E" w:rsidP="006D2480">
      <w:proofErr w:type="gramStart"/>
      <w:r>
        <w:t>Pharmacokinetics</w:t>
      </w:r>
      <w:r w:rsidR="006D2480">
        <w:t xml:space="preserve"> :</w:t>
      </w:r>
      <w:proofErr w:type="gramEnd"/>
    </w:p>
    <w:p w:rsidR="006D2480" w:rsidRDefault="00F50B5E" w:rsidP="006D2480">
      <w:pPr>
        <w:pStyle w:val="ListParagraph"/>
        <w:numPr>
          <w:ilvl w:val="0"/>
          <w:numId w:val="7"/>
        </w:numPr>
        <w:ind w:left="720"/>
      </w:pPr>
      <w:r>
        <w:t>In dogs, verapamil is absorbed well (more than 90%) but undergoes extensive first pass hepatic metabolism, so bio</w:t>
      </w:r>
      <w:r w:rsidR="006D2480">
        <w:t>availability is only 10% to 23%</w:t>
      </w:r>
    </w:p>
    <w:p w:rsidR="006D2480" w:rsidRDefault="00F50B5E" w:rsidP="006D2480">
      <w:pPr>
        <w:pStyle w:val="ListParagraph"/>
        <w:numPr>
          <w:ilvl w:val="0"/>
          <w:numId w:val="7"/>
        </w:numPr>
        <w:ind w:left="720"/>
      </w:pPr>
      <w:r>
        <w:t>Verapamil is metabolized to several active and inactive metabolites</w:t>
      </w:r>
      <w:r w:rsidR="006D2480">
        <w:t>; m</w:t>
      </w:r>
      <w:r>
        <w:t>ost of the metabolites are excreted in the bile</w:t>
      </w:r>
    </w:p>
    <w:p w:rsidR="00F50B5E" w:rsidRDefault="006D2480" w:rsidP="006D2480">
      <w:pPr>
        <w:pStyle w:val="ListParagraph"/>
        <w:numPr>
          <w:ilvl w:val="0"/>
          <w:numId w:val="7"/>
        </w:numPr>
        <w:ind w:left="720"/>
      </w:pPr>
      <w:r>
        <w:t>H</w:t>
      </w:r>
      <w:r w:rsidR="00F50B5E">
        <w:t xml:space="preserve">alf-life of verapamil is 1.8 to 3.8 hours in anesthetized experimental dogs, and the volume of distribution is 2.6 ± 1.0 L/kg </w:t>
      </w:r>
    </w:p>
    <w:p w:rsidR="006D2480" w:rsidRDefault="00F50B5E" w:rsidP="00F50B5E">
      <w:r>
        <w:lastRenderedPageBreak/>
        <w:t>Indications</w:t>
      </w:r>
      <w:r w:rsidR="006D2480">
        <w:t>:</w:t>
      </w:r>
    </w:p>
    <w:p w:rsidR="006D2480" w:rsidRDefault="00F50B5E" w:rsidP="006D2480">
      <w:pPr>
        <w:pStyle w:val="ListParagraph"/>
        <w:numPr>
          <w:ilvl w:val="0"/>
          <w:numId w:val="8"/>
        </w:numPr>
      </w:pPr>
      <w:r>
        <w:t>Verapamil is indicated for the acute termination of supraventricular tachycardia in the dog</w:t>
      </w:r>
    </w:p>
    <w:p w:rsidR="00F50B5E" w:rsidRDefault="006D2480" w:rsidP="006D2480">
      <w:pPr>
        <w:pStyle w:val="ListParagraph"/>
        <w:numPr>
          <w:ilvl w:val="0"/>
          <w:numId w:val="8"/>
        </w:numPr>
      </w:pPr>
      <w:r>
        <w:t>L</w:t>
      </w:r>
      <w:r w:rsidR="00F50B5E">
        <w:t xml:space="preserve">iterature suggests that verapamil may be effective for terminating accelerated </w:t>
      </w:r>
      <w:proofErr w:type="spellStart"/>
      <w:r w:rsidR="00F50B5E">
        <w:t>idioventricular</w:t>
      </w:r>
      <w:proofErr w:type="spellEnd"/>
      <w:r w:rsidR="00F50B5E">
        <w:t xml:space="preserve"> rhythm in patients in intensive care units and for treating digitalis-induced ventricular </w:t>
      </w:r>
      <w:proofErr w:type="spellStart"/>
      <w:r w:rsidR="00F50B5E">
        <w:t>tachyarrhythmias</w:t>
      </w:r>
      <w:proofErr w:type="spellEnd"/>
    </w:p>
    <w:p w:rsidR="006D2480" w:rsidRDefault="00F50B5E" w:rsidP="00F50B5E">
      <w:r>
        <w:t>Administration and dosage</w:t>
      </w:r>
      <w:r w:rsidR="006D2480">
        <w:t>:</w:t>
      </w:r>
    </w:p>
    <w:p w:rsidR="006D2480" w:rsidRDefault="00F50B5E" w:rsidP="006D2480">
      <w:pPr>
        <w:pStyle w:val="ListParagraph"/>
        <w:numPr>
          <w:ilvl w:val="0"/>
          <w:numId w:val="9"/>
        </w:numPr>
      </w:pPr>
      <w:r>
        <w:t>For the acute termination of supraventricular tachycardia, the intravenous dose ranges from 0.05 to 0.15 mg/kg</w:t>
      </w:r>
    </w:p>
    <w:p w:rsidR="006D2480" w:rsidRDefault="006D2480" w:rsidP="006D2480">
      <w:pPr>
        <w:pStyle w:val="ListParagraph"/>
        <w:numPr>
          <w:ilvl w:val="0"/>
          <w:numId w:val="9"/>
        </w:numPr>
      </w:pPr>
      <w:r>
        <w:t>I</w:t>
      </w:r>
      <w:r w:rsidR="00F50B5E">
        <w:t>nitial dose of 0.05 mg/kg should be administered over 1 to 2 minutes while the ECG is monitored</w:t>
      </w:r>
      <w:r>
        <w:t>,</w:t>
      </w:r>
      <w:r w:rsidR="00F50B5E">
        <w:t xml:space="preserve"> </w:t>
      </w:r>
      <w:r>
        <w:t>i</w:t>
      </w:r>
      <w:r w:rsidR="00F50B5E">
        <w:t>f this initial dose is not effective, the same dose should be repeated 5 to 10 minutes later</w:t>
      </w:r>
    </w:p>
    <w:p w:rsidR="006D2480" w:rsidRDefault="00F50B5E" w:rsidP="006D2480">
      <w:pPr>
        <w:pStyle w:val="ListParagraph"/>
        <w:numPr>
          <w:ilvl w:val="0"/>
          <w:numId w:val="9"/>
        </w:numPr>
      </w:pPr>
      <w:r>
        <w:t>If the arrhythmia still is not terminated, a last dose of 0.05 mg/kg (total dose = 0.15 mg/kg) should be administered 5 to 10 minutes after the second dose</w:t>
      </w:r>
    </w:p>
    <w:p w:rsidR="006D2480" w:rsidRDefault="00F50B5E" w:rsidP="006D2480">
      <w:pPr>
        <w:pStyle w:val="ListParagraph"/>
        <w:numPr>
          <w:ilvl w:val="0"/>
          <w:numId w:val="9"/>
        </w:numPr>
      </w:pPr>
      <w:r>
        <w:t>This dosage schedule is effective at terminating supraventricular tachycardia in approximately 85% of dogs</w:t>
      </w:r>
    </w:p>
    <w:p w:rsidR="00F50B5E" w:rsidRDefault="00F50B5E" w:rsidP="006D2480">
      <w:pPr>
        <w:pStyle w:val="ListParagraph"/>
        <w:numPr>
          <w:ilvl w:val="0"/>
          <w:numId w:val="9"/>
        </w:numPr>
      </w:pPr>
      <w:r>
        <w:t>For longer control, the initial bolus injections can be followed by a constant infusion of verapamil at 2 to 10 µg/kg/min</w:t>
      </w:r>
    </w:p>
    <w:p w:rsidR="006E2485" w:rsidRDefault="00F50B5E" w:rsidP="00F50B5E">
      <w:r>
        <w:t>Toxicity</w:t>
      </w:r>
      <w:r w:rsidR="006E2485">
        <w:t>:</w:t>
      </w:r>
    </w:p>
    <w:p w:rsidR="006E2485" w:rsidRDefault="00F50B5E" w:rsidP="0086693B">
      <w:pPr>
        <w:pStyle w:val="ListParagraph"/>
        <w:numPr>
          <w:ilvl w:val="0"/>
          <w:numId w:val="10"/>
        </w:numPr>
      </w:pPr>
      <w:r>
        <w:t xml:space="preserve">Verapamil can depress cardiac contractility and cause peripheral vasodilation and should not be used in patients with severe myocardial failure or patients in heart failure, unless hemodynamic monitoring can be done and immediate administration of calcium or </w:t>
      </w:r>
      <w:proofErr w:type="spellStart"/>
      <w:r>
        <w:t>catecholamines</w:t>
      </w:r>
      <w:proofErr w:type="spellEnd"/>
      <w:r>
        <w:t xml:space="preserve"> can be performed</w:t>
      </w:r>
    </w:p>
    <w:p w:rsidR="006E2485" w:rsidRDefault="00F50B5E" w:rsidP="006E2485">
      <w:r>
        <w:t>Drug interactions</w:t>
      </w:r>
      <w:r w:rsidR="006E2485">
        <w:t>:</w:t>
      </w:r>
    </w:p>
    <w:p w:rsidR="006E2485" w:rsidRDefault="00F50B5E" w:rsidP="006E2485">
      <w:pPr>
        <w:pStyle w:val="ListParagraph"/>
        <w:numPr>
          <w:ilvl w:val="0"/>
          <w:numId w:val="10"/>
        </w:numPr>
      </w:pPr>
      <w:r>
        <w:t>Verapamil and β-blockers should not be used together for several reasons</w:t>
      </w:r>
      <w:r w:rsidR="006E2485">
        <w:t xml:space="preserve">: </w:t>
      </w:r>
      <w:r>
        <w:t xml:space="preserve"> verapamil and β-blockers results in additive negative inotropic, </w:t>
      </w:r>
      <w:proofErr w:type="spellStart"/>
      <w:r>
        <w:t>chronotropic</w:t>
      </w:r>
      <w:proofErr w:type="spellEnd"/>
      <w:r>
        <w:t xml:space="preserve">, and </w:t>
      </w:r>
      <w:proofErr w:type="spellStart"/>
      <w:r>
        <w:t>dromotropic</w:t>
      </w:r>
      <w:proofErr w:type="spellEnd"/>
      <w:r>
        <w:t xml:space="preserve"> (conduction p</w:t>
      </w:r>
      <w:r w:rsidR="006E2485">
        <w:t>roperties) effects on the heart</w:t>
      </w:r>
    </w:p>
    <w:p w:rsidR="006E2485" w:rsidRDefault="006E2485" w:rsidP="006E2485">
      <w:pPr>
        <w:pStyle w:val="ListParagraph"/>
        <w:numPr>
          <w:ilvl w:val="0"/>
          <w:numId w:val="10"/>
        </w:numPr>
      </w:pPr>
      <w:r>
        <w:t>P</w:t>
      </w:r>
      <w:r w:rsidR="00F50B5E">
        <w:t>rofound myocardial depression, prolonged AV nodal conduction, and depressed heart rate, resulting in severe cardiovascular depression</w:t>
      </w:r>
    </w:p>
    <w:p w:rsidR="006E2485" w:rsidRDefault="00F50B5E" w:rsidP="006E2485">
      <w:pPr>
        <w:pStyle w:val="ListParagraph"/>
        <w:numPr>
          <w:ilvl w:val="0"/>
          <w:numId w:val="10"/>
        </w:numPr>
      </w:pPr>
      <w:r>
        <w:t>Verapamil can increase the bioavailability of some β-blockers by decreasing first pass hepatic metabolism</w:t>
      </w:r>
    </w:p>
    <w:p w:rsidR="006E2485" w:rsidRDefault="00F50B5E" w:rsidP="006E2485">
      <w:pPr>
        <w:pStyle w:val="ListParagraph"/>
        <w:numPr>
          <w:ilvl w:val="0"/>
          <w:numId w:val="10"/>
        </w:numPr>
      </w:pPr>
      <w:proofErr w:type="spellStart"/>
      <w:r>
        <w:t>Coadministration</w:t>
      </w:r>
      <w:proofErr w:type="spellEnd"/>
      <w:r>
        <w:t xml:space="preserve"> of verapamil and </w:t>
      </w:r>
      <w:proofErr w:type="spellStart"/>
      <w:r>
        <w:t>lidocaine</w:t>
      </w:r>
      <w:proofErr w:type="spellEnd"/>
      <w:r>
        <w:t xml:space="preserve"> to experimental dogs anesthetized with </w:t>
      </w:r>
      <w:proofErr w:type="spellStart"/>
      <w:r>
        <w:t>isoflurane</w:t>
      </w:r>
      <w:proofErr w:type="spellEnd"/>
      <w:r>
        <w:t xml:space="preserve"> produces profound cardiovascular depression and severe systemic hypotension</w:t>
      </w:r>
    </w:p>
    <w:p w:rsidR="0086693B" w:rsidRPr="00EC719A" w:rsidRDefault="00F50B5E" w:rsidP="006E2485">
      <w:pPr>
        <w:pStyle w:val="ListParagraph"/>
        <w:numPr>
          <w:ilvl w:val="0"/>
          <w:numId w:val="10"/>
        </w:numPr>
      </w:pPr>
      <w:r>
        <w:t>Cimetidine decreases total body clearance of verapamil</w:t>
      </w:r>
      <w:bookmarkStart w:id="0" w:name="_GoBack"/>
      <w:bookmarkEnd w:id="0"/>
    </w:p>
    <w:sectPr w:rsidR="0086693B" w:rsidRPr="00EC719A" w:rsidSect="00E43B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22F3D"/>
    <w:multiLevelType w:val="hybridMultilevel"/>
    <w:tmpl w:val="F326A1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036478"/>
    <w:multiLevelType w:val="hybridMultilevel"/>
    <w:tmpl w:val="1B34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3859C0"/>
    <w:multiLevelType w:val="hybridMultilevel"/>
    <w:tmpl w:val="E998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424B5"/>
    <w:multiLevelType w:val="hybridMultilevel"/>
    <w:tmpl w:val="D612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DE1F7C"/>
    <w:multiLevelType w:val="hybridMultilevel"/>
    <w:tmpl w:val="FA64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216BF9"/>
    <w:multiLevelType w:val="hybridMultilevel"/>
    <w:tmpl w:val="F836F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D24990"/>
    <w:multiLevelType w:val="hybridMultilevel"/>
    <w:tmpl w:val="CE10D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AF1632"/>
    <w:multiLevelType w:val="hybridMultilevel"/>
    <w:tmpl w:val="34062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9912E2C"/>
    <w:multiLevelType w:val="hybridMultilevel"/>
    <w:tmpl w:val="35B6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0D18AF"/>
    <w:multiLevelType w:val="hybridMultilevel"/>
    <w:tmpl w:val="6FD8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7"/>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7E0"/>
    <w:rsid w:val="002C7B82"/>
    <w:rsid w:val="00464C57"/>
    <w:rsid w:val="006177E0"/>
    <w:rsid w:val="006D2480"/>
    <w:rsid w:val="006E2485"/>
    <w:rsid w:val="007D5515"/>
    <w:rsid w:val="008012F5"/>
    <w:rsid w:val="00857B16"/>
    <w:rsid w:val="0086693B"/>
    <w:rsid w:val="00AC5337"/>
    <w:rsid w:val="00BB65D2"/>
    <w:rsid w:val="00C33BDB"/>
    <w:rsid w:val="00C77E7F"/>
    <w:rsid w:val="00D44FDD"/>
    <w:rsid w:val="00D870DC"/>
    <w:rsid w:val="00E43B9D"/>
    <w:rsid w:val="00EB5B1D"/>
    <w:rsid w:val="00EC719A"/>
    <w:rsid w:val="00F50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7E0"/>
    <w:pPr>
      <w:ind w:left="720"/>
      <w:contextualSpacing/>
    </w:pPr>
  </w:style>
  <w:style w:type="paragraph" w:styleId="BalloonText">
    <w:name w:val="Balloon Text"/>
    <w:basedOn w:val="Normal"/>
    <w:link w:val="BalloonTextChar"/>
    <w:uiPriority w:val="99"/>
    <w:semiHidden/>
    <w:unhideWhenUsed/>
    <w:rsid w:val="00617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7E0"/>
    <w:pPr>
      <w:ind w:left="720"/>
      <w:contextualSpacing/>
    </w:pPr>
  </w:style>
  <w:style w:type="paragraph" w:styleId="BalloonText">
    <w:name w:val="Balloon Text"/>
    <w:basedOn w:val="Normal"/>
    <w:link w:val="BalloonTextChar"/>
    <w:uiPriority w:val="99"/>
    <w:semiHidden/>
    <w:unhideWhenUsed/>
    <w:rsid w:val="00617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7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CAH ICU</cp:lastModifiedBy>
  <cp:revision>15</cp:revision>
  <dcterms:created xsi:type="dcterms:W3CDTF">2013-05-13T08:29:00Z</dcterms:created>
  <dcterms:modified xsi:type="dcterms:W3CDTF">2013-05-13T09:26:00Z</dcterms:modified>
</cp:coreProperties>
</file>