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06" w:rsidRPr="00EF12FD" w:rsidRDefault="00921D69" w:rsidP="00D63B67">
      <w:pPr>
        <w:jc w:val="center"/>
        <w:rPr>
          <w:rFonts w:asciiTheme="majorHAnsi" w:hAnsiTheme="majorHAnsi"/>
          <w:sz w:val="32"/>
          <w:szCs w:val="32"/>
        </w:rPr>
      </w:pPr>
      <w:r w:rsidRPr="00EF12FD">
        <w:rPr>
          <w:rFonts w:asciiTheme="majorHAnsi" w:hAnsiTheme="majorHAnsi"/>
          <w:sz w:val="32"/>
          <w:szCs w:val="32"/>
        </w:rPr>
        <w:t xml:space="preserve">Chapter </w:t>
      </w:r>
      <w:proofErr w:type="gramStart"/>
      <w:r w:rsidRPr="00EF12FD">
        <w:rPr>
          <w:rFonts w:asciiTheme="majorHAnsi" w:hAnsiTheme="majorHAnsi"/>
          <w:sz w:val="32"/>
          <w:szCs w:val="32"/>
        </w:rPr>
        <w:t>102 :</w:t>
      </w:r>
      <w:proofErr w:type="gramEnd"/>
      <w:r w:rsidRPr="00EF12FD">
        <w:rPr>
          <w:rFonts w:asciiTheme="majorHAnsi" w:hAnsiTheme="majorHAnsi"/>
          <w:sz w:val="32"/>
          <w:szCs w:val="32"/>
        </w:rPr>
        <w:t xml:space="preserve"> Hematopoietic Stem Cell Transplantation</w:t>
      </w:r>
    </w:p>
    <w:p w:rsidR="00792C70" w:rsidRDefault="00792C70"/>
    <w:p w:rsidR="00792C70" w:rsidRDefault="00792C70" w:rsidP="00792C70">
      <w:pPr>
        <w:pStyle w:val="ListParagraph"/>
        <w:numPr>
          <w:ilvl w:val="0"/>
          <w:numId w:val="1"/>
        </w:numPr>
      </w:pPr>
      <w:r>
        <w:t>H</w:t>
      </w:r>
      <w:r w:rsidRPr="00792C70">
        <w:t>ematopoietic stem cells</w:t>
      </w:r>
      <w:r>
        <w:t xml:space="preserve"> vary in phenotype according to cell cycle stage</w:t>
      </w:r>
    </w:p>
    <w:p w:rsidR="00792C70" w:rsidRDefault="00792C70" w:rsidP="00325E4F">
      <w:pPr>
        <w:pStyle w:val="ListParagraph"/>
        <w:numPr>
          <w:ilvl w:val="0"/>
          <w:numId w:val="1"/>
        </w:numPr>
      </w:pPr>
      <w:r>
        <w:t>Cell cycle dependent traits include in vivo</w:t>
      </w:r>
      <w:r w:rsidR="00325E4F">
        <w:t xml:space="preserve"> </w:t>
      </w:r>
      <w:r>
        <w:t>engraftment, progenitor numbers, expression of adhesion</w:t>
      </w:r>
      <w:r w:rsidR="00325E4F">
        <w:t xml:space="preserve"> </w:t>
      </w:r>
      <w:r>
        <w:t>proteins and cytokine receptors, and differentiation</w:t>
      </w:r>
      <w:r w:rsidR="00325E4F">
        <w:t xml:space="preserve"> </w:t>
      </w:r>
      <w:r>
        <w:t>into megakaryocytes and granulocytes</w:t>
      </w:r>
    </w:p>
    <w:p w:rsidR="00325E4F" w:rsidRPr="00EF12FD" w:rsidRDefault="00325E4F" w:rsidP="00EF12FD">
      <w:pPr>
        <w:rPr>
          <w:rFonts w:asciiTheme="majorHAnsi" w:hAnsiTheme="majorHAnsi"/>
          <w:sz w:val="28"/>
          <w:szCs w:val="28"/>
        </w:rPr>
      </w:pPr>
      <w:r w:rsidRPr="00EF12FD">
        <w:rPr>
          <w:rFonts w:asciiTheme="majorHAnsi" w:hAnsiTheme="majorHAnsi"/>
          <w:sz w:val="28"/>
          <w:szCs w:val="28"/>
        </w:rPr>
        <w:t>Donor types</w:t>
      </w:r>
    </w:p>
    <w:p w:rsidR="00325E4F" w:rsidRPr="00D63B67" w:rsidRDefault="00325E4F" w:rsidP="00325E4F">
      <w:pPr>
        <w:ind w:left="360"/>
        <w:rPr>
          <w:rFonts w:asciiTheme="majorHAnsi" w:hAnsiTheme="majorHAnsi"/>
        </w:rPr>
      </w:pPr>
      <w:r w:rsidRPr="00D63B67">
        <w:rPr>
          <w:rFonts w:asciiTheme="majorHAnsi" w:hAnsiTheme="majorHAnsi"/>
        </w:rPr>
        <w:t>Allogeneic Transplantation</w:t>
      </w:r>
    </w:p>
    <w:p w:rsidR="004342E6" w:rsidRDefault="004342E6" w:rsidP="004342E6">
      <w:pPr>
        <w:pStyle w:val="ListParagraph"/>
        <w:numPr>
          <w:ilvl w:val="0"/>
          <w:numId w:val="1"/>
        </w:numPr>
      </w:pPr>
      <w:r>
        <w:t>Immunosuppressive therapy is required for allogeneic HSCT in order to suppress both host and donor responses</w:t>
      </w:r>
    </w:p>
    <w:p w:rsidR="00325E4F" w:rsidRDefault="004342E6" w:rsidP="004342E6">
      <w:pPr>
        <w:pStyle w:val="ListParagraph"/>
        <w:numPr>
          <w:ilvl w:val="0"/>
          <w:numId w:val="1"/>
        </w:numPr>
      </w:pPr>
      <w:r>
        <w:t>Host immunosuppression is necessary for engraftment, whereas donor immunosuppression prevents graft versus host disease</w:t>
      </w:r>
    </w:p>
    <w:p w:rsidR="004342E6" w:rsidRDefault="004342E6" w:rsidP="004342E6">
      <w:pPr>
        <w:pStyle w:val="ListParagraph"/>
        <w:numPr>
          <w:ilvl w:val="0"/>
          <w:numId w:val="1"/>
        </w:numPr>
      </w:pPr>
      <w:r>
        <w:t xml:space="preserve">Graft versus host disease  (GVHD)is one of the most significant hurdles to allogeneic HSCT </w:t>
      </w:r>
    </w:p>
    <w:p w:rsidR="004342E6" w:rsidRDefault="004342E6" w:rsidP="004342E6">
      <w:pPr>
        <w:pStyle w:val="ListParagraph"/>
        <w:numPr>
          <w:ilvl w:val="0"/>
          <w:numId w:val="1"/>
        </w:numPr>
      </w:pPr>
      <w:r>
        <w:t>It results from immune targeting of host cells by the donor T cells</w:t>
      </w:r>
    </w:p>
    <w:p w:rsidR="004342E6" w:rsidRDefault="00E2047C" w:rsidP="004342E6">
      <w:pPr>
        <w:pStyle w:val="ListParagraph"/>
        <w:numPr>
          <w:ilvl w:val="0"/>
          <w:numId w:val="1"/>
        </w:numPr>
      </w:pPr>
      <w:r>
        <w:t>GVHD can be beneficial in some patients as they have greater affinity for</w:t>
      </w:r>
      <w:r w:rsidR="00FA1682">
        <w:t xml:space="preserve"> leukemia cells “graft versus leukemia”</w:t>
      </w:r>
    </w:p>
    <w:p w:rsidR="00FA1682" w:rsidRDefault="00FA1682" w:rsidP="004342E6">
      <w:pPr>
        <w:pStyle w:val="ListParagraph"/>
        <w:numPr>
          <w:ilvl w:val="0"/>
          <w:numId w:val="1"/>
        </w:numPr>
      </w:pPr>
      <w:r>
        <w:t>Use</w:t>
      </w:r>
      <w:r w:rsidR="0066633F">
        <w:t xml:space="preserve">d for Lymphoma, </w:t>
      </w:r>
      <w:proofErr w:type="spellStart"/>
      <w:r w:rsidR="0066633F">
        <w:t>l</w:t>
      </w:r>
      <w:r>
        <w:t>eukemias</w:t>
      </w:r>
      <w:proofErr w:type="spellEnd"/>
      <w:r>
        <w:t xml:space="preserve">, </w:t>
      </w:r>
      <w:r w:rsidR="0066633F">
        <w:t xml:space="preserve">genetic diseases, autoimmune diseases, </w:t>
      </w:r>
      <w:proofErr w:type="spellStart"/>
      <w:r w:rsidR="0066633F">
        <w:t>myelodysplasia</w:t>
      </w:r>
      <w:proofErr w:type="spellEnd"/>
    </w:p>
    <w:p w:rsidR="00FA1682" w:rsidRPr="00EF12FD" w:rsidRDefault="00FA1682" w:rsidP="00FA1682">
      <w:pPr>
        <w:ind w:left="360"/>
        <w:rPr>
          <w:rFonts w:asciiTheme="majorHAnsi" w:hAnsiTheme="majorHAnsi"/>
        </w:rPr>
      </w:pPr>
      <w:r w:rsidRPr="00EF12FD">
        <w:rPr>
          <w:rFonts w:asciiTheme="majorHAnsi" w:hAnsiTheme="majorHAnsi"/>
        </w:rPr>
        <w:t>Syngeneic/Autologous Transplantation</w:t>
      </w:r>
    </w:p>
    <w:p w:rsidR="00FA1682" w:rsidRDefault="00FA1682" w:rsidP="00FA1682">
      <w:pPr>
        <w:pStyle w:val="ListParagraph"/>
        <w:numPr>
          <w:ilvl w:val="0"/>
          <w:numId w:val="1"/>
        </w:numPr>
      </w:pPr>
      <w:r>
        <w:t>A</w:t>
      </w:r>
      <w:r>
        <w:t>utologous or syngeneic transplantation</w:t>
      </w:r>
      <w:r>
        <w:t xml:space="preserve"> has </w:t>
      </w:r>
      <w:r>
        <w:t>no genetic incompatibility, which obviates the need for</w:t>
      </w:r>
      <w:r>
        <w:t xml:space="preserve"> </w:t>
      </w:r>
      <w:r>
        <w:t>post - transplantation immune suppression</w:t>
      </w:r>
      <w:r>
        <w:t xml:space="preserve">, </w:t>
      </w:r>
      <w:r>
        <w:t>GVHD, and engraftment failure</w:t>
      </w:r>
    </w:p>
    <w:p w:rsidR="00FA1682" w:rsidRDefault="00FA1682" w:rsidP="00FA1682">
      <w:pPr>
        <w:pStyle w:val="ListParagraph"/>
        <w:numPr>
          <w:ilvl w:val="0"/>
          <w:numId w:val="1"/>
        </w:numPr>
      </w:pPr>
      <w:r>
        <w:t>Has some efficacy in immune disorders and is thought to “reset” the immune system</w:t>
      </w:r>
    </w:p>
    <w:p w:rsidR="00FA1682" w:rsidRPr="00EF12FD" w:rsidRDefault="00FA1682" w:rsidP="00FA1682">
      <w:pPr>
        <w:ind w:left="360"/>
        <w:rPr>
          <w:rFonts w:asciiTheme="majorHAnsi" w:hAnsiTheme="majorHAnsi"/>
        </w:rPr>
      </w:pPr>
      <w:r w:rsidRPr="00EF12FD">
        <w:rPr>
          <w:rFonts w:asciiTheme="majorHAnsi" w:hAnsiTheme="majorHAnsi"/>
        </w:rPr>
        <w:t>Xenogeneic Transplantation</w:t>
      </w:r>
    </w:p>
    <w:p w:rsidR="00FA1682" w:rsidRDefault="00FA1682" w:rsidP="00FA1682">
      <w:pPr>
        <w:pStyle w:val="ListParagraph"/>
        <w:numPr>
          <w:ilvl w:val="0"/>
          <w:numId w:val="1"/>
        </w:numPr>
      </w:pPr>
      <w:r>
        <w:t>The major obstacle to overcome is graft rejection</w:t>
      </w:r>
    </w:p>
    <w:p w:rsidR="00FA1682" w:rsidRDefault="00FA1682" w:rsidP="00FA1682">
      <w:pPr>
        <w:pStyle w:val="ListParagraph"/>
        <w:numPr>
          <w:ilvl w:val="0"/>
          <w:numId w:val="1"/>
        </w:numPr>
      </w:pPr>
      <w:r>
        <w:t xml:space="preserve"> </w:t>
      </w:r>
      <w:r w:rsidR="0066633F">
        <w:t>Largely research based, except for some efficacy in AIDS patients</w:t>
      </w:r>
    </w:p>
    <w:p w:rsidR="0066633F" w:rsidRDefault="0066633F" w:rsidP="00FA1682">
      <w:pPr>
        <w:pStyle w:val="ListParagraph"/>
        <w:numPr>
          <w:ilvl w:val="0"/>
          <w:numId w:val="1"/>
        </w:numPr>
      </w:pPr>
      <w:r>
        <w:t xml:space="preserve">May induce some tolerance of </w:t>
      </w:r>
      <w:proofErr w:type="spellStart"/>
      <w:r>
        <w:t>xenogenic</w:t>
      </w:r>
      <w:proofErr w:type="spellEnd"/>
      <w:r>
        <w:t xml:space="preserve"> organ transplantation</w:t>
      </w:r>
    </w:p>
    <w:p w:rsidR="0066633F" w:rsidRPr="00EF12FD" w:rsidRDefault="00EF12FD" w:rsidP="0066633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Bone </w:t>
      </w:r>
      <w:r w:rsidR="0066633F" w:rsidRPr="00EF12FD">
        <w:rPr>
          <w:rFonts w:asciiTheme="majorHAnsi" w:hAnsiTheme="majorHAnsi"/>
          <w:sz w:val="28"/>
          <w:szCs w:val="28"/>
        </w:rPr>
        <w:t>Marrow</w:t>
      </w:r>
    </w:p>
    <w:p w:rsidR="0066633F" w:rsidRDefault="0066633F" w:rsidP="0066633F">
      <w:pPr>
        <w:pStyle w:val="ListParagraph"/>
        <w:numPr>
          <w:ilvl w:val="0"/>
          <w:numId w:val="1"/>
        </w:numPr>
      </w:pPr>
      <w:r>
        <w:t>Whole bone marrow is rarely used now</w:t>
      </w:r>
    </w:p>
    <w:p w:rsidR="0066633F" w:rsidRDefault="0066633F" w:rsidP="0066633F">
      <w:pPr>
        <w:pStyle w:val="ListParagraph"/>
        <w:numPr>
          <w:ilvl w:val="0"/>
          <w:numId w:val="1"/>
        </w:numPr>
      </w:pPr>
      <w:r>
        <w:t>Whole bone marrow affects engraftment and GVHD, now can be purified</w:t>
      </w:r>
    </w:p>
    <w:p w:rsidR="0066633F" w:rsidRDefault="0066633F" w:rsidP="0066633F">
      <w:pPr>
        <w:pStyle w:val="ListParagraph"/>
        <w:numPr>
          <w:ilvl w:val="0"/>
          <w:numId w:val="1"/>
        </w:numPr>
      </w:pPr>
      <w:r>
        <w:t>With purified HSC we can see poor engraftment from the depletion of T cells</w:t>
      </w:r>
    </w:p>
    <w:p w:rsidR="0066633F" w:rsidRDefault="0066633F" w:rsidP="0066633F">
      <w:pPr>
        <w:pStyle w:val="ListParagraph"/>
        <w:numPr>
          <w:ilvl w:val="0"/>
          <w:numId w:val="1"/>
        </w:numPr>
      </w:pPr>
      <w:r>
        <w:t>The poor engraftment following</w:t>
      </w:r>
      <w:r>
        <w:t xml:space="preserve"> </w:t>
      </w:r>
      <w:r>
        <w:t>depletion of donor T cells to prevent GVHD can be</w:t>
      </w:r>
      <w:r>
        <w:t xml:space="preserve"> </w:t>
      </w:r>
      <w:r>
        <w:t>reversed by increasing the dosage of CD34+ cells</w:t>
      </w:r>
    </w:p>
    <w:p w:rsidR="0066633F" w:rsidRDefault="0066633F" w:rsidP="0066633F">
      <w:pPr>
        <w:pStyle w:val="ListParagraph"/>
        <w:numPr>
          <w:ilvl w:val="0"/>
          <w:numId w:val="1"/>
        </w:numPr>
      </w:pPr>
      <w:r>
        <w:t>In veterinary medicine purified HSC are uncommon\</w:t>
      </w:r>
    </w:p>
    <w:p w:rsidR="0066633F" w:rsidRDefault="0066633F" w:rsidP="0066633F">
      <w:pPr>
        <w:pStyle w:val="ListParagraph"/>
        <w:numPr>
          <w:ilvl w:val="0"/>
          <w:numId w:val="1"/>
        </w:numPr>
      </w:pPr>
      <w:proofErr w:type="spellStart"/>
      <w:r>
        <w:t>Mesenchymal</w:t>
      </w:r>
      <w:proofErr w:type="spellEnd"/>
      <w:r>
        <w:t xml:space="preserve"> stromal cells are 100x less common in marrow than HSC</w:t>
      </w:r>
    </w:p>
    <w:p w:rsidR="0066633F" w:rsidRDefault="0066633F" w:rsidP="0066633F">
      <w:pPr>
        <w:pStyle w:val="ListParagraph"/>
        <w:numPr>
          <w:ilvl w:val="0"/>
          <w:numId w:val="1"/>
        </w:numPr>
      </w:pPr>
      <w:r>
        <w:t xml:space="preserve">They may have some </w:t>
      </w:r>
      <w:proofErr w:type="spellStart"/>
      <w:r>
        <w:t>immunomodulatory</w:t>
      </w:r>
      <w:proofErr w:type="spellEnd"/>
      <w:r>
        <w:t xml:space="preserve"> effects which enhance engraftment and are non-immunogenic</w:t>
      </w:r>
    </w:p>
    <w:p w:rsidR="0066633F" w:rsidRPr="00EF12FD" w:rsidRDefault="0066633F" w:rsidP="0066633F">
      <w:pPr>
        <w:rPr>
          <w:rFonts w:asciiTheme="majorHAnsi" w:hAnsiTheme="majorHAnsi"/>
          <w:sz w:val="28"/>
          <w:szCs w:val="28"/>
        </w:rPr>
      </w:pPr>
      <w:r w:rsidRPr="00EF12FD">
        <w:rPr>
          <w:rFonts w:asciiTheme="majorHAnsi" w:hAnsiTheme="majorHAnsi"/>
          <w:sz w:val="28"/>
          <w:szCs w:val="28"/>
        </w:rPr>
        <w:t>Sources</w:t>
      </w:r>
    </w:p>
    <w:p w:rsidR="0066633F" w:rsidRPr="00EF12FD" w:rsidRDefault="0066633F" w:rsidP="00EF12FD">
      <w:pPr>
        <w:ind w:firstLine="360"/>
        <w:rPr>
          <w:rFonts w:asciiTheme="majorHAnsi" w:hAnsiTheme="majorHAnsi"/>
        </w:rPr>
      </w:pPr>
      <w:r w:rsidRPr="00EF12FD">
        <w:rPr>
          <w:rFonts w:asciiTheme="majorHAnsi" w:hAnsiTheme="majorHAnsi"/>
        </w:rPr>
        <w:t>Bone Marrow</w:t>
      </w:r>
    </w:p>
    <w:p w:rsidR="0066633F" w:rsidRDefault="0066633F" w:rsidP="0066633F">
      <w:pPr>
        <w:pStyle w:val="ListParagraph"/>
        <w:numPr>
          <w:ilvl w:val="0"/>
          <w:numId w:val="1"/>
        </w:numPr>
      </w:pPr>
      <w:r>
        <w:t>Studies have shown that marrow derived HSCs have</w:t>
      </w:r>
      <w:r>
        <w:t xml:space="preserve"> </w:t>
      </w:r>
      <w:r>
        <w:t xml:space="preserve">superior proliferative and </w:t>
      </w:r>
      <w:proofErr w:type="spellStart"/>
      <w:r>
        <w:t>reconstitutive</w:t>
      </w:r>
      <w:proofErr w:type="spellEnd"/>
      <w:r>
        <w:t xml:space="preserve"> ability compared</w:t>
      </w:r>
      <w:r>
        <w:t xml:space="preserve"> </w:t>
      </w:r>
      <w:r>
        <w:t>with peripheral blood CD34+ cells, although</w:t>
      </w:r>
      <w:r>
        <w:t xml:space="preserve"> </w:t>
      </w:r>
      <w:r>
        <w:t>these differences do not a</w:t>
      </w:r>
      <w:r>
        <w:t>ppear to have clinical signifi</w:t>
      </w:r>
      <w:r>
        <w:t>cance</w:t>
      </w:r>
    </w:p>
    <w:p w:rsidR="0066633F" w:rsidRDefault="0066633F" w:rsidP="0066633F">
      <w:pPr>
        <w:pStyle w:val="ListParagraph"/>
        <w:numPr>
          <w:ilvl w:val="0"/>
          <w:numId w:val="1"/>
        </w:numPr>
      </w:pPr>
      <w:r>
        <w:t xml:space="preserve">Technically less demanding, no </w:t>
      </w:r>
      <w:proofErr w:type="spellStart"/>
      <w:r>
        <w:t>leukopharesis</w:t>
      </w:r>
      <w:proofErr w:type="spellEnd"/>
      <w:r w:rsidR="003973FC">
        <w:t xml:space="preserve"> required</w:t>
      </w:r>
    </w:p>
    <w:p w:rsidR="0066633F" w:rsidRPr="00EF12FD" w:rsidRDefault="0066633F" w:rsidP="00EF12FD">
      <w:pPr>
        <w:ind w:firstLine="360"/>
        <w:rPr>
          <w:rFonts w:asciiTheme="majorHAnsi" w:hAnsiTheme="majorHAnsi"/>
        </w:rPr>
      </w:pPr>
      <w:r w:rsidRPr="00EF12FD">
        <w:rPr>
          <w:rFonts w:asciiTheme="majorHAnsi" w:hAnsiTheme="majorHAnsi"/>
        </w:rPr>
        <w:lastRenderedPageBreak/>
        <w:t>Peripheral blood</w:t>
      </w:r>
    </w:p>
    <w:p w:rsidR="0066633F" w:rsidRDefault="001E7C49" w:rsidP="001E7C49">
      <w:pPr>
        <w:pStyle w:val="ListParagraph"/>
        <w:numPr>
          <w:ilvl w:val="0"/>
          <w:numId w:val="1"/>
        </w:numPr>
      </w:pPr>
      <w:r>
        <w:t>E</w:t>
      </w:r>
      <w:r>
        <w:t>xtravascular HSCs can</w:t>
      </w:r>
      <w:r>
        <w:t xml:space="preserve"> </w:t>
      </w:r>
      <w:r>
        <w:t>be mobilized into the blood with the use of hematopoietic</w:t>
      </w:r>
      <w:r>
        <w:t xml:space="preserve"> </w:t>
      </w:r>
      <w:r>
        <w:t>growth fact</w:t>
      </w:r>
      <w:r>
        <w:t>ors such as granulocyte colony</w:t>
      </w:r>
      <w:r>
        <w:t xml:space="preserve"> stimulating</w:t>
      </w:r>
      <w:r>
        <w:t xml:space="preserve"> </w:t>
      </w:r>
      <w:r>
        <w:t>factor and granulocyte macrophage</w:t>
      </w:r>
      <w:r w:rsidR="00CF2E83">
        <w:t xml:space="preserve"> </w:t>
      </w:r>
      <w:r>
        <w:t xml:space="preserve">colony stimulating factor </w:t>
      </w:r>
    </w:p>
    <w:p w:rsidR="00CF2E83" w:rsidRDefault="00CF2E83" w:rsidP="001E7C49">
      <w:pPr>
        <w:pStyle w:val="ListParagraph"/>
        <w:numPr>
          <w:ilvl w:val="0"/>
          <w:numId w:val="1"/>
        </w:numPr>
      </w:pPr>
      <w:r>
        <w:t>Advantage over bone marrow is easy accessibility of large volumes of blood</w:t>
      </w:r>
    </w:p>
    <w:p w:rsidR="00CF2E83" w:rsidRPr="00EF12FD" w:rsidRDefault="00CF2E83" w:rsidP="00EF12FD">
      <w:pPr>
        <w:ind w:firstLine="360"/>
        <w:rPr>
          <w:rFonts w:asciiTheme="majorHAnsi" w:hAnsiTheme="majorHAnsi"/>
        </w:rPr>
      </w:pPr>
      <w:r w:rsidRPr="00EF12FD">
        <w:rPr>
          <w:rFonts w:asciiTheme="majorHAnsi" w:hAnsiTheme="majorHAnsi"/>
        </w:rPr>
        <w:t>Umbilical Cord blood</w:t>
      </w:r>
    </w:p>
    <w:p w:rsidR="00CF2E83" w:rsidRDefault="00CF2E83" w:rsidP="00CF2E83">
      <w:pPr>
        <w:pStyle w:val="ListParagraph"/>
        <w:numPr>
          <w:ilvl w:val="0"/>
          <w:numId w:val="1"/>
        </w:numPr>
      </w:pPr>
      <w:r>
        <w:t>A possibility for veterinary medicine in the future</w:t>
      </w:r>
    </w:p>
    <w:p w:rsidR="00CF2E83" w:rsidRDefault="00CF2E83" w:rsidP="00CF2E83">
      <w:pPr>
        <w:pStyle w:val="ListParagraph"/>
        <w:numPr>
          <w:ilvl w:val="0"/>
          <w:numId w:val="1"/>
        </w:numPr>
      </w:pPr>
      <w:r>
        <w:t>Little research at this time in animals</w:t>
      </w:r>
    </w:p>
    <w:p w:rsidR="00CF2E83" w:rsidRPr="00EF12FD" w:rsidRDefault="00B72E3D" w:rsidP="00B72E3D">
      <w:pPr>
        <w:rPr>
          <w:rFonts w:asciiTheme="majorHAnsi" w:hAnsiTheme="majorHAnsi"/>
          <w:sz w:val="28"/>
          <w:szCs w:val="28"/>
        </w:rPr>
      </w:pPr>
      <w:r w:rsidRPr="00EF12FD">
        <w:rPr>
          <w:rFonts w:asciiTheme="majorHAnsi" w:hAnsiTheme="majorHAnsi"/>
          <w:sz w:val="28"/>
          <w:szCs w:val="28"/>
        </w:rPr>
        <w:t>Transplantation</w:t>
      </w:r>
    </w:p>
    <w:p w:rsidR="00B72E3D" w:rsidRDefault="00B72E3D" w:rsidP="00B72E3D">
      <w:pPr>
        <w:pStyle w:val="ListParagraph"/>
        <w:numPr>
          <w:ilvl w:val="0"/>
          <w:numId w:val="1"/>
        </w:numPr>
      </w:pPr>
      <w:r>
        <w:t xml:space="preserve">In allogeneic HSCT, a related </w:t>
      </w:r>
      <w:r>
        <w:t>leukocyte antigen</w:t>
      </w:r>
      <w:r>
        <w:t xml:space="preserve"> matched donor is</w:t>
      </w:r>
      <w:r>
        <w:t xml:space="preserve"> </w:t>
      </w:r>
      <w:r>
        <w:t>ideal</w:t>
      </w:r>
    </w:p>
    <w:p w:rsidR="00B72E3D" w:rsidRDefault="006401F2" w:rsidP="00B72E3D">
      <w:pPr>
        <w:pStyle w:val="ListParagraph"/>
        <w:numPr>
          <w:ilvl w:val="0"/>
          <w:numId w:val="1"/>
        </w:numPr>
      </w:pPr>
      <w:r>
        <w:t>Recipient conditioning aims to augment or facilitate engraftment and prevention of GVHD</w:t>
      </w:r>
    </w:p>
    <w:p w:rsidR="006401F2" w:rsidRDefault="006401F2" w:rsidP="00B72E3D">
      <w:pPr>
        <w:pStyle w:val="ListParagraph"/>
        <w:numPr>
          <w:ilvl w:val="0"/>
          <w:numId w:val="1"/>
        </w:numPr>
      </w:pPr>
      <w:r>
        <w:t>Recipients may receive full body radiation +/- chemotherapy</w:t>
      </w:r>
    </w:p>
    <w:p w:rsidR="006401F2" w:rsidRDefault="006401F2" w:rsidP="006401F2">
      <w:pPr>
        <w:pStyle w:val="ListParagraph"/>
        <w:numPr>
          <w:ilvl w:val="0"/>
          <w:numId w:val="1"/>
        </w:numPr>
      </w:pPr>
      <w:r>
        <w:t>The incidence of</w:t>
      </w:r>
      <w:r>
        <w:t xml:space="preserve"> </w:t>
      </w:r>
      <w:r>
        <w:t>GVHD has been decreased by augmenting a purine</w:t>
      </w:r>
      <w:r>
        <w:t xml:space="preserve"> </w:t>
      </w:r>
      <w:r>
        <w:t xml:space="preserve">inhibitor (e.g. </w:t>
      </w:r>
      <w:proofErr w:type="spellStart"/>
      <w:r>
        <w:t>mycophenolate</w:t>
      </w:r>
      <w:proofErr w:type="spellEnd"/>
      <w:r>
        <w:t xml:space="preserve"> </w:t>
      </w:r>
      <w:proofErr w:type="spellStart"/>
      <w:r>
        <w:t>mofetil</w:t>
      </w:r>
      <w:proofErr w:type="spellEnd"/>
      <w:r>
        <w:t>) with a T cell activation</w:t>
      </w:r>
      <w:r>
        <w:t xml:space="preserve"> </w:t>
      </w:r>
      <w:r>
        <w:t xml:space="preserve">inhibitor (e.g. </w:t>
      </w:r>
      <w:r>
        <w:t xml:space="preserve">cyclosporine) </w:t>
      </w:r>
    </w:p>
    <w:p w:rsidR="006401F2" w:rsidRDefault="006401F2" w:rsidP="006401F2">
      <w:pPr>
        <w:pStyle w:val="ListParagraph"/>
        <w:numPr>
          <w:ilvl w:val="0"/>
          <w:numId w:val="1"/>
        </w:numPr>
      </w:pPr>
      <w:r>
        <w:t>HSC are given intravenously as they naturally go to the marrow</w:t>
      </w:r>
    </w:p>
    <w:p w:rsidR="003973FC" w:rsidRDefault="003973FC" w:rsidP="003973FC">
      <w:pPr>
        <w:pStyle w:val="ListParagraph"/>
      </w:pPr>
    </w:p>
    <w:p w:rsidR="003973FC" w:rsidRDefault="003973FC" w:rsidP="003973FC">
      <w:pPr>
        <w:pStyle w:val="ListParagraph"/>
      </w:pPr>
    </w:p>
    <w:p w:rsidR="00EF12FD" w:rsidRDefault="001B6A00" w:rsidP="003973FC">
      <w:pPr>
        <w:pStyle w:val="ListParagraph"/>
      </w:pPr>
      <w:r>
        <w:rPr>
          <w:noProof/>
        </w:rPr>
        <w:drawing>
          <wp:inline distT="0" distB="0" distL="0" distR="0" wp14:anchorId="54DEAF68" wp14:editId="7DFC15B9">
            <wp:extent cx="4114800" cy="2676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234" w:rsidRDefault="00431234" w:rsidP="003973FC">
      <w:pPr>
        <w:pStyle w:val="ListParagraph"/>
      </w:pPr>
    </w:p>
    <w:p w:rsidR="00431234" w:rsidRDefault="00431234" w:rsidP="003973FC">
      <w:pPr>
        <w:pStyle w:val="ListParagraph"/>
      </w:pPr>
      <w:r>
        <w:t>Questions</w:t>
      </w:r>
    </w:p>
    <w:p w:rsidR="00431234" w:rsidRDefault="00431234" w:rsidP="00431234">
      <w:pPr>
        <w:pStyle w:val="ListParagraph"/>
        <w:numPr>
          <w:ilvl w:val="0"/>
          <w:numId w:val="2"/>
        </w:numPr>
      </w:pPr>
      <w:r>
        <w:t>What is the mechanism of action of cyclosporine</w:t>
      </w:r>
    </w:p>
    <w:p w:rsidR="00431234" w:rsidRPr="00B565BC" w:rsidRDefault="00D723D2" w:rsidP="00D723D2">
      <w:pPr>
        <w:pStyle w:val="ListParagraph"/>
        <w:numPr>
          <w:ilvl w:val="1"/>
          <w:numId w:val="2"/>
        </w:numPr>
        <w:rPr>
          <w:i/>
        </w:rPr>
      </w:pPr>
      <w:r w:rsidRPr="00B565BC">
        <w:rPr>
          <w:i/>
        </w:rPr>
        <w:t xml:space="preserve">Inhibits </w:t>
      </w:r>
      <w:proofErr w:type="spellStart"/>
      <w:r w:rsidRPr="00B565BC">
        <w:rPr>
          <w:i/>
        </w:rPr>
        <w:t>T</w:t>
      </w:r>
      <w:r w:rsidRPr="00B565BC">
        <w:rPr>
          <w:i/>
          <w:vertAlign w:val="subscript"/>
        </w:rPr>
        <w:t>h</w:t>
      </w:r>
      <w:proofErr w:type="spellEnd"/>
      <w:r w:rsidRPr="00B565BC">
        <w:rPr>
          <w:i/>
        </w:rPr>
        <w:t xml:space="preserve"> cells early in their immune response to antigenic stimuli</w:t>
      </w:r>
    </w:p>
    <w:p w:rsidR="00D723D2" w:rsidRDefault="00D723D2" w:rsidP="00D723D2">
      <w:pPr>
        <w:pStyle w:val="ListParagraph"/>
        <w:numPr>
          <w:ilvl w:val="1"/>
          <w:numId w:val="2"/>
        </w:numPr>
      </w:pPr>
      <w:r>
        <w:t>I</w:t>
      </w:r>
      <w:r>
        <w:t xml:space="preserve">nhibits </w:t>
      </w:r>
      <w:proofErr w:type="spellStart"/>
      <w:r>
        <w:t>dihydroorotate</w:t>
      </w:r>
      <w:proofErr w:type="spellEnd"/>
      <w:r>
        <w:t xml:space="preserve"> dehydrogenase, an enzyme responsible for the synthesis of pyrimidine</w:t>
      </w:r>
    </w:p>
    <w:p w:rsidR="00D723D2" w:rsidRDefault="00D723D2" w:rsidP="00D723D2">
      <w:pPr>
        <w:pStyle w:val="ListParagraph"/>
        <w:numPr>
          <w:ilvl w:val="1"/>
          <w:numId w:val="2"/>
        </w:numPr>
      </w:pPr>
      <w:r>
        <w:t>D</w:t>
      </w:r>
      <w:r w:rsidRPr="00D723D2">
        <w:t>ecreases the expression of or blocks Fc receptors on macrophages</w:t>
      </w:r>
    </w:p>
    <w:p w:rsidR="00D723D2" w:rsidRDefault="00D723D2" w:rsidP="00D723D2">
      <w:pPr>
        <w:pStyle w:val="ListParagraph"/>
        <w:numPr>
          <w:ilvl w:val="0"/>
          <w:numId w:val="2"/>
        </w:numPr>
      </w:pPr>
      <w:r>
        <w:t>Name the major breeds affected by pyruvate kinase deficiency</w:t>
      </w:r>
    </w:p>
    <w:p w:rsidR="00B565BC" w:rsidRDefault="00B565BC" w:rsidP="00B565BC">
      <w:pPr>
        <w:pStyle w:val="ListParagraph"/>
        <w:ind w:left="1080"/>
        <w:rPr>
          <w:i/>
        </w:rPr>
      </w:pPr>
      <w:r>
        <w:rPr>
          <w:i/>
        </w:rPr>
        <w:t>Basenjis, Beagles, WHWT, Cairn Terriers,</w:t>
      </w:r>
    </w:p>
    <w:p w:rsidR="00B565BC" w:rsidRPr="00B565BC" w:rsidRDefault="00B565BC" w:rsidP="00B565BC">
      <w:pPr>
        <w:pStyle w:val="ListParagraph"/>
        <w:ind w:left="1080"/>
        <w:rPr>
          <w:i/>
        </w:rPr>
      </w:pPr>
      <w:r>
        <w:rPr>
          <w:i/>
        </w:rPr>
        <w:t>Lab, Pug</w:t>
      </w:r>
      <w:bookmarkStart w:id="0" w:name="_GoBack"/>
      <w:bookmarkEnd w:id="0"/>
    </w:p>
    <w:p w:rsidR="00D723D2" w:rsidRDefault="00D723D2" w:rsidP="00D723D2">
      <w:pPr>
        <w:pStyle w:val="ListParagraph"/>
        <w:ind w:left="1080"/>
      </w:pPr>
    </w:p>
    <w:sectPr w:rsidR="00D723D2" w:rsidSect="004312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F60DD"/>
    <w:multiLevelType w:val="hybridMultilevel"/>
    <w:tmpl w:val="0DB075DA"/>
    <w:lvl w:ilvl="0" w:tplc="8DEC3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210B49"/>
    <w:multiLevelType w:val="hybridMultilevel"/>
    <w:tmpl w:val="AF48CB7A"/>
    <w:lvl w:ilvl="0" w:tplc="8B2C7BD8">
      <w:start w:val="1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D69"/>
    <w:rsid w:val="001B6A00"/>
    <w:rsid w:val="001E7C49"/>
    <w:rsid w:val="00291606"/>
    <w:rsid w:val="00325E4F"/>
    <w:rsid w:val="003973FC"/>
    <w:rsid w:val="00431234"/>
    <w:rsid w:val="004342E6"/>
    <w:rsid w:val="006401F2"/>
    <w:rsid w:val="0066633F"/>
    <w:rsid w:val="00672633"/>
    <w:rsid w:val="00792C70"/>
    <w:rsid w:val="00921D69"/>
    <w:rsid w:val="00B565BC"/>
    <w:rsid w:val="00B72E3D"/>
    <w:rsid w:val="00CF2E83"/>
    <w:rsid w:val="00D63B67"/>
    <w:rsid w:val="00D723D2"/>
    <w:rsid w:val="00E2047C"/>
    <w:rsid w:val="00EF12FD"/>
    <w:rsid w:val="00FA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C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C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4</cp:revision>
  <cp:lastPrinted>2012-11-27T08:25:00Z</cp:lastPrinted>
  <dcterms:created xsi:type="dcterms:W3CDTF">2012-11-27T08:09:00Z</dcterms:created>
  <dcterms:modified xsi:type="dcterms:W3CDTF">2012-11-27T08:26:00Z</dcterms:modified>
</cp:coreProperties>
</file>