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A86" w:rsidRDefault="00561AF4" w:rsidP="00561AF4">
      <w:pPr>
        <w:spacing w:after="0" w:line="240" w:lineRule="auto"/>
      </w:pPr>
      <w:r>
        <w:t>Respiratory Pharmacology</w:t>
      </w:r>
    </w:p>
    <w:p w:rsidR="00561AF4" w:rsidRDefault="00561AF4" w:rsidP="00561AF4">
      <w:pPr>
        <w:spacing w:after="0" w:line="240" w:lineRule="auto"/>
        <w:rPr>
          <w:b/>
        </w:rPr>
      </w:pPr>
    </w:p>
    <w:p w:rsidR="00561AF4" w:rsidRDefault="00B259E3" w:rsidP="00561AF4">
      <w:pPr>
        <w:spacing w:after="0" w:line="240" w:lineRule="auto"/>
        <w:rPr>
          <w:b/>
        </w:rPr>
      </w:pPr>
      <w:r>
        <w:rPr>
          <w:b/>
        </w:rPr>
        <w:t>LEUKOTRIENE INHIBITORS</w:t>
      </w:r>
    </w:p>
    <w:p w:rsidR="00561AF4" w:rsidRDefault="00561AF4" w:rsidP="00561AF4">
      <w:pPr>
        <w:spacing w:after="0" w:line="240" w:lineRule="auto"/>
      </w:pPr>
    </w:p>
    <w:p w:rsidR="00561AF4" w:rsidRPr="00561AF4" w:rsidRDefault="00561AF4" w:rsidP="00561AF4">
      <w:pPr>
        <w:spacing w:after="0" w:line="240" w:lineRule="auto"/>
        <w:rPr>
          <w:i/>
        </w:rPr>
      </w:pPr>
      <w:r w:rsidRPr="00561AF4">
        <w:rPr>
          <w:i/>
        </w:rPr>
        <w:t>Leukotriene receptor antagonists:</w:t>
      </w:r>
    </w:p>
    <w:p w:rsidR="00561AF4" w:rsidRDefault="00561AF4" w:rsidP="00561AF4">
      <w:pPr>
        <w:spacing w:after="0" w:line="240" w:lineRule="auto"/>
      </w:pPr>
      <w:r>
        <w:t>Zafirlukast (Accolate)</w:t>
      </w:r>
    </w:p>
    <w:p w:rsidR="00561AF4" w:rsidRDefault="00561AF4" w:rsidP="00561AF4">
      <w:pPr>
        <w:spacing w:after="0" w:line="240" w:lineRule="auto"/>
      </w:pPr>
      <w:r>
        <w:t>Montelukast (Singulair)</w:t>
      </w:r>
    </w:p>
    <w:p w:rsidR="00561AF4" w:rsidRDefault="00561AF4" w:rsidP="00561AF4">
      <w:pPr>
        <w:spacing w:after="0" w:line="240" w:lineRule="auto"/>
      </w:pPr>
    </w:p>
    <w:p w:rsidR="00561AF4" w:rsidRPr="00561AF4" w:rsidRDefault="00561AF4" w:rsidP="00561AF4">
      <w:pPr>
        <w:spacing w:after="0" w:line="240" w:lineRule="auto"/>
        <w:rPr>
          <w:i/>
        </w:rPr>
      </w:pPr>
      <w:r w:rsidRPr="00561AF4">
        <w:rPr>
          <w:i/>
        </w:rPr>
        <w:t>Leukotriene synthesis inhibitor:</w:t>
      </w:r>
    </w:p>
    <w:p w:rsidR="00561AF4" w:rsidRPr="00561AF4" w:rsidRDefault="00561AF4" w:rsidP="00561AF4">
      <w:pPr>
        <w:spacing w:after="0" w:line="240" w:lineRule="auto"/>
      </w:pPr>
      <w:r>
        <w:t>Zileuton (Zyflo)</w:t>
      </w:r>
    </w:p>
    <w:p w:rsidR="00561AF4" w:rsidRDefault="00561AF4"/>
    <w:p w:rsidR="00561AF4" w:rsidRPr="00B17E01" w:rsidRDefault="00B259E3" w:rsidP="00B17E01">
      <w:pPr>
        <w:spacing w:after="0" w:line="240" w:lineRule="auto"/>
        <w:rPr>
          <w:color w:val="000000" w:themeColor="text1"/>
        </w:rPr>
      </w:pPr>
      <w:r>
        <w:rPr>
          <w:color w:val="000000" w:themeColor="text1"/>
        </w:rPr>
        <w:t>•</w:t>
      </w:r>
      <w:r w:rsidR="00561AF4" w:rsidRPr="00B17E01">
        <w:rPr>
          <w:color w:val="000000" w:themeColor="text1"/>
        </w:rPr>
        <w:t xml:space="preserve">Leukotrienes are synthesized in the cell from </w:t>
      </w:r>
      <w:hyperlink r:id="rId5" w:tooltip="Arachidonic acid" w:history="1">
        <w:r w:rsidR="00561AF4" w:rsidRPr="00B17E01">
          <w:rPr>
            <w:rStyle w:val="Hyperlink"/>
            <w:color w:val="000000" w:themeColor="text1"/>
            <w:u w:val="none"/>
          </w:rPr>
          <w:t>arachidonic acid</w:t>
        </w:r>
      </w:hyperlink>
      <w:r w:rsidR="00561AF4" w:rsidRPr="00B17E01">
        <w:rPr>
          <w:color w:val="000000" w:themeColor="text1"/>
        </w:rPr>
        <w:t xml:space="preserve"> by </w:t>
      </w:r>
      <w:hyperlink r:id="rId6" w:tooltip="5-lipoxygenase" w:history="1">
        <w:r w:rsidR="00561AF4" w:rsidRPr="00B17E01">
          <w:rPr>
            <w:rStyle w:val="Hyperlink"/>
            <w:color w:val="000000" w:themeColor="text1"/>
            <w:u w:val="none"/>
          </w:rPr>
          <w:t>5-lipoxygenase</w:t>
        </w:r>
      </w:hyperlink>
    </w:p>
    <w:p w:rsidR="00561AF4" w:rsidRPr="00B17E01" w:rsidRDefault="00B259E3" w:rsidP="00B17E01">
      <w:pPr>
        <w:spacing w:after="0" w:line="240" w:lineRule="auto"/>
        <w:rPr>
          <w:color w:val="000000" w:themeColor="text1"/>
        </w:rPr>
      </w:pPr>
      <w:r>
        <w:rPr>
          <w:color w:val="000000" w:themeColor="text1"/>
        </w:rPr>
        <w:t>•</w:t>
      </w:r>
      <w:r w:rsidR="00561AF4" w:rsidRPr="00B17E01">
        <w:rPr>
          <w:color w:val="000000" w:themeColor="text1"/>
        </w:rPr>
        <w:t xml:space="preserve">The lipoxygenase pathway is active in </w:t>
      </w:r>
      <w:hyperlink r:id="rId7" w:tooltip="Leukocytes" w:history="1">
        <w:r w:rsidR="00561AF4" w:rsidRPr="00B17E01">
          <w:rPr>
            <w:rStyle w:val="Hyperlink"/>
            <w:color w:val="000000" w:themeColor="text1"/>
            <w:u w:val="none"/>
          </w:rPr>
          <w:t>leukocytes</w:t>
        </w:r>
      </w:hyperlink>
      <w:r w:rsidR="00561AF4" w:rsidRPr="00B17E01">
        <w:rPr>
          <w:color w:val="000000" w:themeColor="text1"/>
        </w:rPr>
        <w:t xml:space="preserve">, including </w:t>
      </w:r>
      <w:hyperlink r:id="rId8" w:tooltip="Mast cell" w:history="1">
        <w:r w:rsidR="00561AF4" w:rsidRPr="00B17E01">
          <w:rPr>
            <w:rStyle w:val="Hyperlink"/>
            <w:color w:val="000000" w:themeColor="text1"/>
            <w:u w:val="none"/>
          </w:rPr>
          <w:t>mast cells</w:t>
        </w:r>
      </w:hyperlink>
      <w:r w:rsidR="00561AF4" w:rsidRPr="00B17E01">
        <w:rPr>
          <w:color w:val="000000" w:themeColor="text1"/>
        </w:rPr>
        <w:t xml:space="preserve">, </w:t>
      </w:r>
      <w:hyperlink r:id="rId9" w:tooltip="Eosinophil" w:history="1">
        <w:r w:rsidR="00561AF4" w:rsidRPr="00B17E01">
          <w:rPr>
            <w:rStyle w:val="Hyperlink"/>
            <w:color w:val="000000" w:themeColor="text1"/>
            <w:u w:val="none"/>
          </w:rPr>
          <w:t>eosinophils</w:t>
        </w:r>
      </w:hyperlink>
      <w:r w:rsidR="00561AF4" w:rsidRPr="00B17E01">
        <w:rPr>
          <w:color w:val="000000" w:themeColor="text1"/>
        </w:rPr>
        <w:t xml:space="preserve">, </w:t>
      </w:r>
      <w:hyperlink r:id="rId10" w:tooltip="Neutrophil" w:history="1">
        <w:r w:rsidR="00561AF4" w:rsidRPr="00B17E01">
          <w:rPr>
            <w:rStyle w:val="Hyperlink"/>
            <w:color w:val="000000" w:themeColor="text1"/>
            <w:u w:val="none"/>
          </w:rPr>
          <w:t>neutrophils</w:t>
        </w:r>
      </w:hyperlink>
      <w:r w:rsidR="00561AF4" w:rsidRPr="00B17E01">
        <w:rPr>
          <w:color w:val="000000" w:themeColor="text1"/>
        </w:rPr>
        <w:t xml:space="preserve">, </w:t>
      </w:r>
      <w:hyperlink r:id="rId11" w:tooltip="Monocyte" w:history="1">
        <w:r w:rsidR="00561AF4" w:rsidRPr="00B17E01">
          <w:rPr>
            <w:rStyle w:val="Hyperlink"/>
            <w:color w:val="000000" w:themeColor="text1"/>
            <w:u w:val="none"/>
          </w:rPr>
          <w:t>monocytes</w:t>
        </w:r>
      </w:hyperlink>
      <w:r w:rsidR="00561AF4" w:rsidRPr="00B17E01">
        <w:rPr>
          <w:color w:val="000000" w:themeColor="text1"/>
        </w:rPr>
        <w:t xml:space="preserve">, and </w:t>
      </w:r>
      <w:hyperlink r:id="rId12" w:tooltip="Basophil" w:history="1">
        <w:r w:rsidR="00561AF4" w:rsidRPr="00B17E01">
          <w:rPr>
            <w:rStyle w:val="Hyperlink"/>
            <w:color w:val="000000" w:themeColor="text1"/>
            <w:u w:val="none"/>
          </w:rPr>
          <w:t>basophils</w:t>
        </w:r>
      </w:hyperlink>
    </w:p>
    <w:p w:rsidR="00B17E01" w:rsidRDefault="00B17E01" w:rsidP="00B17E01">
      <w:pPr>
        <w:spacing w:after="0" w:line="240" w:lineRule="auto"/>
        <w:rPr>
          <w:color w:val="000000" w:themeColor="text1"/>
        </w:rPr>
      </w:pPr>
      <w:r>
        <w:rPr>
          <w:rFonts w:cstheme="minorHAnsi"/>
          <w:color w:val="000000" w:themeColor="text1"/>
        </w:rPr>
        <w:t xml:space="preserve"> </w:t>
      </w:r>
      <w:r w:rsidR="00B259E3">
        <w:rPr>
          <w:color w:val="000000" w:themeColor="text1"/>
        </w:rPr>
        <w:t>•</w:t>
      </w:r>
      <w:r w:rsidR="00561AF4" w:rsidRPr="00B17E01">
        <w:rPr>
          <w:color w:val="000000" w:themeColor="text1"/>
        </w:rPr>
        <w:t xml:space="preserve">Leukotrienes act principally on a subfamily of </w:t>
      </w:r>
      <w:hyperlink r:id="rId13" w:tooltip="G protein-coupled receptor" w:history="1">
        <w:r w:rsidR="00561AF4" w:rsidRPr="00B17E01">
          <w:rPr>
            <w:rStyle w:val="Hyperlink"/>
            <w:color w:val="000000" w:themeColor="text1"/>
            <w:u w:val="none"/>
          </w:rPr>
          <w:t>G protein-coupled receptors</w:t>
        </w:r>
      </w:hyperlink>
      <w:r w:rsidR="00561AF4" w:rsidRPr="00B17E01">
        <w:rPr>
          <w:color w:val="000000" w:themeColor="text1"/>
        </w:rPr>
        <w:t xml:space="preserve">. They may also act upon </w:t>
      </w:r>
      <w:hyperlink r:id="rId14" w:tooltip="Peroxisome proliferator-activated receptor" w:history="1">
        <w:r w:rsidR="00561AF4" w:rsidRPr="00B17E01">
          <w:rPr>
            <w:rStyle w:val="Hyperlink"/>
            <w:color w:val="000000" w:themeColor="text1"/>
            <w:u w:val="none"/>
          </w:rPr>
          <w:t>peroxisome proliferator-activated receptors</w:t>
        </w:r>
      </w:hyperlink>
      <w:r w:rsidR="00561AF4" w:rsidRPr="00B17E01">
        <w:rPr>
          <w:color w:val="000000" w:themeColor="text1"/>
        </w:rPr>
        <w:t xml:space="preserve"> </w:t>
      </w:r>
    </w:p>
    <w:p w:rsidR="00561AF4" w:rsidRDefault="00B17E01" w:rsidP="00B17E01">
      <w:pPr>
        <w:spacing w:after="0" w:line="240" w:lineRule="auto"/>
        <w:rPr>
          <w:color w:val="000000" w:themeColor="text1"/>
        </w:rPr>
      </w:pPr>
      <w:r>
        <w:rPr>
          <w:rFonts w:cstheme="minorHAnsi"/>
          <w:color w:val="000000" w:themeColor="text1"/>
        </w:rPr>
        <w:t xml:space="preserve"> </w:t>
      </w:r>
      <w:r w:rsidR="00B259E3">
        <w:rPr>
          <w:color w:val="000000" w:themeColor="text1"/>
        </w:rPr>
        <w:t>•</w:t>
      </w:r>
      <w:r w:rsidR="00561AF4" w:rsidRPr="00B17E01">
        <w:rPr>
          <w:color w:val="000000" w:themeColor="text1"/>
        </w:rPr>
        <w:t>Leukotrienes are involved in asthmatic and allergic reactions and act to sustain inflammatory</w:t>
      </w:r>
      <w:r>
        <w:rPr>
          <w:color w:val="000000" w:themeColor="text1"/>
        </w:rPr>
        <w:t xml:space="preserve"> reactions</w:t>
      </w:r>
    </w:p>
    <w:p w:rsidR="00B17E01" w:rsidRDefault="00B17E01" w:rsidP="00B17E01">
      <w:pPr>
        <w:spacing w:after="0" w:line="240" w:lineRule="auto"/>
        <w:rPr>
          <w:color w:val="000000" w:themeColor="text1"/>
        </w:rPr>
      </w:pPr>
      <w:r>
        <w:rPr>
          <w:rFonts w:cstheme="minorHAnsi"/>
          <w:color w:val="000000" w:themeColor="text1"/>
        </w:rPr>
        <w:t xml:space="preserve"> </w:t>
      </w:r>
      <w:r w:rsidR="00B259E3">
        <w:rPr>
          <w:color w:val="000000" w:themeColor="text1"/>
        </w:rPr>
        <w:t>•</w:t>
      </w:r>
      <w:r>
        <w:rPr>
          <w:color w:val="000000" w:themeColor="text1"/>
        </w:rPr>
        <w:t xml:space="preserve">In humans: </w:t>
      </w:r>
    </w:p>
    <w:p w:rsidR="00B17E01" w:rsidRDefault="00B17E01" w:rsidP="00B17E01">
      <w:pPr>
        <w:spacing w:after="0" w:line="240" w:lineRule="auto"/>
        <w:ind w:firstLine="720"/>
        <w:rPr>
          <w:color w:val="000000" w:themeColor="text1"/>
        </w:rPr>
      </w:pPr>
      <w:r>
        <w:rPr>
          <w:color w:val="000000" w:themeColor="text1"/>
        </w:rPr>
        <w:t>Constrict bronchial smooth muscle</w:t>
      </w:r>
    </w:p>
    <w:p w:rsidR="00B17E01" w:rsidRDefault="00B17E01" w:rsidP="00B17E01">
      <w:pPr>
        <w:spacing w:after="0" w:line="240" w:lineRule="auto"/>
        <w:ind w:firstLine="720"/>
        <w:rPr>
          <w:color w:val="000000" w:themeColor="text1"/>
        </w:rPr>
      </w:pPr>
      <w:r>
        <w:rPr>
          <w:color w:val="000000" w:themeColor="text1"/>
        </w:rPr>
        <w:t>Impair mucociliary transport</w:t>
      </w:r>
    </w:p>
    <w:p w:rsidR="00B17E01" w:rsidRDefault="00B17E01" w:rsidP="00B17E01">
      <w:pPr>
        <w:spacing w:after="0" w:line="240" w:lineRule="auto"/>
        <w:ind w:firstLine="720"/>
        <w:rPr>
          <w:color w:val="000000" w:themeColor="text1"/>
        </w:rPr>
      </w:pPr>
      <w:r>
        <w:rPr>
          <w:color w:val="000000" w:themeColor="text1"/>
        </w:rPr>
        <w:t>Enhance mucus release</w:t>
      </w:r>
    </w:p>
    <w:p w:rsidR="00B17E01" w:rsidRDefault="00B17E01" w:rsidP="00B17E01">
      <w:pPr>
        <w:spacing w:after="0" w:line="240" w:lineRule="auto"/>
        <w:ind w:firstLine="720"/>
        <w:rPr>
          <w:color w:val="000000" w:themeColor="text1"/>
        </w:rPr>
      </w:pPr>
      <w:r>
        <w:rPr>
          <w:color w:val="000000" w:themeColor="text1"/>
        </w:rPr>
        <w:t>Potentiate inflammatory cell influx</w:t>
      </w:r>
    </w:p>
    <w:p w:rsidR="00B17E01" w:rsidRDefault="00B17E01" w:rsidP="00B17E01">
      <w:pPr>
        <w:spacing w:after="0" w:line="240" w:lineRule="auto"/>
        <w:ind w:firstLine="720"/>
        <w:rPr>
          <w:color w:val="000000" w:themeColor="text1"/>
        </w:rPr>
      </w:pPr>
      <w:r>
        <w:rPr>
          <w:color w:val="000000" w:themeColor="text1"/>
        </w:rPr>
        <w:t>Increase vascular permeability</w:t>
      </w:r>
    </w:p>
    <w:p w:rsidR="00D40930" w:rsidRDefault="00B17E01" w:rsidP="00D40930">
      <w:pPr>
        <w:spacing w:after="0" w:line="240" w:lineRule="auto"/>
        <w:ind w:firstLine="720"/>
        <w:rPr>
          <w:color w:val="000000" w:themeColor="text1"/>
        </w:rPr>
      </w:pPr>
      <w:r>
        <w:rPr>
          <w:color w:val="000000" w:themeColor="text1"/>
        </w:rPr>
        <w:t>Cause pr</w:t>
      </w:r>
      <w:r w:rsidR="00D40930">
        <w:rPr>
          <w:color w:val="000000" w:themeColor="text1"/>
        </w:rPr>
        <w:t>oliferation of smooth muscle</w:t>
      </w:r>
    </w:p>
    <w:p w:rsidR="00D40930" w:rsidRDefault="00D40930" w:rsidP="00D40930">
      <w:pPr>
        <w:spacing w:after="0" w:line="240" w:lineRule="auto"/>
        <w:rPr>
          <w:color w:val="000000" w:themeColor="text1"/>
        </w:rPr>
      </w:pPr>
    </w:p>
    <w:p w:rsidR="00D40930" w:rsidRDefault="00B259E3" w:rsidP="00D40930">
      <w:pPr>
        <w:spacing w:after="0" w:line="240" w:lineRule="auto"/>
        <w:rPr>
          <w:color w:val="000000" w:themeColor="text1"/>
        </w:rPr>
      </w:pPr>
      <w:r>
        <w:rPr>
          <w:color w:val="000000" w:themeColor="text1"/>
        </w:rPr>
        <w:t>•</w:t>
      </w:r>
      <w:r w:rsidR="00D40930">
        <w:rPr>
          <w:color w:val="000000" w:themeColor="text1"/>
        </w:rPr>
        <w:t>Clinical recommendations</w:t>
      </w:r>
    </w:p>
    <w:p w:rsidR="00D40930" w:rsidRPr="00145121" w:rsidRDefault="00D40930" w:rsidP="00D40930">
      <w:pPr>
        <w:spacing w:after="0" w:line="240" w:lineRule="auto"/>
        <w:rPr>
          <w:b/>
          <w:color w:val="000000" w:themeColor="text1"/>
        </w:rPr>
      </w:pPr>
      <w:r w:rsidRPr="00145121">
        <w:rPr>
          <w:b/>
          <w:color w:val="000000" w:themeColor="text1"/>
        </w:rPr>
        <w:t>Humans:</w:t>
      </w:r>
    </w:p>
    <w:p w:rsidR="00D40930" w:rsidRDefault="00D40930" w:rsidP="00D40930">
      <w:pPr>
        <w:spacing w:after="0" w:line="240" w:lineRule="auto"/>
        <w:rPr>
          <w:color w:val="000000" w:themeColor="text1"/>
        </w:rPr>
      </w:pPr>
      <w:r>
        <w:rPr>
          <w:color w:val="000000" w:themeColor="text1"/>
        </w:rPr>
        <w:t>Are effective in the treatment of asthma but are less effective than inhaled corticosteroids</w:t>
      </w:r>
    </w:p>
    <w:p w:rsidR="00D40930" w:rsidRDefault="00D40930" w:rsidP="00D40930">
      <w:pPr>
        <w:spacing w:after="0" w:line="240" w:lineRule="auto"/>
        <w:rPr>
          <w:color w:val="000000" w:themeColor="text1"/>
        </w:rPr>
      </w:pPr>
      <w:r>
        <w:rPr>
          <w:color w:val="000000" w:themeColor="text1"/>
        </w:rPr>
        <w:t>Are less effective than long-acting beta</w:t>
      </w:r>
      <w:r w:rsidRPr="00D40930">
        <w:rPr>
          <w:color w:val="000000" w:themeColor="text1"/>
          <w:vertAlign w:val="subscript"/>
        </w:rPr>
        <w:t>2</w:t>
      </w:r>
      <w:r>
        <w:rPr>
          <w:color w:val="000000" w:themeColor="text1"/>
        </w:rPr>
        <w:t xml:space="preserve"> agonists when added to inhaled steroids in the treatment of asthma</w:t>
      </w:r>
    </w:p>
    <w:p w:rsidR="00D40930" w:rsidRDefault="00145121" w:rsidP="00D40930">
      <w:pPr>
        <w:spacing w:after="0" w:line="240" w:lineRule="auto"/>
        <w:rPr>
          <w:color w:val="000000" w:themeColor="text1"/>
        </w:rPr>
      </w:pPr>
      <w:r>
        <w:rPr>
          <w:color w:val="000000" w:themeColor="text1"/>
        </w:rPr>
        <w:t>Can be of benefit in children with asthma when oral therapy is preferred over inhalers</w:t>
      </w:r>
    </w:p>
    <w:p w:rsidR="00145121" w:rsidRDefault="006F0A32" w:rsidP="00D40930">
      <w:pPr>
        <w:spacing w:after="0" w:line="240" w:lineRule="auto"/>
        <w:rPr>
          <w:color w:val="000000" w:themeColor="text1"/>
        </w:rPr>
      </w:pPr>
      <w:r>
        <w:rPr>
          <w:color w:val="000000" w:themeColor="text1"/>
        </w:rPr>
        <w:t>Well tolerated with minimal side effects</w:t>
      </w:r>
    </w:p>
    <w:p w:rsidR="006F0A32" w:rsidRDefault="006F0A32" w:rsidP="00D40930">
      <w:pPr>
        <w:spacing w:after="0" w:line="240" w:lineRule="auto"/>
        <w:rPr>
          <w:color w:val="000000" w:themeColor="text1"/>
        </w:rPr>
      </w:pPr>
    </w:p>
    <w:p w:rsidR="00145121" w:rsidRPr="00145121" w:rsidRDefault="00145121" w:rsidP="00D40930">
      <w:pPr>
        <w:spacing w:after="0" w:line="240" w:lineRule="auto"/>
        <w:rPr>
          <w:b/>
          <w:color w:val="000000" w:themeColor="text1"/>
        </w:rPr>
      </w:pPr>
      <w:r w:rsidRPr="00145121">
        <w:rPr>
          <w:b/>
          <w:color w:val="000000" w:themeColor="text1"/>
        </w:rPr>
        <w:t>Cats:</w:t>
      </w:r>
    </w:p>
    <w:p w:rsidR="00145121" w:rsidRDefault="00145121" w:rsidP="00D40930">
      <w:pPr>
        <w:spacing w:after="0" w:line="240" w:lineRule="auto"/>
        <w:rPr>
          <w:color w:val="000000" w:themeColor="text1"/>
        </w:rPr>
      </w:pPr>
      <w:r>
        <w:rPr>
          <w:color w:val="000000" w:themeColor="text1"/>
        </w:rPr>
        <w:t xml:space="preserve">Reinero CR, Decile KC et al. Effects of drug treatment on inflammation and hyperreactivity of airways and on immune variables in cats with experimentally induced asthma.  </w:t>
      </w:r>
      <w:r>
        <w:rPr>
          <w:i/>
          <w:color w:val="000000" w:themeColor="text1"/>
        </w:rPr>
        <w:t>Am J Vet Res</w:t>
      </w:r>
      <w:r>
        <w:rPr>
          <w:color w:val="000000" w:themeColor="text1"/>
        </w:rPr>
        <w:t xml:space="preserve"> 2005;66:1121-27</w:t>
      </w:r>
    </w:p>
    <w:p w:rsidR="00145121" w:rsidRDefault="00145121" w:rsidP="00D40930">
      <w:pPr>
        <w:spacing w:after="0" w:line="240" w:lineRule="auto"/>
        <w:rPr>
          <w:color w:val="000000" w:themeColor="text1"/>
        </w:rPr>
      </w:pPr>
    </w:p>
    <w:p w:rsidR="003634EC" w:rsidRDefault="00145121" w:rsidP="00D40930">
      <w:pPr>
        <w:spacing w:after="0" w:line="240" w:lineRule="auto"/>
        <w:rPr>
          <w:color w:val="000000" w:themeColor="text1"/>
        </w:rPr>
      </w:pPr>
      <w:r>
        <w:rPr>
          <w:color w:val="000000" w:themeColor="text1"/>
        </w:rPr>
        <w:t>Zafirlukast</w:t>
      </w:r>
    </w:p>
    <w:p w:rsidR="003634EC" w:rsidRPr="003634EC" w:rsidRDefault="003634EC" w:rsidP="003634EC">
      <w:pPr>
        <w:pStyle w:val="ListParagraph"/>
        <w:numPr>
          <w:ilvl w:val="0"/>
          <w:numId w:val="1"/>
        </w:numPr>
        <w:spacing w:after="0" w:line="240" w:lineRule="auto"/>
        <w:rPr>
          <w:color w:val="000000" w:themeColor="text1"/>
        </w:rPr>
      </w:pPr>
      <w:r w:rsidRPr="003634EC">
        <w:rPr>
          <w:color w:val="000000" w:themeColor="text1"/>
        </w:rPr>
        <w:t>Did not significantly alter the BALF eosinophil percentages, airway responsiveness or serum allergen-specific IgE concentrations of artificially sensitized cats.</w:t>
      </w:r>
    </w:p>
    <w:p w:rsidR="00145121" w:rsidRPr="003634EC" w:rsidRDefault="003634EC" w:rsidP="003634EC">
      <w:pPr>
        <w:pStyle w:val="ListParagraph"/>
        <w:numPr>
          <w:ilvl w:val="0"/>
          <w:numId w:val="1"/>
        </w:numPr>
        <w:spacing w:after="0" w:line="240" w:lineRule="auto"/>
        <w:rPr>
          <w:color w:val="000000" w:themeColor="text1"/>
        </w:rPr>
      </w:pPr>
      <w:r w:rsidRPr="003634EC">
        <w:rPr>
          <w:color w:val="000000" w:themeColor="text1"/>
        </w:rPr>
        <w:t>N</w:t>
      </w:r>
      <w:r w:rsidR="00145121" w:rsidRPr="003634EC">
        <w:rPr>
          <w:color w:val="000000" w:themeColor="text1"/>
        </w:rPr>
        <w:t>o difference in inflammatory parameters compared with placebo.</w:t>
      </w:r>
    </w:p>
    <w:p w:rsidR="00145121" w:rsidRPr="003634EC" w:rsidRDefault="00145121" w:rsidP="003634EC">
      <w:pPr>
        <w:pStyle w:val="ListParagraph"/>
        <w:numPr>
          <w:ilvl w:val="0"/>
          <w:numId w:val="1"/>
        </w:numPr>
        <w:spacing w:after="0" w:line="240" w:lineRule="auto"/>
        <w:rPr>
          <w:color w:val="000000" w:themeColor="text1"/>
        </w:rPr>
      </w:pPr>
      <w:r w:rsidRPr="003634EC">
        <w:rPr>
          <w:color w:val="000000" w:themeColor="text1"/>
        </w:rPr>
        <w:t>Unlikely to be valuable in the treatment of asthma when used as the sole therapeutic</w:t>
      </w:r>
    </w:p>
    <w:p w:rsidR="00145121" w:rsidRPr="00145121" w:rsidRDefault="00145121" w:rsidP="00D40930">
      <w:pPr>
        <w:spacing w:after="0" w:line="240" w:lineRule="auto"/>
        <w:rPr>
          <w:color w:val="000000" w:themeColor="text1"/>
        </w:rPr>
      </w:pPr>
    </w:p>
    <w:p w:rsidR="006D3AF0" w:rsidRDefault="006D3AF0" w:rsidP="00D40930">
      <w:pPr>
        <w:spacing w:after="0" w:line="240" w:lineRule="auto"/>
        <w:rPr>
          <w:b/>
          <w:color w:val="000000" w:themeColor="text1"/>
        </w:rPr>
      </w:pPr>
    </w:p>
    <w:p w:rsidR="006D3AF0" w:rsidRDefault="006D3AF0" w:rsidP="00D40930">
      <w:pPr>
        <w:spacing w:after="0" w:line="240" w:lineRule="auto"/>
        <w:rPr>
          <w:b/>
          <w:color w:val="000000" w:themeColor="text1"/>
        </w:rPr>
      </w:pPr>
    </w:p>
    <w:p w:rsidR="006D3AF0" w:rsidRDefault="006D3AF0" w:rsidP="00D40930">
      <w:pPr>
        <w:spacing w:after="0" w:line="240" w:lineRule="auto"/>
        <w:rPr>
          <w:b/>
          <w:color w:val="000000" w:themeColor="text1"/>
        </w:rPr>
      </w:pPr>
    </w:p>
    <w:p w:rsidR="006D3AF0" w:rsidRDefault="006D3AF0" w:rsidP="00D40930">
      <w:pPr>
        <w:spacing w:after="0" w:line="240" w:lineRule="auto"/>
        <w:rPr>
          <w:b/>
          <w:color w:val="000000" w:themeColor="text1"/>
        </w:rPr>
      </w:pPr>
    </w:p>
    <w:p w:rsidR="00145121" w:rsidRDefault="00B259E3" w:rsidP="00D40930">
      <w:pPr>
        <w:spacing w:after="0" w:line="240" w:lineRule="auto"/>
        <w:rPr>
          <w:b/>
          <w:color w:val="000000" w:themeColor="text1"/>
        </w:rPr>
      </w:pPr>
      <w:r>
        <w:rPr>
          <w:b/>
          <w:color w:val="000000" w:themeColor="text1"/>
        </w:rPr>
        <w:lastRenderedPageBreak/>
        <w:t>CROMOLYN</w:t>
      </w:r>
    </w:p>
    <w:p w:rsidR="008966E0" w:rsidRDefault="002059D3" w:rsidP="00D40930">
      <w:pPr>
        <w:spacing w:after="0" w:line="240" w:lineRule="auto"/>
        <w:rPr>
          <w:color w:val="000000" w:themeColor="text1"/>
        </w:rPr>
      </w:pPr>
      <w:r>
        <w:rPr>
          <w:color w:val="000000" w:themeColor="text1"/>
        </w:rPr>
        <w:t>Cromogli</w:t>
      </w:r>
      <w:r w:rsidR="008966E0">
        <w:rPr>
          <w:color w:val="000000" w:themeColor="text1"/>
        </w:rPr>
        <w:t>cic acid</w:t>
      </w:r>
    </w:p>
    <w:p w:rsidR="008966E0" w:rsidRDefault="008966E0" w:rsidP="00D40930">
      <w:pPr>
        <w:spacing w:after="0" w:line="240" w:lineRule="auto"/>
        <w:rPr>
          <w:bCs/>
        </w:rPr>
      </w:pPr>
      <w:r w:rsidRPr="008966E0">
        <w:rPr>
          <w:bCs/>
        </w:rPr>
        <w:t>Sodium cromoglicate</w:t>
      </w:r>
      <w:r w:rsidRPr="008966E0">
        <w:t xml:space="preserve"> or </w:t>
      </w:r>
      <w:r w:rsidRPr="008966E0">
        <w:rPr>
          <w:bCs/>
        </w:rPr>
        <w:t>cromolyn sodium</w:t>
      </w:r>
    </w:p>
    <w:p w:rsidR="008966E0" w:rsidRDefault="008966E0" w:rsidP="00D40930">
      <w:pPr>
        <w:spacing w:after="0" w:line="240" w:lineRule="auto"/>
        <w:rPr>
          <w:bCs/>
        </w:rPr>
      </w:pPr>
    </w:p>
    <w:p w:rsidR="002059D3" w:rsidRDefault="008C4D9F" w:rsidP="002059D3">
      <w:pPr>
        <w:spacing w:after="0" w:line="240" w:lineRule="auto"/>
        <w:rPr>
          <w:color w:val="000000" w:themeColor="text1"/>
        </w:rPr>
      </w:pPr>
      <w:r>
        <w:rPr>
          <w:rFonts w:cstheme="minorHAnsi"/>
          <w:color w:val="000000" w:themeColor="text1"/>
        </w:rPr>
        <w:t xml:space="preserve"> </w:t>
      </w:r>
      <w:r w:rsidR="00B259E3">
        <w:rPr>
          <w:color w:val="000000" w:themeColor="text1"/>
        </w:rPr>
        <w:t>•</w:t>
      </w:r>
      <w:r w:rsidR="002059D3" w:rsidRPr="002059D3">
        <w:rPr>
          <w:color w:val="000000" w:themeColor="text1"/>
        </w:rPr>
        <w:t xml:space="preserve">The underlying </w:t>
      </w:r>
      <w:hyperlink r:id="rId15" w:tooltip="Mechanism of action" w:history="1">
        <w:r w:rsidR="002059D3" w:rsidRPr="002059D3">
          <w:rPr>
            <w:rStyle w:val="Hyperlink"/>
            <w:color w:val="000000" w:themeColor="text1"/>
            <w:u w:val="none"/>
          </w:rPr>
          <w:t>mechanism of action</w:t>
        </w:r>
      </w:hyperlink>
      <w:r w:rsidR="002059D3" w:rsidRPr="002059D3">
        <w:rPr>
          <w:color w:val="000000" w:themeColor="text1"/>
        </w:rPr>
        <w:t xml:space="preserve"> is not fully understood</w:t>
      </w:r>
      <w:r w:rsidR="002059D3">
        <w:rPr>
          <w:color w:val="000000" w:themeColor="text1"/>
        </w:rPr>
        <w:t>:</w:t>
      </w:r>
    </w:p>
    <w:p w:rsidR="002059D3" w:rsidRPr="002059D3" w:rsidRDefault="002059D3" w:rsidP="002059D3">
      <w:pPr>
        <w:pStyle w:val="ListParagraph"/>
        <w:numPr>
          <w:ilvl w:val="0"/>
          <w:numId w:val="1"/>
        </w:numPr>
        <w:spacing w:after="0" w:line="240" w:lineRule="auto"/>
        <w:rPr>
          <w:bCs/>
          <w:color w:val="000000" w:themeColor="text1"/>
        </w:rPr>
      </w:pPr>
      <w:r w:rsidRPr="002059D3">
        <w:rPr>
          <w:color w:val="000000" w:themeColor="text1"/>
        </w:rPr>
        <w:t xml:space="preserve">It is known to somewhat inhibit </w:t>
      </w:r>
      <w:hyperlink r:id="rId16" w:tooltip="Chloride channels" w:history="1">
        <w:r w:rsidRPr="002059D3">
          <w:rPr>
            <w:rStyle w:val="Hyperlink"/>
            <w:color w:val="000000" w:themeColor="text1"/>
            <w:u w:val="none"/>
          </w:rPr>
          <w:t>chloride channels</w:t>
        </w:r>
      </w:hyperlink>
      <w:r w:rsidRPr="002059D3">
        <w:rPr>
          <w:color w:val="000000" w:themeColor="text1"/>
        </w:rPr>
        <w:t xml:space="preserve"> and thus </w:t>
      </w:r>
      <w:r w:rsidRPr="002059D3">
        <w:rPr>
          <w:i/>
          <w:iCs/>
          <w:color w:val="000000" w:themeColor="text1"/>
        </w:rPr>
        <w:t>may</w:t>
      </w:r>
      <w:r w:rsidRPr="002059D3">
        <w:rPr>
          <w:color w:val="000000" w:themeColor="text1"/>
        </w:rPr>
        <w:t xml:space="preserve"> inhibit the </w:t>
      </w:r>
      <w:r>
        <w:t xml:space="preserve">release of preformed </w:t>
      </w:r>
      <w:hyperlink r:id="rId17" w:tooltip="Cytokines" w:history="1">
        <w:r w:rsidRPr="002059D3">
          <w:rPr>
            <w:rStyle w:val="Hyperlink"/>
            <w:color w:val="000000" w:themeColor="text1"/>
            <w:u w:val="none"/>
          </w:rPr>
          <w:t>cytokines</w:t>
        </w:r>
      </w:hyperlink>
      <w:r w:rsidRPr="002059D3">
        <w:rPr>
          <w:color w:val="000000" w:themeColor="text1"/>
        </w:rPr>
        <w:t xml:space="preserve"> from several type of inflammatory cells (</w:t>
      </w:r>
      <w:hyperlink r:id="rId18" w:tooltip="T cell" w:history="1">
        <w:r w:rsidRPr="002059D3">
          <w:rPr>
            <w:rStyle w:val="Hyperlink"/>
            <w:color w:val="000000" w:themeColor="text1"/>
            <w:u w:val="none"/>
          </w:rPr>
          <w:t>T cells</w:t>
        </w:r>
      </w:hyperlink>
      <w:r w:rsidRPr="002059D3">
        <w:rPr>
          <w:color w:val="000000" w:themeColor="text1"/>
        </w:rPr>
        <w:t xml:space="preserve">, </w:t>
      </w:r>
      <w:hyperlink r:id="rId19" w:tooltip="Eosinophil granulocyte" w:history="1">
        <w:r w:rsidRPr="002059D3">
          <w:rPr>
            <w:rStyle w:val="Hyperlink"/>
            <w:color w:val="000000" w:themeColor="text1"/>
            <w:u w:val="none"/>
          </w:rPr>
          <w:t>eosinophils</w:t>
        </w:r>
      </w:hyperlink>
      <w:r w:rsidRPr="002059D3">
        <w:rPr>
          <w:color w:val="000000" w:themeColor="text1"/>
        </w:rPr>
        <w:t>) in allergen-induced asthma</w:t>
      </w:r>
    </w:p>
    <w:p w:rsidR="008966E0" w:rsidRPr="002059D3" w:rsidRDefault="008966E0" w:rsidP="002059D3">
      <w:pPr>
        <w:pStyle w:val="ListParagraph"/>
        <w:numPr>
          <w:ilvl w:val="0"/>
          <w:numId w:val="1"/>
        </w:numPr>
        <w:spacing w:after="0" w:line="240" w:lineRule="auto"/>
        <w:rPr>
          <w:color w:val="000000" w:themeColor="text1"/>
        </w:rPr>
      </w:pPr>
      <w:r w:rsidRPr="002059D3">
        <w:rPr>
          <w:bCs/>
        </w:rPr>
        <w:t xml:space="preserve">Mast cell stabilizer: </w:t>
      </w:r>
      <w:r w:rsidRPr="002059D3">
        <w:rPr>
          <w:color w:val="000000" w:themeColor="text1"/>
        </w:rPr>
        <w:t xml:space="preserve">prevents the release of </w:t>
      </w:r>
      <w:hyperlink r:id="rId20" w:tooltip="Inflammation" w:history="1">
        <w:r w:rsidRPr="002059D3">
          <w:rPr>
            <w:rStyle w:val="Hyperlink"/>
            <w:color w:val="000000" w:themeColor="text1"/>
            <w:u w:val="none"/>
          </w:rPr>
          <w:t>inflammatory</w:t>
        </w:r>
      </w:hyperlink>
      <w:r w:rsidRPr="002059D3">
        <w:rPr>
          <w:color w:val="000000" w:themeColor="text1"/>
        </w:rPr>
        <w:t xml:space="preserve"> chemicals such as </w:t>
      </w:r>
      <w:hyperlink r:id="rId21" w:tooltip="Histamine" w:history="1">
        <w:r w:rsidRPr="002059D3">
          <w:rPr>
            <w:rStyle w:val="Hyperlink"/>
            <w:color w:val="000000" w:themeColor="text1"/>
            <w:u w:val="none"/>
          </w:rPr>
          <w:t>histamine</w:t>
        </w:r>
      </w:hyperlink>
      <w:r w:rsidRPr="002059D3">
        <w:rPr>
          <w:color w:val="000000" w:themeColor="text1"/>
        </w:rPr>
        <w:t xml:space="preserve"> from </w:t>
      </w:r>
      <w:hyperlink r:id="rId22" w:tooltip="Mast cell" w:history="1">
        <w:r w:rsidRPr="002059D3">
          <w:rPr>
            <w:rStyle w:val="Hyperlink"/>
            <w:color w:val="000000" w:themeColor="text1"/>
            <w:u w:val="none"/>
          </w:rPr>
          <w:t>mast cells</w:t>
        </w:r>
      </w:hyperlink>
    </w:p>
    <w:p w:rsidR="002059D3" w:rsidRDefault="002059D3" w:rsidP="00D40930">
      <w:pPr>
        <w:spacing w:after="0" w:line="240" w:lineRule="auto"/>
        <w:rPr>
          <w:color w:val="000000" w:themeColor="text1"/>
        </w:rPr>
      </w:pPr>
    </w:p>
    <w:p w:rsidR="008966E0" w:rsidRDefault="008C4D9F" w:rsidP="00D40930">
      <w:pPr>
        <w:spacing w:after="0" w:line="240" w:lineRule="auto"/>
        <w:rPr>
          <w:color w:val="000000" w:themeColor="text1"/>
        </w:rPr>
      </w:pPr>
      <w:r>
        <w:rPr>
          <w:rFonts w:cstheme="minorHAnsi"/>
          <w:color w:val="000000" w:themeColor="text1"/>
        </w:rPr>
        <w:t xml:space="preserve"> </w:t>
      </w:r>
      <w:r w:rsidR="00B259E3">
        <w:rPr>
          <w:color w:val="000000" w:themeColor="text1"/>
        </w:rPr>
        <w:t>•</w:t>
      </w:r>
      <w:r w:rsidR="008966E0">
        <w:rPr>
          <w:color w:val="000000" w:themeColor="text1"/>
        </w:rPr>
        <w:t>Comes as nasal spray, nebulizer, inhaler, eye drops and oral solution</w:t>
      </w:r>
    </w:p>
    <w:p w:rsidR="008966E0" w:rsidRDefault="008966E0" w:rsidP="00D40930">
      <w:pPr>
        <w:spacing w:after="0" w:line="240" w:lineRule="auto"/>
        <w:rPr>
          <w:color w:val="000000" w:themeColor="text1"/>
        </w:rPr>
      </w:pPr>
    </w:p>
    <w:p w:rsidR="002059D3" w:rsidRDefault="00B259E3" w:rsidP="00D40930">
      <w:pPr>
        <w:spacing w:after="0" w:line="240" w:lineRule="auto"/>
        <w:rPr>
          <w:color w:val="000000" w:themeColor="text1"/>
        </w:rPr>
      </w:pPr>
      <w:r>
        <w:rPr>
          <w:color w:val="000000" w:themeColor="text1"/>
        </w:rPr>
        <w:t>•</w:t>
      </w:r>
      <w:r w:rsidR="00067EE6">
        <w:rPr>
          <w:color w:val="000000" w:themeColor="text1"/>
        </w:rPr>
        <w:t>Clinical recommendations</w:t>
      </w:r>
    </w:p>
    <w:p w:rsidR="00067EE6" w:rsidRPr="00067EE6" w:rsidRDefault="00067EE6" w:rsidP="00D40930">
      <w:pPr>
        <w:spacing w:after="0" w:line="240" w:lineRule="auto"/>
        <w:rPr>
          <w:b/>
          <w:color w:val="000000" w:themeColor="text1"/>
        </w:rPr>
      </w:pPr>
      <w:r w:rsidRPr="00067EE6">
        <w:rPr>
          <w:b/>
          <w:color w:val="000000" w:themeColor="text1"/>
        </w:rPr>
        <w:t>Humans:</w:t>
      </w:r>
    </w:p>
    <w:p w:rsidR="00067EE6" w:rsidRDefault="00067EE6" w:rsidP="00D40930">
      <w:pPr>
        <w:spacing w:after="0" w:line="240" w:lineRule="auto"/>
        <w:rPr>
          <w:color w:val="000000" w:themeColor="text1"/>
        </w:rPr>
      </w:pPr>
      <w:r>
        <w:rPr>
          <w:color w:val="000000" w:themeColor="text1"/>
        </w:rPr>
        <w:t xml:space="preserve">Should not be used as a first line medication in the treatment of asthma in children  </w:t>
      </w:r>
    </w:p>
    <w:p w:rsidR="00067EE6" w:rsidRDefault="00067EE6" w:rsidP="00D40930">
      <w:pPr>
        <w:spacing w:after="0" w:line="240" w:lineRule="auto"/>
        <w:rPr>
          <w:color w:val="000000" w:themeColor="text1"/>
        </w:rPr>
      </w:pPr>
      <w:r>
        <w:rPr>
          <w:color w:val="000000" w:themeColor="text1"/>
        </w:rPr>
        <w:t>Studies have compared to placebo but not inhaled steroids</w:t>
      </w:r>
    </w:p>
    <w:p w:rsidR="00067EE6" w:rsidRDefault="00067EE6" w:rsidP="00D40930">
      <w:pPr>
        <w:spacing w:after="0" w:line="240" w:lineRule="auto"/>
        <w:rPr>
          <w:color w:val="000000" w:themeColor="text1"/>
        </w:rPr>
      </w:pPr>
    </w:p>
    <w:p w:rsidR="00067EE6" w:rsidRPr="00067EE6" w:rsidRDefault="00067EE6" w:rsidP="00D40930">
      <w:pPr>
        <w:spacing w:after="0" w:line="240" w:lineRule="auto"/>
        <w:rPr>
          <w:b/>
          <w:color w:val="000000" w:themeColor="text1"/>
        </w:rPr>
      </w:pPr>
      <w:r w:rsidRPr="00067EE6">
        <w:rPr>
          <w:b/>
          <w:color w:val="000000" w:themeColor="text1"/>
        </w:rPr>
        <w:t>Veterinary:</w:t>
      </w:r>
    </w:p>
    <w:p w:rsidR="00067EE6" w:rsidRDefault="00067EE6" w:rsidP="00D40930">
      <w:pPr>
        <w:spacing w:after="0" w:line="240" w:lineRule="auto"/>
        <w:rPr>
          <w:color w:val="000000" w:themeColor="text1"/>
        </w:rPr>
      </w:pPr>
      <w:r>
        <w:rPr>
          <w:color w:val="000000" w:themeColor="text1"/>
        </w:rPr>
        <w:t>None</w:t>
      </w:r>
    </w:p>
    <w:p w:rsidR="00067EE6" w:rsidRDefault="00067EE6" w:rsidP="00D40930">
      <w:pPr>
        <w:spacing w:after="0" w:line="240" w:lineRule="auto"/>
        <w:rPr>
          <w:color w:val="000000" w:themeColor="text1"/>
        </w:rPr>
      </w:pPr>
    </w:p>
    <w:p w:rsidR="00067EE6" w:rsidRDefault="00B259E3" w:rsidP="00D40930">
      <w:pPr>
        <w:spacing w:after="0" w:line="240" w:lineRule="auto"/>
        <w:rPr>
          <w:b/>
          <w:color w:val="000000" w:themeColor="text1"/>
        </w:rPr>
      </w:pPr>
      <w:r>
        <w:rPr>
          <w:b/>
          <w:color w:val="000000" w:themeColor="text1"/>
        </w:rPr>
        <w:t>STEROIDS</w:t>
      </w:r>
    </w:p>
    <w:p w:rsidR="008C4D9F" w:rsidRPr="00525CB7" w:rsidRDefault="008C4D9F" w:rsidP="00D40930">
      <w:pPr>
        <w:spacing w:after="0" w:line="240" w:lineRule="auto"/>
        <w:rPr>
          <w:b/>
          <w:color w:val="000000" w:themeColor="text1"/>
        </w:rPr>
      </w:pPr>
      <w:r w:rsidRPr="00525CB7">
        <w:rPr>
          <w:b/>
          <w:color w:val="000000" w:themeColor="text1"/>
        </w:rPr>
        <w:t>Inhaled</w:t>
      </w:r>
    </w:p>
    <w:p w:rsidR="008C4D9F" w:rsidRDefault="00433279" w:rsidP="00D40930">
      <w:pPr>
        <w:spacing w:after="0" w:line="240" w:lineRule="auto"/>
        <w:rPr>
          <w:color w:val="000000" w:themeColor="text1"/>
        </w:rPr>
      </w:pPr>
      <w:r>
        <w:rPr>
          <w:color w:val="000000" w:themeColor="text1"/>
        </w:rPr>
        <w:t>Fluticasone proprionate (Flovent, Flonase)</w:t>
      </w:r>
    </w:p>
    <w:p w:rsidR="00433279" w:rsidRDefault="00433279" w:rsidP="00D40930">
      <w:pPr>
        <w:spacing w:after="0" w:line="240" w:lineRule="auto"/>
        <w:rPr>
          <w:color w:val="000000" w:themeColor="text1"/>
        </w:rPr>
      </w:pPr>
      <w:r>
        <w:rPr>
          <w:color w:val="000000" w:themeColor="text1"/>
        </w:rPr>
        <w:t>FP + salmeterol (</w:t>
      </w:r>
      <w:r w:rsidR="008A70E6">
        <w:rPr>
          <w:color w:val="000000" w:themeColor="text1"/>
        </w:rPr>
        <w:t>Advair)</w:t>
      </w:r>
    </w:p>
    <w:p w:rsidR="00433279" w:rsidRDefault="00433279" w:rsidP="00D40930">
      <w:pPr>
        <w:spacing w:after="0" w:line="240" w:lineRule="auto"/>
        <w:rPr>
          <w:color w:val="000000" w:themeColor="text1"/>
        </w:rPr>
      </w:pPr>
      <w:r>
        <w:rPr>
          <w:color w:val="000000" w:themeColor="text1"/>
        </w:rPr>
        <w:t>Flunisolide</w:t>
      </w:r>
      <w:r w:rsidR="00825064">
        <w:rPr>
          <w:color w:val="000000" w:themeColor="text1"/>
        </w:rPr>
        <w:t xml:space="preserve"> (Aerobid)</w:t>
      </w:r>
    </w:p>
    <w:p w:rsidR="00D04FB5" w:rsidRDefault="00D04FB5" w:rsidP="00D40930">
      <w:pPr>
        <w:spacing w:after="0" w:line="240" w:lineRule="auto"/>
        <w:rPr>
          <w:color w:val="000000" w:themeColor="text1"/>
        </w:rPr>
      </w:pPr>
    </w:p>
    <w:p w:rsidR="009B31E7" w:rsidRDefault="00A620B0" w:rsidP="00D40930">
      <w:pPr>
        <w:spacing w:after="0" w:line="240" w:lineRule="auto"/>
        <w:rPr>
          <w:b/>
        </w:rPr>
      </w:pPr>
      <w:r>
        <w:rPr>
          <w:b/>
        </w:rPr>
        <w:t>Pharmacology</w:t>
      </w:r>
    </w:p>
    <w:p w:rsidR="00A620B0" w:rsidRPr="00A620B0" w:rsidRDefault="00A620B0" w:rsidP="00D40930">
      <w:pPr>
        <w:spacing w:after="0" w:line="240" w:lineRule="auto"/>
        <w:rPr>
          <w:i/>
        </w:rPr>
      </w:pPr>
      <w:r>
        <w:rPr>
          <w:i/>
        </w:rPr>
        <w:t>Humans</w:t>
      </w:r>
    </w:p>
    <w:p w:rsidR="00525CB7" w:rsidRDefault="00B25D94" w:rsidP="00D40930">
      <w:pPr>
        <w:spacing w:after="0" w:line="240" w:lineRule="auto"/>
      </w:pPr>
      <w:r>
        <w:rPr>
          <w:color w:val="000000" w:themeColor="text1"/>
        </w:rPr>
        <w:t>•</w:t>
      </w:r>
      <w:r w:rsidR="009B31E7">
        <w:t>W</w:t>
      </w:r>
      <w:r w:rsidR="00525CB7">
        <w:t>hen fluticasone aerosol is administered via the lung, about 30% is absorbed into the systemic circulation</w:t>
      </w:r>
    </w:p>
    <w:p w:rsidR="00525CB7" w:rsidRDefault="00B25D94" w:rsidP="00D40930">
      <w:pPr>
        <w:spacing w:after="0" w:line="240" w:lineRule="auto"/>
        <w:rPr>
          <w:color w:val="000000" w:themeColor="text1"/>
        </w:rPr>
      </w:pPr>
      <w:r>
        <w:rPr>
          <w:color w:val="000000" w:themeColor="text1"/>
        </w:rPr>
        <w:t>•</w:t>
      </w:r>
      <w:r w:rsidR="00525CB7">
        <w:t>Fluticasone has an affinity 18X that of dexamethasone for human glucocorticoid receptors</w:t>
      </w:r>
    </w:p>
    <w:p w:rsidR="00525CB7" w:rsidRDefault="00525CB7" w:rsidP="00D40930">
      <w:pPr>
        <w:spacing w:after="0" w:line="240" w:lineRule="auto"/>
        <w:rPr>
          <w:color w:val="000000" w:themeColor="text1"/>
        </w:rPr>
      </w:pPr>
    </w:p>
    <w:p w:rsidR="00525CB7" w:rsidRPr="009B31E7" w:rsidRDefault="00525CB7" w:rsidP="00D40930">
      <w:pPr>
        <w:spacing w:after="0" w:line="240" w:lineRule="auto"/>
        <w:rPr>
          <w:b/>
          <w:color w:val="000000" w:themeColor="text1"/>
        </w:rPr>
      </w:pPr>
      <w:r w:rsidRPr="009B31E7">
        <w:rPr>
          <w:b/>
          <w:color w:val="000000" w:themeColor="text1"/>
        </w:rPr>
        <w:t>Adverse effects</w:t>
      </w:r>
    </w:p>
    <w:p w:rsidR="009B31E7" w:rsidRPr="00A620B0" w:rsidRDefault="009B31E7" w:rsidP="00D40930">
      <w:pPr>
        <w:spacing w:after="0" w:line="240" w:lineRule="auto"/>
        <w:rPr>
          <w:i/>
        </w:rPr>
      </w:pPr>
      <w:r w:rsidRPr="00A620B0">
        <w:rPr>
          <w:i/>
        </w:rPr>
        <w:t>Humans</w:t>
      </w:r>
    </w:p>
    <w:p w:rsidR="009B31E7" w:rsidRDefault="00B25D94" w:rsidP="00D40930">
      <w:pPr>
        <w:spacing w:after="0" w:line="240" w:lineRule="auto"/>
      </w:pPr>
      <w:r>
        <w:rPr>
          <w:color w:val="000000" w:themeColor="text1"/>
        </w:rPr>
        <w:t>•</w:t>
      </w:r>
      <w:r w:rsidR="009B31E7">
        <w:t>T</w:t>
      </w:r>
      <w:r w:rsidR="00525CB7">
        <w:t xml:space="preserve">he most likely adverse effects are pharyngitis and upper respiratory infections. </w:t>
      </w:r>
    </w:p>
    <w:p w:rsidR="009B31E7" w:rsidRDefault="00B25D94" w:rsidP="00D40930">
      <w:pPr>
        <w:spacing w:after="0" w:line="240" w:lineRule="auto"/>
      </w:pPr>
      <w:r>
        <w:rPr>
          <w:color w:val="000000" w:themeColor="text1"/>
        </w:rPr>
        <w:t>•</w:t>
      </w:r>
      <w:r w:rsidR="00525CB7">
        <w:t xml:space="preserve">While inhaled steroids generally cause significantly fewer adverse effects than injectable or oral therapy, suppression of the </w:t>
      </w:r>
      <w:r w:rsidR="009B31E7">
        <w:t>HPA axis can potentially occur</w:t>
      </w:r>
    </w:p>
    <w:p w:rsidR="009B31E7" w:rsidRDefault="00B25D94" w:rsidP="009B31E7">
      <w:pPr>
        <w:spacing w:after="0" w:line="240" w:lineRule="auto"/>
        <w:rPr>
          <w:color w:val="000000" w:themeColor="text1"/>
        </w:rPr>
      </w:pPr>
      <w:r>
        <w:rPr>
          <w:color w:val="000000" w:themeColor="text1"/>
        </w:rPr>
        <w:t>•</w:t>
      </w:r>
      <w:r w:rsidR="009B31E7">
        <w:t>Fluticasone is not useful for acute bronchospasm; cases of fluticasone-induced bronchospasm have been reported in humans.</w:t>
      </w:r>
    </w:p>
    <w:p w:rsidR="009B31E7" w:rsidRDefault="009B31E7" w:rsidP="00D40930">
      <w:pPr>
        <w:spacing w:after="0" w:line="240" w:lineRule="auto"/>
      </w:pPr>
    </w:p>
    <w:p w:rsidR="009B31E7" w:rsidRPr="00A620B0" w:rsidRDefault="009B31E7" w:rsidP="00D40930">
      <w:pPr>
        <w:spacing w:after="0" w:line="240" w:lineRule="auto"/>
        <w:rPr>
          <w:i/>
        </w:rPr>
      </w:pPr>
      <w:r w:rsidRPr="00A620B0">
        <w:rPr>
          <w:i/>
        </w:rPr>
        <w:t>Veterinary</w:t>
      </w:r>
    </w:p>
    <w:p w:rsidR="009B31E7" w:rsidRDefault="00B25D94" w:rsidP="00D40930">
      <w:pPr>
        <w:spacing w:after="0" w:line="240" w:lineRule="auto"/>
      </w:pPr>
      <w:r>
        <w:rPr>
          <w:color w:val="000000" w:themeColor="text1"/>
        </w:rPr>
        <w:t>•</w:t>
      </w:r>
      <w:r w:rsidR="009B31E7">
        <w:t>O</w:t>
      </w:r>
      <w:r w:rsidR="00525CB7">
        <w:t>ne study in cats using different concentrations of inhaled fluticasone, did not show any significant HPAA suppression at any of the doses used (Cohn</w:t>
      </w:r>
      <w:r w:rsidR="00525CB7">
        <w:rPr>
          <w:i/>
          <w:iCs/>
        </w:rPr>
        <w:t xml:space="preserve"> et al.</w:t>
      </w:r>
      <w:r w:rsidR="00525CB7">
        <w:t xml:space="preserve"> 2010). </w:t>
      </w:r>
    </w:p>
    <w:p w:rsidR="00C20BBF" w:rsidRDefault="00C20BBF" w:rsidP="00D40930">
      <w:pPr>
        <w:spacing w:after="0" w:line="240" w:lineRule="auto"/>
        <w:rPr>
          <w:color w:val="000000" w:themeColor="text1"/>
        </w:rPr>
      </w:pPr>
      <w:r>
        <w:rPr>
          <w:color w:val="000000" w:themeColor="text1"/>
        </w:rPr>
        <w:t>•(Leemans J et al 2011) Experimentally induced feline asthma model: compared effect of short-term oral and inhaled corticosteroids. High dose inhaled fluticasone proprionate +/- salmeterol (B2-agonist) was as effective as oral prednisolone (1 mg/kg BID) in controlling airway inflammation.</w:t>
      </w:r>
    </w:p>
    <w:p w:rsidR="009B31E7" w:rsidRDefault="00B25D94" w:rsidP="00D40930">
      <w:pPr>
        <w:spacing w:after="0" w:line="240" w:lineRule="auto"/>
      </w:pPr>
      <w:r>
        <w:rPr>
          <w:color w:val="000000" w:themeColor="text1"/>
        </w:rPr>
        <w:lastRenderedPageBreak/>
        <w:t>•</w:t>
      </w:r>
      <w:r w:rsidR="00525CB7">
        <w:t>When transferring patients from systemic steroid therapy to inhaled steroids, wean slowly off systemic therapy to avo</w:t>
      </w:r>
      <w:r w:rsidR="00A620B0">
        <w:t>id acute adrenal insufficiency</w:t>
      </w:r>
    </w:p>
    <w:p w:rsidR="009B31E7" w:rsidRDefault="00B25D94" w:rsidP="00D40930">
      <w:pPr>
        <w:spacing w:after="0" w:line="240" w:lineRule="auto"/>
      </w:pPr>
      <w:r>
        <w:rPr>
          <w:color w:val="000000" w:themeColor="text1"/>
        </w:rPr>
        <w:t>•</w:t>
      </w:r>
      <w:r w:rsidR="00525CB7">
        <w:t>Prepare to cover patients with additional steroid therapy during periods of acute stress, severe asthma attacks occurring during the withdrawal stage, or aft</w:t>
      </w:r>
      <w:r>
        <w:t>er transfer to inhaled steroids</w:t>
      </w:r>
      <w:r w:rsidR="00525CB7">
        <w:t xml:space="preserve"> </w:t>
      </w:r>
    </w:p>
    <w:p w:rsidR="009B31E7" w:rsidRDefault="009B31E7" w:rsidP="00D40930">
      <w:pPr>
        <w:spacing w:after="0" w:line="240" w:lineRule="auto"/>
      </w:pPr>
    </w:p>
    <w:p w:rsidR="00525CB7" w:rsidRPr="009B31E7" w:rsidRDefault="009B31E7" w:rsidP="00D40930">
      <w:pPr>
        <w:spacing w:after="0" w:line="240" w:lineRule="auto"/>
        <w:rPr>
          <w:b/>
          <w:color w:val="000000" w:themeColor="text1"/>
        </w:rPr>
      </w:pPr>
      <w:r>
        <w:rPr>
          <w:b/>
          <w:color w:val="000000" w:themeColor="text1"/>
        </w:rPr>
        <w:t>Dose</w:t>
      </w:r>
    </w:p>
    <w:p w:rsidR="00525CB7" w:rsidRDefault="00CF10CC" w:rsidP="00D40930">
      <w:pPr>
        <w:spacing w:after="0" w:line="240" w:lineRule="auto"/>
        <w:rPr>
          <w:i/>
          <w:color w:val="000000" w:themeColor="text1"/>
        </w:rPr>
      </w:pPr>
      <w:r>
        <w:rPr>
          <w:i/>
          <w:color w:val="000000" w:themeColor="text1"/>
        </w:rPr>
        <w:t>Cats</w:t>
      </w:r>
    </w:p>
    <w:p w:rsidR="00CF10CC" w:rsidRDefault="00CF10CC" w:rsidP="00D40930">
      <w:pPr>
        <w:spacing w:after="0" w:line="240" w:lineRule="auto"/>
      </w:pPr>
      <w:r>
        <w:t>44 micrograms/puff MDI: one puff twice daily</w:t>
      </w:r>
    </w:p>
    <w:p w:rsidR="00CF10CC" w:rsidRDefault="00CF10CC" w:rsidP="00D40930">
      <w:pPr>
        <w:spacing w:after="0" w:line="240" w:lineRule="auto"/>
      </w:pPr>
    </w:p>
    <w:p w:rsidR="00CF10CC" w:rsidRDefault="00CF10CC" w:rsidP="00D40930">
      <w:pPr>
        <w:spacing w:after="0" w:line="240" w:lineRule="auto"/>
        <w:rPr>
          <w:i/>
        </w:rPr>
      </w:pPr>
      <w:r>
        <w:rPr>
          <w:i/>
        </w:rPr>
        <w:t>Dogs</w:t>
      </w:r>
    </w:p>
    <w:p w:rsidR="00CF10CC" w:rsidRDefault="00CF10CC" w:rsidP="00D40930">
      <w:pPr>
        <w:spacing w:after="0" w:line="240" w:lineRule="auto"/>
      </w:pPr>
      <w:r>
        <w:t>220 micrograms/puff MDI: 2 puffs twice daily</w:t>
      </w:r>
    </w:p>
    <w:p w:rsidR="00CF10CC" w:rsidRPr="00CF10CC" w:rsidRDefault="00CF10CC" w:rsidP="00D40930">
      <w:pPr>
        <w:spacing w:after="0" w:line="240" w:lineRule="auto"/>
        <w:rPr>
          <w:color w:val="000000" w:themeColor="text1"/>
        </w:rPr>
      </w:pPr>
      <w:r>
        <w:t>110-220 micrograms/puff MDI: 1 puff twice daily</w:t>
      </w:r>
    </w:p>
    <w:p w:rsidR="00525CB7" w:rsidRDefault="00525CB7" w:rsidP="00D40930">
      <w:pPr>
        <w:spacing w:after="0" w:line="240" w:lineRule="auto"/>
        <w:rPr>
          <w:color w:val="000000" w:themeColor="text1"/>
        </w:rPr>
      </w:pPr>
    </w:p>
    <w:p w:rsidR="00D04FB5" w:rsidRDefault="00D04FB5" w:rsidP="00D40930">
      <w:pPr>
        <w:spacing w:after="0" w:line="240" w:lineRule="auto"/>
        <w:rPr>
          <w:color w:val="000000" w:themeColor="text1"/>
        </w:rPr>
      </w:pPr>
      <w:r>
        <w:rPr>
          <w:i/>
          <w:color w:val="000000" w:themeColor="text1"/>
        </w:rPr>
        <w:t>Oral</w:t>
      </w:r>
    </w:p>
    <w:tbl>
      <w:tblPr>
        <w:tblStyle w:val="TableGrid"/>
        <w:tblW w:w="0" w:type="auto"/>
        <w:tblLook w:val="04A0"/>
      </w:tblPr>
      <w:tblGrid>
        <w:gridCol w:w="3192"/>
        <w:gridCol w:w="3192"/>
        <w:gridCol w:w="3192"/>
      </w:tblGrid>
      <w:tr w:rsidR="00C41BA7" w:rsidTr="00C41BA7">
        <w:tc>
          <w:tcPr>
            <w:tcW w:w="3192" w:type="dxa"/>
          </w:tcPr>
          <w:p w:rsidR="00C41BA7" w:rsidRDefault="00C41BA7" w:rsidP="00C41BA7">
            <w:pPr>
              <w:jc w:val="center"/>
              <w:rPr>
                <w:color w:val="000000" w:themeColor="text1"/>
              </w:rPr>
            </w:pPr>
            <w:r>
              <w:rPr>
                <w:color w:val="000000" w:themeColor="text1"/>
              </w:rPr>
              <w:t>DRUG</w:t>
            </w:r>
          </w:p>
        </w:tc>
        <w:tc>
          <w:tcPr>
            <w:tcW w:w="3192" w:type="dxa"/>
          </w:tcPr>
          <w:p w:rsidR="00C41BA7" w:rsidRDefault="00C41BA7" w:rsidP="00C41BA7">
            <w:pPr>
              <w:jc w:val="center"/>
              <w:rPr>
                <w:color w:val="000000" w:themeColor="text1"/>
              </w:rPr>
            </w:pPr>
            <w:r>
              <w:rPr>
                <w:color w:val="000000" w:themeColor="text1"/>
              </w:rPr>
              <w:t>POTENCY</w:t>
            </w:r>
          </w:p>
        </w:tc>
        <w:tc>
          <w:tcPr>
            <w:tcW w:w="3192" w:type="dxa"/>
          </w:tcPr>
          <w:p w:rsidR="00C41BA7" w:rsidRDefault="00C41BA7" w:rsidP="00C41BA7">
            <w:pPr>
              <w:jc w:val="center"/>
              <w:rPr>
                <w:color w:val="000000" w:themeColor="text1"/>
              </w:rPr>
            </w:pPr>
            <w:r>
              <w:rPr>
                <w:color w:val="000000" w:themeColor="text1"/>
              </w:rPr>
              <w:t>DURATION OF ACTION</w:t>
            </w:r>
          </w:p>
        </w:tc>
      </w:tr>
      <w:tr w:rsidR="00C41BA7" w:rsidTr="00C41BA7">
        <w:tc>
          <w:tcPr>
            <w:tcW w:w="3192" w:type="dxa"/>
          </w:tcPr>
          <w:p w:rsidR="00C41BA7" w:rsidRDefault="00C41BA7" w:rsidP="00C41BA7">
            <w:pPr>
              <w:rPr>
                <w:color w:val="000000" w:themeColor="text1"/>
              </w:rPr>
            </w:pPr>
            <w:r>
              <w:rPr>
                <w:color w:val="000000" w:themeColor="text1"/>
              </w:rPr>
              <w:t>Hydrocortisone</w:t>
            </w:r>
          </w:p>
          <w:p w:rsidR="00C41BA7" w:rsidRDefault="00C41BA7" w:rsidP="00D40930">
            <w:pPr>
              <w:rPr>
                <w:color w:val="000000" w:themeColor="text1"/>
              </w:rPr>
            </w:pPr>
          </w:p>
        </w:tc>
        <w:tc>
          <w:tcPr>
            <w:tcW w:w="3192" w:type="dxa"/>
          </w:tcPr>
          <w:p w:rsidR="00C41BA7" w:rsidRDefault="00C41BA7" w:rsidP="00C41BA7">
            <w:pPr>
              <w:jc w:val="center"/>
              <w:rPr>
                <w:color w:val="000000" w:themeColor="text1"/>
              </w:rPr>
            </w:pPr>
            <w:r>
              <w:rPr>
                <w:color w:val="000000" w:themeColor="text1"/>
              </w:rPr>
              <w:t>1</w:t>
            </w:r>
          </w:p>
        </w:tc>
        <w:tc>
          <w:tcPr>
            <w:tcW w:w="3192" w:type="dxa"/>
          </w:tcPr>
          <w:p w:rsidR="00C41BA7" w:rsidRDefault="00C41BA7" w:rsidP="00C41BA7">
            <w:pPr>
              <w:jc w:val="center"/>
              <w:rPr>
                <w:color w:val="000000" w:themeColor="text1"/>
              </w:rPr>
            </w:pPr>
            <w:r>
              <w:rPr>
                <w:color w:val="000000" w:themeColor="text1"/>
              </w:rPr>
              <w:t>&lt;12</w:t>
            </w:r>
          </w:p>
        </w:tc>
      </w:tr>
      <w:tr w:rsidR="00C41BA7" w:rsidTr="00C41BA7">
        <w:tc>
          <w:tcPr>
            <w:tcW w:w="3192" w:type="dxa"/>
          </w:tcPr>
          <w:p w:rsidR="00C41BA7" w:rsidRDefault="00C41BA7" w:rsidP="00C41BA7">
            <w:pPr>
              <w:rPr>
                <w:color w:val="000000" w:themeColor="text1"/>
              </w:rPr>
            </w:pPr>
            <w:r>
              <w:rPr>
                <w:color w:val="000000" w:themeColor="text1"/>
              </w:rPr>
              <w:t>Prednisone/ Prednisolone</w:t>
            </w:r>
          </w:p>
          <w:p w:rsidR="00C41BA7" w:rsidRDefault="00C41BA7" w:rsidP="00C41BA7">
            <w:pPr>
              <w:rPr>
                <w:color w:val="000000" w:themeColor="text1"/>
              </w:rPr>
            </w:pPr>
          </w:p>
          <w:p w:rsidR="00C41BA7" w:rsidRDefault="00C41BA7" w:rsidP="00D40930">
            <w:pPr>
              <w:rPr>
                <w:color w:val="000000" w:themeColor="text1"/>
              </w:rPr>
            </w:pPr>
          </w:p>
        </w:tc>
        <w:tc>
          <w:tcPr>
            <w:tcW w:w="3192" w:type="dxa"/>
          </w:tcPr>
          <w:p w:rsidR="00C41BA7" w:rsidRDefault="00C41BA7" w:rsidP="00C41BA7">
            <w:pPr>
              <w:jc w:val="center"/>
              <w:rPr>
                <w:color w:val="000000" w:themeColor="text1"/>
              </w:rPr>
            </w:pPr>
            <w:r>
              <w:rPr>
                <w:color w:val="000000" w:themeColor="text1"/>
              </w:rPr>
              <w:t>4</w:t>
            </w:r>
          </w:p>
        </w:tc>
        <w:tc>
          <w:tcPr>
            <w:tcW w:w="3192" w:type="dxa"/>
          </w:tcPr>
          <w:p w:rsidR="00C41BA7" w:rsidRDefault="00C41BA7" w:rsidP="00C41BA7">
            <w:pPr>
              <w:jc w:val="center"/>
              <w:rPr>
                <w:color w:val="000000" w:themeColor="text1"/>
              </w:rPr>
            </w:pPr>
            <w:r>
              <w:rPr>
                <w:color w:val="000000" w:themeColor="text1"/>
              </w:rPr>
              <w:t>12-36</w:t>
            </w:r>
          </w:p>
        </w:tc>
      </w:tr>
      <w:tr w:rsidR="00C41BA7" w:rsidTr="00C41BA7">
        <w:tc>
          <w:tcPr>
            <w:tcW w:w="3192" w:type="dxa"/>
          </w:tcPr>
          <w:p w:rsidR="00C41BA7" w:rsidRDefault="00C41BA7" w:rsidP="00C41BA7">
            <w:pPr>
              <w:rPr>
                <w:color w:val="000000" w:themeColor="text1"/>
              </w:rPr>
            </w:pPr>
            <w:r>
              <w:rPr>
                <w:color w:val="000000" w:themeColor="text1"/>
              </w:rPr>
              <w:t>Methylprednisolone</w:t>
            </w:r>
          </w:p>
          <w:p w:rsidR="00C41BA7" w:rsidRDefault="00C41BA7" w:rsidP="00D40930">
            <w:pPr>
              <w:rPr>
                <w:color w:val="000000" w:themeColor="text1"/>
              </w:rPr>
            </w:pPr>
          </w:p>
        </w:tc>
        <w:tc>
          <w:tcPr>
            <w:tcW w:w="3192" w:type="dxa"/>
          </w:tcPr>
          <w:p w:rsidR="00C41BA7" w:rsidRDefault="00C41BA7" w:rsidP="00C41BA7">
            <w:pPr>
              <w:jc w:val="center"/>
              <w:rPr>
                <w:color w:val="000000" w:themeColor="text1"/>
              </w:rPr>
            </w:pPr>
            <w:r>
              <w:rPr>
                <w:color w:val="000000" w:themeColor="text1"/>
              </w:rPr>
              <w:t>5</w:t>
            </w:r>
          </w:p>
        </w:tc>
        <w:tc>
          <w:tcPr>
            <w:tcW w:w="3192" w:type="dxa"/>
          </w:tcPr>
          <w:p w:rsidR="00C41BA7" w:rsidRDefault="00C41BA7" w:rsidP="00C41BA7">
            <w:pPr>
              <w:jc w:val="center"/>
              <w:rPr>
                <w:color w:val="000000" w:themeColor="text1"/>
              </w:rPr>
            </w:pPr>
            <w:r>
              <w:rPr>
                <w:color w:val="000000" w:themeColor="text1"/>
              </w:rPr>
              <w:t>12-36</w:t>
            </w:r>
          </w:p>
        </w:tc>
      </w:tr>
      <w:tr w:rsidR="00C41BA7" w:rsidTr="00C41BA7">
        <w:tc>
          <w:tcPr>
            <w:tcW w:w="3192" w:type="dxa"/>
          </w:tcPr>
          <w:p w:rsidR="00C41BA7" w:rsidRDefault="00822E57" w:rsidP="00C41BA7">
            <w:pPr>
              <w:rPr>
                <w:color w:val="000000" w:themeColor="text1"/>
              </w:rPr>
            </w:pPr>
            <w:r>
              <w:rPr>
                <w:color w:val="000000" w:themeColor="text1"/>
              </w:rPr>
              <w:t>Triamc</w:t>
            </w:r>
            <w:r w:rsidR="00C41BA7">
              <w:rPr>
                <w:color w:val="000000" w:themeColor="text1"/>
              </w:rPr>
              <w:t>inolone</w:t>
            </w:r>
          </w:p>
          <w:p w:rsidR="00C41BA7" w:rsidRDefault="00C41BA7" w:rsidP="00D40930">
            <w:pPr>
              <w:rPr>
                <w:color w:val="000000" w:themeColor="text1"/>
              </w:rPr>
            </w:pPr>
          </w:p>
        </w:tc>
        <w:tc>
          <w:tcPr>
            <w:tcW w:w="3192" w:type="dxa"/>
          </w:tcPr>
          <w:p w:rsidR="00C41BA7" w:rsidRDefault="00C41BA7" w:rsidP="00C41BA7">
            <w:pPr>
              <w:jc w:val="center"/>
              <w:rPr>
                <w:color w:val="000000" w:themeColor="text1"/>
              </w:rPr>
            </w:pPr>
            <w:r>
              <w:rPr>
                <w:color w:val="000000" w:themeColor="text1"/>
              </w:rPr>
              <w:t>5</w:t>
            </w:r>
          </w:p>
        </w:tc>
        <w:tc>
          <w:tcPr>
            <w:tcW w:w="3192" w:type="dxa"/>
          </w:tcPr>
          <w:p w:rsidR="00C41BA7" w:rsidRDefault="00C41BA7" w:rsidP="00C41BA7">
            <w:pPr>
              <w:jc w:val="center"/>
              <w:rPr>
                <w:color w:val="000000" w:themeColor="text1"/>
              </w:rPr>
            </w:pPr>
            <w:r>
              <w:rPr>
                <w:color w:val="000000" w:themeColor="text1"/>
              </w:rPr>
              <w:t>12-48</w:t>
            </w:r>
          </w:p>
        </w:tc>
      </w:tr>
      <w:tr w:rsidR="00C41BA7" w:rsidTr="00C41BA7">
        <w:tc>
          <w:tcPr>
            <w:tcW w:w="3192" w:type="dxa"/>
          </w:tcPr>
          <w:p w:rsidR="00C41BA7" w:rsidRDefault="00C41BA7" w:rsidP="00C41BA7">
            <w:pPr>
              <w:rPr>
                <w:color w:val="000000" w:themeColor="text1"/>
              </w:rPr>
            </w:pPr>
            <w:r>
              <w:rPr>
                <w:color w:val="000000" w:themeColor="text1"/>
              </w:rPr>
              <w:t>Dexathasone</w:t>
            </w:r>
          </w:p>
          <w:p w:rsidR="00C41BA7" w:rsidRDefault="00C41BA7" w:rsidP="00D40930">
            <w:pPr>
              <w:rPr>
                <w:color w:val="000000" w:themeColor="text1"/>
              </w:rPr>
            </w:pPr>
          </w:p>
        </w:tc>
        <w:tc>
          <w:tcPr>
            <w:tcW w:w="3192" w:type="dxa"/>
          </w:tcPr>
          <w:p w:rsidR="00C41BA7" w:rsidRDefault="00C41BA7" w:rsidP="00C41BA7">
            <w:pPr>
              <w:jc w:val="center"/>
              <w:rPr>
                <w:color w:val="000000" w:themeColor="text1"/>
              </w:rPr>
            </w:pPr>
            <w:r>
              <w:rPr>
                <w:color w:val="000000" w:themeColor="text1"/>
              </w:rPr>
              <w:t>30</w:t>
            </w:r>
          </w:p>
        </w:tc>
        <w:tc>
          <w:tcPr>
            <w:tcW w:w="3192" w:type="dxa"/>
          </w:tcPr>
          <w:p w:rsidR="00C41BA7" w:rsidRDefault="00C41BA7" w:rsidP="00C41BA7">
            <w:pPr>
              <w:jc w:val="center"/>
              <w:rPr>
                <w:color w:val="000000" w:themeColor="text1"/>
              </w:rPr>
            </w:pPr>
            <w:r>
              <w:rPr>
                <w:color w:val="000000" w:themeColor="text1"/>
              </w:rPr>
              <w:t>&gt;48</w:t>
            </w:r>
          </w:p>
        </w:tc>
      </w:tr>
      <w:tr w:rsidR="00C41BA7" w:rsidTr="00C41BA7">
        <w:tc>
          <w:tcPr>
            <w:tcW w:w="3192" w:type="dxa"/>
          </w:tcPr>
          <w:p w:rsidR="00C41BA7" w:rsidRDefault="00C41BA7" w:rsidP="00C41BA7">
            <w:pPr>
              <w:rPr>
                <w:color w:val="000000" w:themeColor="text1"/>
              </w:rPr>
            </w:pPr>
            <w:r>
              <w:rPr>
                <w:color w:val="000000" w:themeColor="text1"/>
              </w:rPr>
              <w:t>Betamethasone</w:t>
            </w:r>
          </w:p>
          <w:p w:rsidR="00C41BA7" w:rsidRDefault="00C41BA7" w:rsidP="00D40930">
            <w:pPr>
              <w:rPr>
                <w:color w:val="000000" w:themeColor="text1"/>
              </w:rPr>
            </w:pPr>
          </w:p>
        </w:tc>
        <w:tc>
          <w:tcPr>
            <w:tcW w:w="3192" w:type="dxa"/>
          </w:tcPr>
          <w:p w:rsidR="00C41BA7" w:rsidRDefault="00C41BA7" w:rsidP="00C41BA7">
            <w:pPr>
              <w:jc w:val="center"/>
              <w:rPr>
                <w:color w:val="000000" w:themeColor="text1"/>
              </w:rPr>
            </w:pPr>
            <w:r>
              <w:rPr>
                <w:color w:val="000000" w:themeColor="text1"/>
              </w:rPr>
              <w:t>35</w:t>
            </w:r>
          </w:p>
        </w:tc>
        <w:tc>
          <w:tcPr>
            <w:tcW w:w="3192" w:type="dxa"/>
          </w:tcPr>
          <w:p w:rsidR="00C41BA7" w:rsidRDefault="00C41BA7" w:rsidP="00C41BA7">
            <w:pPr>
              <w:jc w:val="center"/>
              <w:rPr>
                <w:color w:val="000000" w:themeColor="text1"/>
              </w:rPr>
            </w:pPr>
            <w:r>
              <w:rPr>
                <w:color w:val="000000" w:themeColor="text1"/>
              </w:rPr>
              <w:t>&gt;48</w:t>
            </w:r>
          </w:p>
        </w:tc>
      </w:tr>
    </w:tbl>
    <w:p w:rsidR="00C41BA7" w:rsidRDefault="00C41BA7" w:rsidP="00D40930">
      <w:pPr>
        <w:spacing w:after="0" w:line="240" w:lineRule="auto"/>
        <w:rPr>
          <w:color w:val="000000" w:themeColor="text1"/>
        </w:rPr>
      </w:pPr>
    </w:p>
    <w:p w:rsidR="008E710A" w:rsidRDefault="008E710A" w:rsidP="00D40930">
      <w:pPr>
        <w:spacing w:after="0" w:line="240" w:lineRule="auto"/>
        <w:rPr>
          <w:color w:val="000000" w:themeColor="text1"/>
        </w:rPr>
      </w:pPr>
    </w:p>
    <w:p w:rsidR="00822E57" w:rsidRDefault="00822E57" w:rsidP="00822E57">
      <w:pPr>
        <w:spacing w:after="0" w:line="240" w:lineRule="auto"/>
        <w:rPr>
          <w:i/>
          <w:color w:val="000000" w:themeColor="text1"/>
        </w:rPr>
      </w:pPr>
      <w:r>
        <w:rPr>
          <w:i/>
          <w:color w:val="000000" w:themeColor="text1"/>
        </w:rPr>
        <w:t>Injectable</w:t>
      </w:r>
    </w:p>
    <w:tbl>
      <w:tblPr>
        <w:tblStyle w:val="TableGrid"/>
        <w:tblW w:w="0" w:type="auto"/>
        <w:tblLook w:val="04A0"/>
      </w:tblPr>
      <w:tblGrid>
        <w:gridCol w:w="3192"/>
        <w:gridCol w:w="3192"/>
        <w:gridCol w:w="3192"/>
      </w:tblGrid>
      <w:tr w:rsidR="00822E57" w:rsidTr="00822E57">
        <w:tc>
          <w:tcPr>
            <w:tcW w:w="3192" w:type="dxa"/>
          </w:tcPr>
          <w:p w:rsidR="00822E57" w:rsidRDefault="00822E57" w:rsidP="00822E57">
            <w:pPr>
              <w:jc w:val="center"/>
              <w:rPr>
                <w:color w:val="000000" w:themeColor="text1"/>
              </w:rPr>
            </w:pPr>
            <w:r>
              <w:rPr>
                <w:color w:val="000000" w:themeColor="text1"/>
              </w:rPr>
              <w:t>DRUG</w:t>
            </w:r>
          </w:p>
        </w:tc>
        <w:tc>
          <w:tcPr>
            <w:tcW w:w="3192" w:type="dxa"/>
          </w:tcPr>
          <w:p w:rsidR="00822E57" w:rsidRDefault="00822E57" w:rsidP="00822E57">
            <w:pPr>
              <w:jc w:val="center"/>
              <w:rPr>
                <w:color w:val="000000" w:themeColor="text1"/>
              </w:rPr>
            </w:pPr>
            <w:r>
              <w:rPr>
                <w:color w:val="000000" w:themeColor="text1"/>
              </w:rPr>
              <w:t>POTENCY</w:t>
            </w:r>
          </w:p>
        </w:tc>
        <w:tc>
          <w:tcPr>
            <w:tcW w:w="3192" w:type="dxa"/>
          </w:tcPr>
          <w:p w:rsidR="00822E57" w:rsidRDefault="00822E57" w:rsidP="00822E57">
            <w:pPr>
              <w:jc w:val="center"/>
              <w:rPr>
                <w:color w:val="000000" w:themeColor="text1"/>
              </w:rPr>
            </w:pPr>
            <w:r>
              <w:rPr>
                <w:color w:val="000000" w:themeColor="text1"/>
              </w:rPr>
              <w:t>DURATION OF ACTION</w:t>
            </w:r>
          </w:p>
        </w:tc>
      </w:tr>
      <w:tr w:rsidR="00822E57" w:rsidTr="00822E57">
        <w:tc>
          <w:tcPr>
            <w:tcW w:w="3192" w:type="dxa"/>
          </w:tcPr>
          <w:p w:rsidR="006C1FC0" w:rsidRDefault="00822E57" w:rsidP="00D40930">
            <w:pPr>
              <w:rPr>
                <w:color w:val="000000" w:themeColor="text1"/>
              </w:rPr>
            </w:pPr>
            <w:r>
              <w:rPr>
                <w:color w:val="000000" w:themeColor="text1"/>
              </w:rPr>
              <w:t>Methylprednisolone</w:t>
            </w:r>
            <w:r w:rsidR="006C1FC0">
              <w:rPr>
                <w:color w:val="000000" w:themeColor="text1"/>
              </w:rPr>
              <w:t xml:space="preserve"> </w:t>
            </w:r>
          </w:p>
          <w:p w:rsidR="00822E57" w:rsidRDefault="006C1FC0" w:rsidP="00D40930">
            <w:pPr>
              <w:rPr>
                <w:color w:val="000000" w:themeColor="text1"/>
              </w:rPr>
            </w:pPr>
            <w:r>
              <w:rPr>
                <w:color w:val="000000" w:themeColor="text1"/>
              </w:rPr>
              <w:t>(Depo-Medrol)</w:t>
            </w:r>
          </w:p>
        </w:tc>
        <w:tc>
          <w:tcPr>
            <w:tcW w:w="3192" w:type="dxa"/>
          </w:tcPr>
          <w:p w:rsidR="00822E57" w:rsidRDefault="00822E57" w:rsidP="00822E57">
            <w:pPr>
              <w:jc w:val="center"/>
              <w:rPr>
                <w:color w:val="000000" w:themeColor="text1"/>
              </w:rPr>
            </w:pPr>
            <w:r>
              <w:rPr>
                <w:color w:val="000000" w:themeColor="text1"/>
              </w:rPr>
              <w:t>5</w:t>
            </w:r>
          </w:p>
        </w:tc>
        <w:tc>
          <w:tcPr>
            <w:tcW w:w="3192" w:type="dxa"/>
          </w:tcPr>
          <w:p w:rsidR="00822E57" w:rsidRDefault="00822E57" w:rsidP="00822E57">
            <w:pPr>
              <w:jc w:val="center"/>
              <w:rPr>
                <w:color w:val="000000" w:themeColor="text1"/>
              </w:rPr>
            </w:pPr>
            <w:r>
              <w:rPr>
                <w:color w:val="000000" w:themeColor="text1"/>
              </w:rPr>
              <w:t>3-5 weeks</w:t>
            </w:r>
          </w:p>
        </w:tc>
      </w:tr>
      <w:tr w:rsidR="00822E57" w:rsidTr="00822E57">
        <w:tc>
          <w:tcPr>
            <w:tcW w:w="3192" w:type="dxa"/>
          </w:tcPr>
          <w:p w:rsidR="00822E57" w:rsidRDefault="00822E57" w:rsidP="00D40930">
            <w:pPr>
              <w:rPr>
                <w:color w:val="000000" w:themeColor="text1"/>
              </w:rPr>
            </w:pPr>
            <w:r>
              <w:rPr>
                <w:color w:val="000000" w:themeColor="text1"/>
              </w:rPr>
              <w:t>Triamcinolone</w:t>
            </w:r>
          </w:p>
          <w:p w:rsidR="006C1FC0" w:rsidRDefault="006C1FC0" w:rsidP="00D40930">
            <w:pPr>
              <w:rPr>
                <w:color w:val="000000" w:themeColor="text1"/>
              </w:rPr>
            </w:pPr>
            <w:r>
              <w:rPr>
                <w:color w:val="000000" w:themeColor="text1"/>
              </w:rPr>
              <w:t>(Vetalog)</w:t>
            </w:r>
          </w:p>
        </w:tc>
        <w:tc>
          <w:tcPr>
            <w:tcW w:w="3192" w:type="dxa"/>
          </w:tcPr>
          <w:p w:rsidR="00822E57" w:rsidRDefault="00822E57" w:rsidP="00822E57">
            <w:pPr>
              <w:jc w:val="center"/>
              <w:rPr>
                <w:color w:val="000000" w:themeColor="text1"/>
              </w:rPr>
            </w:pPr>
            <w:r>
              <w:rPr>
                <w:color w:val="000000" w:themeColor="text1"/>
              </w:rPr>
              <w:t>5</w:t>
            </w:r>
          </w:p>
        </w:tc>
        <w:tc>
          <w:tcPr>
            <w:tcW w:w="3192" w:type="dxa"/>
          </w:tcPr>
          <w:p w:rsidR="00822E57" w:rsidRDefault="00822E57" w:rsidP="00822E57">
            <w:pPr>
              <w:jc w:val="center"/>
              <w:rPr>
                <w:color w:val="000000" w:themeColor="text1"/>
              </w:rPr>
            </w:pPr>
            <w:r>
              <w:rPr>
                <w:color w:val="000000" w:themeColor="text1"/>
              </w:rPr>
              <w:t>1-2 weeks</w:t>
            </w:r>
          </w:p>
        </w:tc>
      </w:tr>
      <w:tr w:rsidR="00822E57" w:rsidTr="00822E57">
        <w:tc>
          <w:tcPr>
            <w:tcW w:w="3192" w:type="dxa"/>
          </w:tcPr>
          <w:p w:rsidR="00822E57" w:rsidRDefault="00822E57" w:rsidP="00D40930">
            <w:pPr>
              <w:rPr>
                <w:color w:val="000000" w:themeColor="text1"/>
              </w:rPr>
            </w:pPr>
            <w:r>
              <w:rPr>
                <w:color w:val="000000" w:themeColor="text1"/>
              </w:rPr>
              <w:t>Dexamethasone</w:t>
            </w:r>
          </w:p>
        </w:tc>
        <w:tc>
          <w:tcPr>
            <w:tcW w:w="3192" w:type="dxa"/>
          </w:tcPr>
          <w:p w:rsidR="00822E57" w:rsidRDefault="00822E57" w:rsidP="00822E57">
            <w:pPr>
              <w:jc w:val="center"/>
              <w:rPr>
                <w:color w:val="000000" w:themeColor="text1"/>
              </w:rPr>
            </w:pPr>
            <w:r>
              <w:rPr>
                <w:color w:val="000000" w:themeColor="text1"/>
              </w:rPr>
              <w:t>30</w:t>
            </w:r>
          </w:p>
        </w:tc>
        <w:tc>
          <w:tcPr>
            <w:tcW w:w="3192" w:type="dxa"/>
          </w:tcPr>
          <w:p w:rsidR="00822E57" w:rsidRDefault="00822E57" w:rsidP="00822E57">
            <w:pPr>
              <w:jc w:val="center"/>
              <w:rPr>
                <w:color w:val="000000" w:themeColor="text1"/>
              </w:rPr>
            </w:pPr>
            <w:r>
              <w:rPr>
                <w:color w:val="000000" w:themeColor="text1"/>
              </w:rPr>
              <w:t>2-4 weeks</w:t>
            </w:r>
          </w:p>
        </w:tc>
      </w:tr>
    </w:tbl>
    <w:p w:rsidR="00822E57" w:rsidRPr="00822E57" w:rsidRDefault="00822E57" w:rsidP="00D40930">
      <w:pPr>
        <w:spacing w:after="0" w:line="240" w:lineRule="auto"/>
        <w:rPr>
          <w:color w:val="000000" w:themeColor="text1"/>
        </w:rPr>
      </w:pPr>
    </w:p>
    <w:p w:rsidR="006C1FC0" w:rsidRPr="006C1FC0" w:rsidRDefault="006C1FC0" w:rsidP="006C1FC0">
      <w:pPr>
        <w:pStyle w:val="subheading"/>
        <w:rPr>
          <w:rFonts w:asciiTheme="minorHAnsi" w:hAnsiTheme="minorHAnsi"/>
          <w:b/>
          <w:sz w:val="22"/>
          <w:szCs w:val="22"/>
        </w:rPr>
      </w:pPr>
      <w:r w:rsidRPr="006C1FC0">
        <w:rPr>
          <w:rFonts w:asciiTheme="minorHAnsi" w:hAnsiTheme="minorHAnsi"/>
          <w:b/>
          <w:sz w:val="22"/>
          <w:szCs w:val="22"/>
        </w:rPr>
        <w:t xml:space="preserve">Pharmacology/Actions </w:t>
      </w:r>
    </w:p>
    <w:p w:rsidR="006C1FC0" w:rsidRPr="006C1FC0" w:rsidRDefault="006C1FC0" w:rsidP="006C1FC0">
      <w:pPr>
        <w:pStyle w:val="bodynoindent"/>
        <w:rPr>
          <w:rFonts w:asciiTheme="minorHAnsi" w:hAnsiTheme="minorHAnsi"/>
          <w:sz w:val="22"/>
          <w:szCs w:val="22"/>
        </w:rPr>
      </w:pPr>
      <w:r w:rsidRPr="006C1FC0">
        <w:rPr>
          <w:rFonts w:asciiTheme="minorHAnsi" w:hAnsiTheme="minorHAnsi"/>
          <w:sz w:val="22"/>
          <w:szCs w:val="22"/>
        </w:rPr>
        <w:t>Glucocorticoids have effects on virtually every cell type and system in mammals. An overview of the effects of these agents follows:</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Cardiovascular System</w:t>
      </w:r>
      <w:r w:rsidRPr="006C1FC0">
        <w:rPr>
          <w:rFonts w:asciiTheme="minorHAnsi" w:hAnsiTheme="minorHAnsi"/>
          <w:sz w:val="22"/>
          <w:szCs w:val="22"/>
        </w:rPr>
        <w:t xml:space="preserve">: Glucocorticoids can reduce capillary permeability and enhance vasoconstriction. A relatively clinically insignificant positive inotropic effect can occur after glucocorticoid administration. </w:t>
      </w:r>
      <w:r w:rsidRPr="006C1FC0">
        <w:rPr>
          <w:rFonts w:asciiTheme="minorHAnsi" w:hAnsiTheme="minorHAnsi"/>
          <w:sz w:val="22"/>
          <w:szCs w:val="22"/>
        </w:rPr>
        <w:lastRenderedPageBreak/>
        <w:t xml:space="preserve">Increased blood pressure can result from both the drugs' </w:t>
      </w:r>
      <w:proofErr w:type="spellStart"/>
      <w:r w:rsidRPr="006C1FC0">
        <w:rPr>
          <w:rFonts w:asciiTheme="minorHAnsi" w:hAnsiTheme="minorHAnsi"/>
          <w:sz w:val="22"/>
          <w:szCs w:val="22"/>
        </w:rPr>
        <w:t>vasoconstrictive</w:t>
      </w:r>
      <w:proofErr w:type="spellEnd"/>
      <w:r w:rsidRPr="006C1FC0">
        <w:rPr>
          <w:rFonts w:asciiTheme="minorHAnsi" w:hAnsiTheme="minorHAnsi"/>
          <w:sz w:val="22"/>
          <w:szCs w:val="22"/>
        </w:rPr>
        <w:t xml:space="preserve"> properties and increased blood volume that may be produced.</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Cells</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inhibit fibroblast proliferation, macrophage response to migration inhibiting factor, sensitization of lymphocytes and the cellular response to mediators of inflammation.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stabilize </w:t>
      </w:r>
      <w:proofErr w:type="spellStart"/>
      <w:r w:rsidRPr="006C1FC0">
        <w:rPr>
          <w:rFonts w:asciiTheme="minorHAnsi" w:hAnsiTheme="minorHAnsi"/>
          <w:sz w:val="22"/>
          <w:szCs w:val="22"/>
        </w:rPr>
        <w:t>lysosomal</w:t>
      </w:r>
      <w:proofErr w:type="spellEnd"/>
      <w:r w:rsidRPr="006C1FC0">
        <w:rPr>
          <w:rFonts w:asciiTheme="minorHAnsi" w:hAnsiTheme="minorHAnsi"/>
          <w:sz w:val="22"/>
          <w:szCs w:val="22"/>
        </w:rPr>
        <w:t xml:space="preserve"> membranes.</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CNS/Autonomic Nervous System</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lower seizure threshold, alter mood and behavior, diminish the response to </w:t>
      </w:r>
      <w:proofErr w:type="spellStart"/>
      <w:r w:rsidRPr="006C1FC0">
        <w:rPr>
          <w:rFonts w:asciiTheme="minorHAnsi" w:hAnsiTheme="minorHAnsi"/>
          <w:sz w:val="22"/>
          <w:szCs w:val="22"/>
        </w:rPr>
        <w:t>pyrogens</w:t>
      </w:r>
      <w:proofErr w:type="spellEnd"/>
      <w:r w:rsidRPr="006C1FC0">
        <w:rPr>
          <w:rFonts w:asciiTheme="minorHAnsi" w:hAnsiTheme="minorHAnsi"/>
          <w:sz w:val="22"/>
          <w:szCs w:val="22"/>
        </w:rPr>
        <w:t xml:space="preserve">, stimulate appetite and maintain alpha rhythm.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are necessary for normal adrenergic receptor sensitivity.</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Endocrine System</w:t>
      </w:r>
      <w:r w:rsidRPr="006C1FC0">
        <w:rPr>
          <w:rFonts w:asciiTheme="minorHAnsi" w:hAnsiTheme="minorHAnsi"/>
          <w:sz w:val="22"/>
          <w:szCs w:val="22"/>
        </w:rPr>
        <w:t xml:space="preserve">: When animals are not stressed,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will suppress the release of ACTH from the anterior pituitary, thereby reducing or preventing the release of endogenous corticosteroids. Stress factors (e.g., renal disease, liver disease, diabetes) may sometimes nullify the suppressing aspects of exogenously administered steroids. Release of thyroid-stimulating hormone (TSH), follicle-stimulating hormone (FSH), </w:t>
      </w:r>
      <w:proofErr w:type="spellStart"/>
      <w:r w:rsidRPr="006C1FC0">
        <w:rPr>
          <w:rFonts w:asciiTheme="minorHAnsi" w:hAnsiTheme="minorHAnsi"/>
          <w:sz w:val="22"/>
          <w:szCs w:val="22"/>
        </w:rPr>
        <w:t>prolactin</w:t>
      </w:r>
      <w:proofErr w:type="spellEnd"/>
      <w:r w:rsidRPr="006C1FC0">
        <w:rPr>
          <w:rFonts w:asciiTheme="minorHAnsi" w:hAnsiTheme="minorHAnsi"/>
          <w:sz w:val="22"/>
          <w:szCs w:val="22"/>
        </w:rPr>
        <w:t xml:space="preserve">, and luteinizing hormone (LH) may all be reduced when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are administered at pharmacological doses. Conversion of </w:t>
      </w:r>
      <w:proofErr w:type="spellStart"/>
      <w:r w:rsidRPr="006C1FC0">
        <w:rPr>
          <w:rFonts w:asciiTheme="minorHAnsi" w:hAnsiTheme="minorHAnsi"/>
          <w:sz w:val="22"/>
          <w:szCs w:val="22"/>
        </w:rPr>
        <w:t>thyroxine</w:t>
      </w:r>
      <w:proofErr w:type="spellEnd"/>
      <w:r w:rsidRPr="006C1FC0">
        <w:rPr>
          <w:rFonts w:asciiTheme="minorHAnsi" w:hAnsiTheme="minorHAnsi"/>
          <w:sz w:val="22"/>
          <w:szCs w:val="22"/>
        </w:rPr>
        <w:t xml:space="preserve"> (T</w:t>
      </w:r>
      <w:r w:rsidRPr="006C1FC0">
        <w:rPr>
          <w:rFonts w:asciiTheme="minorHAnsi" w:hAnsiTheme="minorHAnsi"/>
          <w:sz w:val="22"/>
          <w:szCs w:val="22"/>
          <w:vertAlign w:val="subscript"/>
        </w:rPr>
        <w:t>4</w:t>
      </w:r>
      <w:r w:rsidRPr="006C1FC0">
        <w:rPr>
          <w:rFonts w:asciiTheme="minorHAnsi" w:hAnsiTheme="minorHAnsi"/>
          <w:sz w:val="22"/>
          <w:szCs w:val="22"/>
        </w:rPr>
        <w:t xml:space="preserve">) to </w:t>
      </w:r>
      <w:proofErr w:type="spellStart"/>
      <w:r w:rsidRPr="006C1FC0">
        <w:rPr>
          <w:rFonts w:asciiTheme="minorHAnsi" w:hAnsiTheme="minorHAnsi"/>
          <w:sz w:val="22"/>
          <w:szCs w:val="22"/>
        </w:rPr>
        <w:t>triiodothyronine</w:t>
      </w:r>
      <w:proofErr w:type="spellEnd"/>
      <w:r w:rsidRPr="006C1FC0">
        <w:rPr>
          <w:rFonts w:asciiTheme="minorHAnsi" w:hAnsiTheme="minorHAnsi"/>
          <w:sz w:val="22"/>
          <w:szCs w:val="22"/>
        </w:rPr>
        <w:t xml:space="preserve"> (T</w:t>
      </w:r>
      <w:r w:rsidRPr="006C1FC0">
        <w:rPr>
          <w:rFonts w:asciiTheme="minorHAnsi" w:hAnsiTheme="minorHAnsi"/>
          <w:sz w:val="22"/>
          <w:szCs w:val="22"/>
          <w:vertAlign w:val="subscript"/>
        </w:rPr>
        <w:t>3</w:t>
      </w:r>
      <w:r w:rsidRPr="006C1FC0">
        <w:rPr>
          <w:rFonts w:asciiTheme="minorHAnsi" w:hAnsiTheme="minorHAnsi"/>
          <w:sz w:val="22"/>
          <w:szCs w:val="22"/>
        </w:rPr>
        <w:t xml:space="preserve">) may be reduced by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and plasma levels of parathyroid hormone increased.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may inhibit </w:t>
      </w:r>
      <w:proofErr w:type="spellStart"/>
      <w:r w:rsidRPr="006C1FC0">
        <w:rPr>
          <w:rFonts w:asciiTheme="minorHAnsi" w:hAnsiTheme="minorHAnsi"/>
          <w:sz w:val="22"/>
          <w:szCs w:val="22"/>
        </w:rPr>
        <w:t>osteoblast</w:t>
      </w:r>
      <w:proofErr w:type="spellEnd"/>
      <w:r w:rsidRPr="006C1FC0">
        <w:rPr>
          <w:rFonts w:asciiTheme="minorHAnsi" w:hAnsiTheme="minorHAnsi"/>
          <w:sz w:val="22"/>
          <w:szCs w:val="22"/>
        </w:rPr>
        <w:t xml:space="preserve"> function. Vasopressin (ADH) activity is reduced at the renal tubules and </w:t>
      </w:r>
      <w:proofErr w:type="spellStart"/>
      <w:r w:rsidRPr="006C1FC0">
        <w:rPr>
          <w:rFonts w:asciiTheme="minorHAnsi" w:hAnsiTheme="minorHAnsi"/>
          <w:sz w:val="22"/>
          <w:szCs w:val="22"/>
        </w:rPr>
        <w:t>diuresis</w:t>
      </w:r>
      <w:proofErr w:type="spellEnd"/>
      <w:r w:rsidRPr="006C1FC0">
        <w:rPr>
          <w:rFonts w:asciiTheme="minorHAnsi" w:hAnsiTheme="minorHAnsi"/>
          <w:sz w:val="22"/>
          <w:szCs w:val="22"/>
        </w:rPr>
        <w:t xml:space="preserve"> may occur.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inhibit insulin binding to insulin-receptors and the post-receptor effects of insulin.</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Hematopoietic System</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increase the numbers of circulating platelets, </w:t>
      </w:r>
      <w:proofErr w:type="spellStart"/>
      <w:r w:rsidRPr="006C1FC0">
        <w:rPr>
          <w:rFonts w:asciiTheme="minorHAnsi" w:hAnsiTheme="minorHAnsi"/>
          <w:sz w:val="22"/>
          <w:szCs w:val="22"/>
        </w:rPr>
        <w:t>neutrophils</w:t>
      </w:r>
      <w:proofErr w:type="spellEnd"/>
      <w:r w:rsidRPr="006C1FC0">
        <w:rPr>
          <w:rFonts w:asciiTheme="minorHAnsi" w:hAnsiTheme="minorHAnsi"/>
          <w:sz w:val="22"/>
          <w:szCs w:val="22"/>
        </w:rPr>
        <w:t xml:space="preserve"> and red blood cells, but platelet aggregation is inhibited. Decreased amounts of lymphocytes (peripheral), </w:t>
      </w:r>
      <w:proofErr w:type="spellStart"/>
      <w:r w:rsidRPr="006C1FC0">
        <w:rPr>
          <w:rFonts w:asciiTheme="minorHAnsi" w:hAnsiTheme="minorHAnsi"/>
          <w:sz w:val="22"/>
          <w:szCs w:val="22"/>
        </w:rPr>
        <w:t>monocytes</w:t>
      </w:r>
      <w:proofErr w:type="spellEnd"/>
      <w:r w:rsidRPr="006C1FC0">
        <w:rPr>
          <w:rFonts w:asciiTheme="minorHAnsi" w:hAnsiTheme="minorHAnsi"/>
          <w:sz w:val="22"/>
          <w:szCs w:val="22"/>
        </w:rPr>
        <w:t xml:space="preserve"> and </w:t>
      </w:r>
      <w:proofErr w:type="spellStart"/>
      <w:r w:rsidRPr="006C1FC0">
        <w:rPr>
          <w:rFonts w:asciiTheme="minorHAnsi" w:hAnsiTheme="minorHAnsi"/>
          <w:sz w:val="22"/>
          <w:szCs w:val="22"/>
        </w:rPr>
        <w:t>eosinophils</w:t>
      </w:r>
      <w:proofErr w:type="spellEnd"/>
      <w:r w:rsidRPr="006C1FC0">
        <w:rPr>
          <w:rFonts w:asciiTheme="minorHAnsi" w:hAnsiTheme="minorHAnsi"/>
          <w:sz w:val="22"/>
          <w:szCs w:val="22"/>
        </w:rPr>
        <w:t xml:space="preserve"> are seen as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sequester these cells into the lungs and spleen and prompt decreased release from the bone marrow. Removal of old red blood cells becomes diminished.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cause involution of lymphoid tissue.</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GI Tract and Hepatic System</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increase the secretion of gastric acid, pepsin, and </w:t>
      </w:r>
      <w:proofErr w:type="spellStart"/>
      <w:r w:rsidRPr="006C1FC0">
        <w:rPr>
          <w:rFonts w:asciiTheme="minorHAnsi" w:hAnsiTheme="minorHAnsi"/>
          <w:sz w:val="22"/>
          <w:szCs w:val="22"/>
        </w:rPr>
        <w:t>trypsin</w:t>
      </w:r>
      <w:proofErr w:type="spellEnd"/>
      <w:r w:rsidRPr="006C1FC0">
        <w:rPr>
          <w:rFonts w:asciiTheme="minorHAnsi" w:hAnsiTheme="minorHAnsi"/>
          <w:sz w:val="22"/>
          <w:szCs w:val="22"/>
        </w:rPr>
        <w:t xml:space="preserve">. They alter the structure of </w:t>
      </w:r>
      <w:proofErr w:type="spellStart"/>
      <w:r w:rsidRPr="006C1FC0">
        <w:rPr>
          <w:rFonts w:asciiTheme="minorHAnsi" w:hAnsiTheme="minorHAnsi"/>
          <w:sz w:val="22"/>
          <w:szCs w:val="22"/>
        </w:rPr>
        <w:t>mucin</w:t>
      </w:r>
      <w:proofErr w:type="spellEnd"/>
      <w:r w:rsidRPr="006C1FC0">
        <w:rPr>
          <w:rFonts w:asciiTheme="minorHAnsi" w:hAnsiTheme="minorHAnsi"/>
          <w:sz w:val="22"/>
          <w:szCs w:val="22"/>
        </w:rPr>
        <w:t xml:space="preserve"> and decrease mucosal cell proliferation. Iron salts and calcium absorption are decreased while fat absorption is increased. Hepatic changes can include increased fat and glycogen deposits within </w:t>
      </w:r>
      <w:proofErr w:type="spellStart"/>
      <w:r w:rsidRPr="006C1FC0">
        <w:rPr>
          <w:rFonts w:asciiTheme="minorHAnsi" w:hAnsiTheme="minorHAnsi"/>
          <w:sz w:val="22"/>
          <w:szCs w:val="22"/>
        </w:rPr>
        <w:t>hepatocytes</w:t>
      </w:r>
      <w:proofErr w:type="spellEnd"/>
      <w:r w:rsidRPr="006C1FC0">
        <w:rPr>
          <w:rFonts w:asciiTheme="minorHAnsi" w:hAnsiTheme="minorHAnsi"/>
          <w:sz w:val="22"/>
          <w:szCs w:val="22"/>
        </w:rPr>
        <w:t xml:space="preserve">, increased serum levels of </w:t>
      </w:r>
      <w:proofErr w:type="spellStart"/>
      <w:r w:rsidRPr="006C1FC0">
        <w:rPr>
          <w:rFonts w:asciiTheme="minorHAnsi" w:hAnsiTheme="minorHAnsi"/>
          <w:sz w:val="22"/>
          <w:szCs w:val="22"/>
        </w:rPr>
        <w:t>alanine</w:t>
      </w:r>
      <w:proofErr w:type="spellEnd"/>
      <w:r w:rsidRPr="006C1FC0">
        <w:rPr>
          <w:rFonts w:asciiTheme="minorHAnsi" w:hAnsiTheme="minorHAnsi"/>
          <w:sz w:val="22"/>
          <w:szCs w:val="22"/>
        </w:rPr>
        <w:t xml:space="preserve"> </w:t>
      </w:r>
      <w:proofErr w:type="spellStart"/>
      <w:r w:rsidRPr="006C1FC0">
        <w:rPr>
          <w:rFonts w:asciiTheme="minorHAnsi" w:hAnsiTheme="minorHAnsi"/>
          <w:sz w:val="22"/>
          <w:szCs w:val="22"/>
        </w:rPr>
        <w:t>aminotransferase</w:t>
      </w:r>
      <w:proofErr w:type="spellEnd"/>
      <w:r w:rsidRPr="006C1FC0">
        <w:rPr>
          <w:rFonts w:asciiTheme="minorHAnsi" w:hAnsiTheme="minorHAnsi"/>
          <w:sz w:val="22"/>
          <w:szCs w:val="22"/>
        </w:rPr>
        <w:t xml:space="preserve"> (ALT), and gamma-</w:t>
      </w:r>
      <w:proofErr w:type="spellStart"/>
      <w:r w:rsidRPr="006C1FC0">
        <w:rPr>
          <w:rFonts w:asciiTheme="minorHAnsi" w:hAnsiTheme="minorHAnsi"/>
          <w:sz w:val="22"/>
          <w:szCs w:val="22"/>
        </w:rPr>
        <w:t>glutamyl</w:t>
      </w:r>
      <w:proofErr w:type="spellEnd"/>
      <w:r w:rsidRPr="006C1FC0">
        <w:rPr>
          <w:rFonts w:asciiTheme="minorHAnsi" w:hAnsiTheme="minorHAnsi"/>
          <w:sz w:val="22"/>
          <w:szCs w:val="22"/>
        </w:rPr>
        <w:t xml:space="preserve"> </w:t>
      </w:r>
      <w:proofErr w:type="spellStart"/>
      <w:r w:rsidRPr="006C1FC0">
        <w:rPr>
          <w:rFonts w:asciiTheme="minorHAnsi" w:hAnsiTheme="minorHAnsi"/>
          <w:sz w:val="22"/>
          <w:szCs w:val="22"/>
        </w:rPr>
        <w:t>transpeptidase</w:t>
      </w:r>
      <w:proofErr w:type="spellEnd"/>
      <w:r w:rsidRPr="006C1FC0">
        <w:rPr>
          <w:rFonts w:asciiTheme="minorHAnsi" w:hAnsiTheme="minorHAnsi"/>
          <w:sz w:val="22"/>
          <w:szCs w:val="22"/>
        </w:rPr>
        <w:t xml:space="preserve"> (GGT). Significant increases can be seen in serum alkaline </w:t>
      </w:r>
      <w:proofErr w:type="spellStart"/>
      <w:r w:rsidRPr="006C1FC0">
        <w:rPr>
          <w:rFonts w:asciiTheme="minorHAnsi" w:hAnsiTheme="minorHAnsi"/>
          <w:sz w:val="22"/>
          <w:szCs w:val="22"/>
        </w:rPr>
        <w:t>phosphatase</w:t>
      </w:r>
      <w:proofErr w:type="spellEnd"/>
      <w:r w:rsidRPr="006C1FC0">
        <w:rPr>
          <w:rFonts w:asciiTheme="minorHAnsi" w:hAnsiTheme="minorHAnsi"/>
          <w:sz w:val="22"/>
          <w:szCs w:val="22"/>
        </w:rPr>
        <w:t xml:space="preserve"> levels.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cause minor increases in BSP (</w:t>
      </w:r>
      <w:proofErr w:type="spellStart"/>
      <w:r w:rsidRPr="006C1FC0">
        <w:rPr>
          <w:rFonts w:asciiTheme="minorHAnsi" w:hAnsiTheme="minorHAnsi"/>
          <w:sz w:val="22"/>
          <w:szCs w:val="22"/>
        </w:rPr>
        <w:t>bromosulfophthalein</w:t>
      </w:r>
      <w:proofErr w:type="spellEnd"/>
      <w:r w:rsidRPr="006C1FC0">
        <w:rPr>
          <w:rFonts w:asciiTheme="minorHAnsi" w:hAnsiTheme="minorHAnsi"/>
          <w:sz w:val="22"/>
          <w:szCs w:val="22"/>
        </w:rPr>
        <w:t xml:space="preserve">) retention time. </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Immune System</w:t>
      </w:r>
      <w:r w:rsidRPr="006C1FC0">
        <w:rPr>
          <w:rFonts w:asciiTheme="minorHAnsi" w:hAnsiTheme="minorHAnsi"/>
          <w:sz w:val="22"/>
          <w:szCs w:val="22"/>
        </w:rPr>
        <w:t xml:space="preserve"> (also see Cells and Hematopoietic System):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decrease circulating levels of T-lymphocytes; inhibit </w:t>
      </w:r>
      <w:proofErr w:type="spellStart"/>
      <w:r w:rsidRPr="006C1FC0">
        <w:rPr>
          <w:rFonts w:asciiTheme="minorHAnsi" w:hAnsiTheme="minorHAnsi"/>
          <w:sz w:val="22"/>
          <w:szCs w:val="22"/>
        </w:rPr>
        <w:t>lymphokines</w:t>
      </w:r>
      <w:proofErr w:type="spellEnd"/>
      <w:r w:rsidRPr="006C1FC0">
        <w:rPr>
          <w:rFonts w:asciiTheme="minorHAnsi" w:hAnsiTheme="minorHAnsi"/>
          <w:sz w:val="22"/>
          <w:szCs w:val="22"/>
        </w:rPr>
        <w:t xml:space="preserve">; inhibit </w:t>
      </w:r>
      <w:proofErr w:type="spellStart"/>
      <w:r w:rsidRPr="006C1FC0">
        <w:rPr>
          <w:rFonts w:asciiTheme="minorHAnsi" w:hAnsiTheme="minorHAnsi"/>
          <w:sz w:val="22"/>
          <w:szCs w:val="22"/>
        </w:rPr>
        <w:t>neutrophil</w:t>
      </w:r>
      <w:proofErr w:type="spellEnd"/>
      <w:r w:rsidRPr="006C1FC0">
        <w:rPr>
          <w:rFonts w:asciiTheme="minorHAnsi" w:hAnsiTheme="minorHAnsi"/>
          <w:sz w:val="22"/>
          <w:szCs w:val="22"/>
        </w:rPr>
        <w:t xml:space="preserve">, macrophage, and </w:t>
      </w:r>
      <w:proofErr w:type="spellStart"/>
      <w:r w:rsidRPr="006C1FC0">
        <w:rPr>
          <w:rFonts w:asciiTheme="minorHAnsi" w:hAnsiTheme="minorHAnsi"/>
          <w:sz w:val="22"/>
          <w:szCs w:val="22"/>
        </w:rPr>
        <w:t>monocyte</w:t>
      </w:r>
      <w:proofErr w:type="spellEnd"/>
      <w:r w:rsidRPr="006C1FC0">
        <w:rPr>
          <w:rFonts w:asciiTheme="minorHAnsi" w:hAnsiTheme="minorHAnsi"/>
          <w:sz w:val="22"/>
          <w:szCs w:val="22"/>
        </w:rPr>
        <w:t xml:space="preserve"> migration; reduce production of interferon; inhibit </w:t>
      </w:r>
      <w:proofErr w:type="spellStart"/>
      <w:r w:rsidRPr="006C1FC0">
        <w:rPr>
          <w:rFonts w:asciiTheme="minorHAnsi" w:hAnsiTheme="minorHAnsi"/>
          <w:sz w:val="22"/>
          <w:szCs w:val="22"/>
        </w:rPr>
        <w:t>phagocytosis</w:t>
      </w:r>
      <w:proofErr w:type="spellEnd"/>
      <w:r w:rsidRPr="006C1FC0">
        <w:rPr>
          <w:rFonts w:asciiTheme="minorHAnsi" w:hAnsiTheme="minorHAnsi"/>
          <w:sz w:val="22"/>
          <w:szCs w:val="22"/>
        </w:rPr>
        <w:t xml:space="preserve"> and </w:t>
      </w:r>
      <w:proofErr w:type="spellStart"/>
      <w:r w:rsidRPr="006C1FC0">
        <w:rPr>
          <w:rFonts w:asciiTheme="minorHAnsi" w:hAnsiTheme="minorHAnsi"/>
          <w:sz w:val="22"/>
          <w:szCs w:val="22"/>
        </w:rPr>
        <w:t>chemotaxis</w:t>
      </w:r>
      <w:proofErr w:type="spellEnd"/>
      <w:r w:rsidRPr="006C1FC0">
        <w:rPr>
          <w:rFonts w:asciiTheme="minorHAnsi" w:hAnsiTheme="minorHAnsi"/>
          <w:sz w:val="22"/>
          <w:szCs w:val="22"/>
        </w:rPr>
        <w:t xml:space="preserve">; antigen processing; and diminish intracellular killing. Specific acquired immunity is affected less than nonspecific immune responses.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also antagonize the complement cascade and mask the clinical signs of infection. Mast cells are decreased in number and histamine synthesis is suppressed. Many of these effects only occur at high or very high doses and there are species differences in response.</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Metabolic effects</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stimulate </w:t>
      </w:r>
      <w:proofErr w:type="spellStart"/>
      <w:r w:rsidRPr="006C1FC0">
        <w:rPr>
          <w:rFonts w:asciiTheme="minorHAnsi" w:hAnsiTheme="minorHAnsi"/>
          <w:sz w:val="22"/>
          <w:szCs w:val="22"/>
        </w:rPr>
        <w:t>gluconeogenesis</w:t>
      </w:r>
      <w:proofErr w:type="spellEnd"/>
      <w:r w:rsidRPr="006C1FC0">
        <w:rPr>
          <w:rFonts w:asciiTheme="minorHAnsi" w:hAnsiTheme="minorHAnsi"/>
          <w:sz w:val="22"/>
          <w:szCs w:val="22"/>
        </w:rPr>
        <w:t xml:space="preserve">. </w:t>
      </w:r>
      <w:proofErr w:type="spellStart"/>
      <w:r w:rsidRPr="006C1FC0">
        <w:rPr>
          <w:rFonts w:asciiTheme="minorHAnsi" w:hAnsiTheme="minorHAnsi"/>
          <w:sz w:val="22"/>
          <w:szCs w:val="22"/>
        </w:rPr>
        <w:t>Lipogenesis</w:t>
      </w:r>
      <w:proofErr w:type="spellEnd"/>
      <w:r w:rsidRPr="006C1FC0">
        <w:rPr>
          <w:rFonts w:asciiTheme="minorHAnsi" w:hAnsiTheme="minorHAnsi"/>
          <w:sz w:val="22"/>
          <w:szCs w:val="22"/>
        </w:rPr>
        <w:t xml:space="preserve"> is enhanced in certain areas of the body (e.g., abdomen) and adipose tissue can be redistributed away from the extremities to the trunk. Fatty acids are mobilized from tissues and their oxidation is increased. Plasma levels of </w:t>
      </w:r>
      <w:r w:rsidRPr="006C1FC0">
        <w:rPr>
          <w:rFonts w:asciiTheme="minorHAnsi" w:hAnsiTheme="minorHAnsi"/>
          <w:sz w:val="22"/>
          <w:szCs w:val="22"/>
        </w:rPr>
        <w:lastRenderedPageBreak/>
        <w:t>triglycerides, cholesterol, and glycerol are increased. Protein is mobilized from most areas of the body (not the liver).</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Musculoskeletal</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may cause muscular weakness (also caused if there is a lack of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atrophy, and osteoporosis. Bone growth can be inhibited via growth hormone and </w:t>
      </w:r>
      <w:proofErr w:type="spellStart"/>
      <w:r w:rsidRPr="006C1FC0">
        <w:rPr>
          <w:rFonts w:asciiTheme="minorHAnsi" w:hAnsiTheme="minorHAnsi"/>
          <w:sz w:val="22"/>
          <w:szCs w:val="22"/>
        </w:rPr>
        <w:t>somatomedin</w:t>
      </w:r>
      <w:proofErr w:type="spellEnd"/>
      <w:r w:rsidRPr="006C1FC0">
        <w:rPr>
          <w:rFonts w:asciiTheme="minorHAnsi" w:hAnsiTheme="minorHAnsi"/>
          <w:sz w:val="22"/>
          <w:szCs w:val="22"/>
        </w:rPr>
        <w:t xml:space="preserve"> inhibition, increased calcium excretion and inhibition of vitamin D activation. </w:t>
      </w:r>
      <w:proofErr w:type="spellStart"/>
      <w:r w:rsidRPr="006C1FC0">
        <w:rPr>
          <w:rFonts w:asciiTheme="minorHAnsi" w:hAnsiTheme="minorHAnsi"/>
          <w:sz w:val="22"/>
          <w:szCs w:val="22"/>
        </w:rPr>
        <w:t>Resorption</w:t>
      </w:r>
      <w:proofErr w:type="spellEnd"/>
      <w:r w:rsidRPr="006C1FC0">
        <w:rPr>
          <w:rFonts w:asciiTheme="minorHAnsi" w:hAnsiTheme="minorHAnsi"/>
          <w:sz w:val="22"/>
          <w:szCs w:val="22"/>
        </w:rPr>
        <w:t xml:space="preserve"> of bone can be enhanced. </w:t>
      </w:r>
      <w:proofErr w:type="spellStart"/>
      <w:r w:rsidRPr="006C1FC0">
        <w:rPr>
          <w:rFonts w:asciiTheme="minorHAnsi" w:hAnsiTheme="minorHAnsi"/>
          <w:sz w:val="22"/>
          <w:szCs w:val="22"/>
        </w:rPr>
        <w:t>Fibrocartilage</w:t>
      </w:r>
      <w:proofErr w:type="spellEnd"/>
      <w:r w:rsidRPr="006C1FC0">
        <w:rPr>
          <w:rFonts w:asciiTheme="minorHAnsi" w:hAnsiTheme="minorHAnsi"/>
          <w:sz w:val="22"/>
          <w:szCs w:val="22"/>
        </w:rPr>
        <w:t xml:space="preserve"> growth is also inhibited.</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Ophthalmic</w:t>
      </w:r>
      <w:r w:rsidRPr="006C1FC0">
        <w:rPr>
          <w:rFonts w:asciiTheme="minorHAnsi" w:hAnsiTheme="minorHAnsi"/>
          <w:sz w:val="22"/>
          <w:szCs w:val="22"/>
        </w:rPr>
        <w:t xml:space="preserve">: Prolonged corticosteroid use (both systemic or topically to the eye) can cause increased intraocular pressure and glaucoma, cataracts, and </w:t>
      </w:r>
      <w:proofErr w:type="spellStart"/>
      <w:r w:rsidRPr="006C1FC0">
        <w:rPr>
          <w:rFonts w:asciiTheme="minorHAnsi" w:hAnsiTheme="minorHAnsi"/>
          <w:sz w:val="22"/>
          <w:szCs w:val="22"/>
        </w:rPr>
        <w:t>exophthalmos</w:t>
      </w:r>
      <w:proofErr w:type="spellEnd"/>
      <w:r w:rsidRPr="006C1FC0">
        <w:rPr>
          <w:rFonts w:asciiTheme="minorHAnsi" w:hAnsiTheme="minorHAnsi"/>
          <w:sz w:val="22"/>
          <w:szCs w:val="22"/>
        </w:rPr>
        <w:t>.</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Renal, Fluid, &amp; Electrolytes</w:t>
      </w:r>
      <w:r w:rsidRPr="006C1FC0">
        <w:rPr>
          <w:rFonts w:asciiTheme="minorHAnsi" w:hAnsiTheme="minorHAnsi"/>
          <w:sz w:val="22"/>
          <w:szCs w:val="22"/>
        </w:rPr>
        <w:t xml:space="preserve">: </w:t>
      </w:r>
      <w:proofErr w:type="spellStart"/>
      <w:r w:rsidRPr="006C1FC0">
        <w:rPr>
          <w:rFonts w:asciiTheme="minorHAnsi" w:hAnsiTheme="minorHAnsi"/>
          <w:sz w:val="22"/>
          <w:szCs w:val="22"/>
        </w:rPr>
        <w:t>Glucocorticoids</w:t>
      </w:r>
      <w:proofErr w:type="spellEnd"/>
      <w:r w:rsidRPr="006C1FC0">
        <w:rPr>
          <w:rFonts w:asciiTheme="minorHAnsi" w:hAnsiTheme="minorHAnsi"/>
          <w:sz w:val="22"/>
          <w:szCs w:val="22"/>
        </w:rPr>
        <w:t xml:space="preserve"> can increase potassium and calcium excretion, sodium and chloride </w:t>
      </w:r>
      <w:proofErr w:type="spellStart"/>
      <w:r w:rsidRPr="006C1FC0">
        <w:rPr>
          <w:rFonts w:asciiTheme="minorHAnsi" w:hAnsiTheme="minorHAnsi"/>
          <w:sz w:val="22"/>
          <w:szCs w:val="22"/>
        </w:rPr>
        <w:t>reabsorption</w:t>
      </w:r>
      <w:proofErr w:type="spellEnd"/>
      <w:r w:rsidRPr="006C1FC0">
        <w:rPr>
          <w:rFonts w:asciiTheme="minorHAnsi" w:hAnsiTheme="minorHAnsi"/>
          <w:sz w:val="22"/>
          <w:szCs w:val="22"/>
        </w:rPr>
        <w:t xml:space="preserve">, and extracellular fluid volume. </w:t>
      </w:r>
      <w:proofErr w:type="spellStart"/>
      <w:r w:rsidRPr="006C1FC0">
        <w:rPr>
          <w:rFonts w:asciiTheme="minorHAnsi" w:hAnsiTheme="minorHAnsi"/>
          <w:sz w:val="22"/>
          <w:szCs w:val="22"/>
        </w:rPr>
        <w:t>Hypokalemia</w:t>
      </w:r>
      <w:proofErr w:type="spellEnd"/>
      <w:r w:rsidRPr="006C1FC0">
        <w:rPr>
          <w:rFonts w:asciiTheme="minorHAnsi" w:hAnsiTheme="minorHAnsi"/>
          <w:sz w:val="22"/>
          <w:szCs w:val="22"/>
        </w:rPr>
        <w:t xml:space="preserve"> and/or </w:t>
      </w:r>
      <w:proofErr w:type="spellStart"/>
      <w:r w:rsidRPr="006C1FC0">
        <w:rPr>
          <w:rFonts w:asciiTheme="minorHAnsi" w:hAnsiTheme="minorHAnsi"/>
          <w:sz w:val="22"/>
          <w:szCs w:val="22"/>
        </w:rPr>
        <w:t>hypocalcemia</w:t>
      </w:r>
      <w:proofErr w:type="spellEnd"/>
      <w:r w:rsidRPr="006C1FC0">
        <w:rPr>
          <w:rFonts w:asciiTheme="minorHAnsi" w:hAnsiTheme="minorHAnsi"/>
          <w:sz w:val="22"/>
          <w:szCs w:val="22"/>
        </w:rPr>
        <w:t xml:space="preserve"> rarely occur. </w:t>
      </w:r>
      <w:proofErr w:type="spellStart"/>
      <w:r w:rsidRPr="006C1FC0">
        <w:rPr>
          <w:rFonts w:asciiTheme="minorHAnsi" w:hAnsiTheme="minorHAnsi"/>
          <w:sz w:val="22"/>
          <w:szCs w:val="22"/>
        </w:rPr>
        <w:t>Diuresis</w:t>
      </w:r>
      <w:proofErr w:type="spellEnd"/>
      <w:r w:rsidRPr="006C1FC0">
        <w:rPr>
          <w:rFonts w:asciiTheme="minorHAnsi" w:hAnsiTheme="minorHAnsi"/>
          <w:sz w:val="22"/>
          <w:szCs w:val="22"/>
        </w:rPr>
        <w:t xml:space="preserve"> may develop following </w:t>
      </w:r>
      <w:proofErr w:type="spellStart"/>
      <w:r w:rsidRPr="006C1FC0">
        <w:rPr>
          <w:rFonts w:asciiTheme="minorHAnsi" w:hAnsiTheme="minorHAnsi"/>
          <w:sz w:val="22"/>
          <w:szCs w:val="22"/>
        </w:rPr>
        <w:t>glucocorticoid</w:t>
      </w:r>
      <w:proofErr w:type="spellEnd"/>
      <w:r w:rsidRPr="006C1FC0">
        <w:rPr>
          <w:rFonts w:asciiTheme="minorHAnsi" w:hAnsiTheme="minorHAnsi"/>
          <w:sz w:val="22"/>
          <w:szCs w:val="22"/>
        </w:rPr>
        <w:t xml:space="preserve"> administration. </w:t>
      </w:r>
    </w:p>
    <w:p w:rsidR="006C1FC0" w:rsidRPr="006C1FC0" w:rsidRDefault="006C1FC0" w:rsidP="006C1FC0">
      <w:pPr>
        <w:pStyle w:val="bodyindent"/>
        <w:rPr>
          <w:rFonts w:asciiTheme="minorHAnsi" w:hAnsiTheme="minorHAnsi"/>
          <w:sz w:val="22"/>
          <w:szCs w:val="22"/>
        </w:rPr>
      </w:pPr>
      <w:r w:rsidRPr="006C1FC0">
        <w:rPr>
          <w:rFonts w:asciiTheme="minorHAnsi" w:hAnsiTheme="minorHAnsi"/>
          <w:b/>
          <w:bCs/>
          <w:sz w:val="22"/>
          <w:szCs w:val="22"/>
        </w:rPr>
        <w:t>Skin</w:t>
      </w:r>
      <w:r w:rsidRPr="006C1FC0">
        <w:rPr>
          <w:rFonts w:asciiTheme="minorHAnsi" w:hAnsiTheme="minorHAnsi"/>
          <w:sz w:val="22"/>
          <w:szCs w:val="22"/>
        </w:rPr>
        <w:t xml:space="preserve">: Thinning of dermal tissue and skin atrophy can be seen with </w:t>
      </w:r>
      <w:proofErr w:type="spellStart"/>
      <w:r w:rsidRPr="006C1FC0">
        <w:rPr>
          <w:rFonts w:asciiTheme="minorHAnsi" w:hAnsiTheme="minorHAnsi"/>
          <w:sz w:val="22"/>
          <w:szCs w:val="22"/>
        </w:rPr>
        <w:t>glucocorticoid</w:t>
      </w:r>
      <w:proofErr w:type="spellEnd"/>
      <w:r w:rsidRPr="006C1FC0">
        <w:rPr>
          <w:rFonts w:asciiTheme="minorHAnsi" w:hAnsiTheme="minorHAnsi"/>
          <w:sz w:val="22"/>
          <w:szCs w:val="22"/>
        </w:rPr>
        <w:t xml:space="preserve"> therapy. Hair follicles can become distended and alopecia may occur.</w:t>
      </w:r>
    </w:p>
    <w:p w:rsidR="00525CB7" w:rsidRDefault="00C20BBF" w:rsidP="00D40930">
      <w:pPr>
        <w:spacing w:after="0" w:line="240" w:lineRule="auto"/>
        <w:rPr>
          <w:b/>
          <w:color w:val="000000" w:themeColor="text1"/>
        </w:rPr>
      </w:pPr>
      <w:r>
        <w:rPr>
          <w:b/>
          <w:color w:val="000000" w:themeColor="text1"/>
        </w:rPr>
        <w:t>Adverse Effects</w:t>
      </w:r>
    </w:p>
    <w:p w:rsidR="006C1FC0" w:rsidRDefault="006C1FC0" w:rsidP="006C1FC0">
      <w:pPr>
        <w:pStyle w:val="bodyindent"/>
        <w:spacing w:before="0" w:beforeAutospacing="0" w:after="0" w:afterAutospacing="0"/>
        <w:rPr>
          <w:rFonts w:asciiTheme="minorHAnsi" w:hAnsiTheme="minorHAnsi"/>
          <w:i/>
          <w:sz w:val="22"/>
          <w:szCs w:val="22"/>
        </w:rPr>
      </w:pPr>
    </w:p>
    <w:p w:rsidR="006C1FC0" w:rsidRDefault="006C1FC0" w:rsidP="006C1FC0">
      <w:pPr>
        <w:pStyle w:val="bodyindent"/>
        <w:spacing w:before="0" w:beforeAutospacing="0" w:after="0" w:afterAutospacing="0"/>
        <w:rPr>
          <w:rFonts w:asciiTheme="minorHAnsi" w:hAnsiTheme="minorHAnsi"/>
          <w:i/>
          <w:sz w:val="22"/>
          <w:szCs w:val="22"/>
        </w:rPr>
      </w:pPr>
      <w:r w:rsidRPr="006C1FC0">
        <w:rPr>
          <w:rFonts w:asciiTheme="minorHAnsi" w:hAnsiTheme="minorHAnsi"/>
          <w:i/>
          <w:sz w:val="22"/>
          <w:szCs w:val="22"/>
        </w:rPr>
        <w:t>Dogs</w:t>
      </w:r>
    </w:p>
    <w:p w:rsidR="006C1FC0" w:rsidRDefault="006C1FC0" w:rsidP="006C1FC0">
      <w:pPr>
        <w:pStyle w:val="bodyindent"/>
        <w:spacing w:before="0" w:beforeAutospacing="0" w:after="0" w:afterAutospacing="0"/>
        <w:rPr>
          <w:rFonts w:asciiTheme="minorHAnsi" w:hAnsiTheme="minorHAnsi"/>
          <w:sz w:val="22"/>
          <w:szCs w:val="22"/>
        </w:rPr>
      </w:pPr>
      <w:r>
        <w:rPr>
          <w:rFonts w:asciiTheme="minorHAnsi" w:hAnsiTheme="minorHAnsi"/>
          <w:sz w:val="22"/>
          <w:szCs w:val="22"/>
        </w:rPr>
        <w:t>•A</w:t>
      </w:r>
      <w:r w:rsidRPr="00C20BBF">
        <w:rPr>
          <w:rFonts w:asciiTheme="minorHAnsi" w:hAnsiTheme="minorHAnsi"/>
          <w:sz w:val="22"/>
          <w:szCs w:val="22"/>
        </w:rPr>
        <w:t>dverse effects associated with anti</w:t>
      </w:r>
      <w:r>
        <w:rPr>
          <w:rFonts w:asciiTheme="minorHAnsi" w:hAnsiTheme="minorHAnsi"/>
          <w:sz w:val="22"/>
          <w:szCs w:val="22"/>
        </w:rPr>
        <w:t>-</w:t>
      </w:r>
      <w:r w:rsidRPr="00C20BBF">
        <w:rPr>
          <w:rFonts w:asciiTheme="minorHAnsi" w:hAnsiTheme="minorHAnsi"/>
          <w:sz w:val="22"/>
          <w:szCs w:val="22"/>
        </w:rPr>
        <w:t>inflammatory therapy are relatively uncommon.</w:t>
      </w:r>
    </w:p>
    <w:p w:rsidR="006C1FC0" w:rsidRDefault="006C1FC0" w:rsidP="006C1FC0">
      <w:pPr>
        <w:pStyle w:val="bodyindent"/>
        <w:spacing w:before="0" w:beforeAutospacing="0" w:after="0" w:afterAutospacing="0"/>
        <w:ind w:firstLine="720"/>
        <w:rPr>
          <w:rFonts w:asciiTheme="minorHAnsi" w:hAnsiTheme="minorHAnsi"/>
          <w:sz w:val="22"/>
          <w:szCs w:val="22"/>
        </w:rPr>
      </w:pPr>
      <w:proofErr w:type="spellStart"/>
      <w:r>
        <w:rPr>
          <w:rFonts w:asciiTheme="minorHAnsi" w:hAnsiTheme="minorHAnsi"/>
          <w:sz w:val="22"/>
          <w:szCs w:val="22"/>
        </w:rPr>
        <w:t>P</w:t>
      </w:r>
      <w:r w:rsidR="00C20BBF" w:rsidRPr="00C20BBF">
        <w:rPr>
          <w:rFonts w:asciiTheme="minorHAnsi" w:hAnsiTheme="minorHAnsi"/>
          <w:sz w:val="22"/>
          <w:szCs w:val="22"/>
        </w:rPr>
        <w:t>olydipsia</w:t>
      </w:r>
      <w:proofErr w:type="spellEnd"/>
      <w:r w:rsidR="00C20BBF" w:rsidRPr="00C20BBF">
        <w:rPr>
          <w:rFonts w:asciiTheme="minorHAnsi" w:hAnsiTheme="minorHAnsi"/>
          <w:sz w:val="22"/>
          <w:szCs w:val="22"/>
        </w:rPr>
        <w:t xml:space="preserve"> (PD), </w:t>
      </w:r>
      <w:proofErr w:type="spellStart"/>
      <w:r w:rsidR="00C20BBF" w:rsidRPr="00C20BBF">
        <w:rPr>
          <w:rFonts w:asciiTheme="minorHAnsi" w:hAnsiTheme="minorHAnsi"/>
          <w:sz w:val="22"/>
          <w:szCs w:val="22"/>
        </w:rPr>
        <w:t>polyphagia</w:t>
      </w:r>
      <w:proofErr w:type="spellEnd"/>
      <w:r w:rsidR="00C20BBF" w:rsidRPr="00C20BBF">
        <w:rPr>
          <w:rFonts w:asciiTheme="minorHAnsi" w:hAnsiTheme="minorHAnsi"/>
          <w:sz w:val="22"/>
          <w:szCs w:val="22"/>
        </w:rPr>
        <w:t xml:space="preserve"> (PP), and </w:t>
      </w:r>
      <w:proofErr w:type="spellStart"/>
      <w:r w:rsidR="00C20BBF" w:rsidRPr="00C20BBF">
        <w:rPr>
          <w:rFonts w:asciiTheme="minorHAnsi" w:hAnsiTheme="minorHAnsi"/>
          <w:sz w:val="22"/>
          <w:szCs w:val="22"/>
        </w:rPr>
        <w:t>polyuria</w:t>
      </w:r>
      <w:proofErr w:type="spellEnd"/>
      <w:r w:rsidR="00C20BBF" w:rsidRPr="00C20BBF">
        <w:rPr>
          <w:rFonts w:asciiTheme="minorHAnsi" w:hAnsiTheme="minorHAnsi"/>
          <w:sz w:val="22"/>
          <w:szCs w:val="22"/>
        </w:rPr>
        <w:t xml:space="preserve"> (PU) may all be seen </w:t>
      </w:r>
    </w:p>
    <w:p w:rsidR="006C1FC0" w:rsidRDefault="006C1FC0" w:rsidP="006C1FC0">
      <w:pPr>
        <w:pStyle w:val="bodyindent"/>
        <w:spacing w:before="0" w:beforeAutospacing="0" w:after="0" w:afterAutospacing="0"/>
        <w:rPr>
          <w:rFonts w:asciiTheme="minorHAnsi" w:hAnsiTheme="minorHAnsi"/>
          <w:sz w:val="22"/>
          <w:szCs w:val="22"/>
        </w:rPr>
      </w:pPr>
      <w:r>
        <w:rPr>
          <w:rFonts w:asciiTheme="minorHAnsi" w:hAnsiTheme="minorHAnsi"/>
          <w:sz w:val="22"/>
          <w:szCs w:val="22"/>
        </w:rPr>
        <w:t>•</w:t>
      </w:r>
      <w:r w:rsidR="00C20BBF" w:rsidRPr="00C20BBF">
        <w:rPr>
          <w:rFonts w:asciiTheme="minorHAnsi" w:hAnsiTheme="minorHAnsi"/>
          <w:sz w:val="22"/>
          <w:szCs w:val="22"/>
        </w:rPr>
        <w:t xml:space="preserve">Adverse effects in dogs can include: dull, dry </w:t>
      </w:r>
      <w:proofErr w:type="spellStart"/>
      <w:r w:rsidR="00C20BBF" w:rsidRPr="00C20BBF">
        <w:rPr>
          <w:rFonts w:asciiTheme="minorHAnsi" w:hAnsiTheme="minorHAnsi"/>
          <w:sz w:val="22"/>
          <w:szCs w:val="22"/>
        </w:rPr>
        <w:t>haircoat</w:t>
      </w:r>
      <w:proofErr w:type="spellEnd"/>
      <w:r w:rsidR="00C20BBF" w:rsidRPr="00C20BBF">
        <w:rPr>
          <w:rFonts w:asciiTheme="minorHAnsi" w:hAnsiTheme="minorHAnsi"/>
          <w:sz w:val="22"/>
          <w:szCs w:val="22"/>
        </w:rPr>
        <w:t xml:space="preserve">, weight gain, panting, vomiting, diarrhea, elevated liver enzymes, pancreatitis, GI ulceration, </w:t>
      </w:r>
      <w:proofErr w:type="spellStart"/>
      <w:r w:rsidR="00C20BBF" w:rsidRPr="00C20BBF">
        <w:rPr>
          <w:rFonts w:asciiTheme="minorHAnsi" w:hAnsiTheme="minorHAnsi"/>
          <w:sz w:val="22"/>
          <w:szCs w:val="22"/>
        </w:rPr>
        <w:t>lipidemias</w:t>
      </w:r>
      <w:proofErr w:type="spellEnd"/>
      <w:r w:rsidR="00C20BBF" w:rsidRPr="00C20BBF">
        <w:rPr>
          <w:rFonts w:asciiTheme="minorHAnsi" w:hAnsiTheme="minorHAnsi"/>
          <w:sz w:val="22"/>
          <w:szCs w:val="22"/>
        </w:rPr>
        <w:t xml:space="preserve">, activation or worsening of diabetes mellitus, muscle wasting, and behavioral changes (depression, lethargy, viciousness). </w:t>
      </w:r>
    </w:p>
    <w:p w:rsidR="00C20BBF" w:rsidRPr="006C1FC0" w:rsidRDefault="006C1FC0" w:rsidP="006C1FC0">
      <w:pPr>
        <w:pStyle w:val="bodyindent"/>
        <w:spacing w:before="0" w:beforeAutospacing="0" w:after="0" w:afterAutospacing="0"/>
        <w:rPr>
          <w:rFonts w:asciiTheme="minorHAnsi" w:hAnsiTheme="minorHAnsi"/>
          <w:i/>
          <w:sz w:val="22"/>
          <w:szCs w:val="22"/>
        </w:rPr>
      </w:pPr>
      <w:r>
        <w:rPr>
          <w:rFonts w:asciiTheme="minorHAnsi" w:hAnsiTheme="minorHAnsi"/>
          <w:sz w:val="22"/>
          <w:szCs w:val="22"/>
        </w:rPr>
        <w:t>•</w:t>
      </w:r>
      <w:r w:rsidR="00C20BBF" w:rsidRPr="00C20BBF">
        <w:rPr>
          <w:rFonts w:asciiTheme="minorHAnsi" w:hAnsiTheme="minorHAnsi"/>
          <w:sz w:val="22"/>
          <w:szCs w:val="22"/>
        </w:rPr>
        <w:t>Discontinuation of the drug may be necessary; changing to an alternate steroid may also alleviate the problem.</w:t>
      </w:r>
    </w:p>
    <w:p w:rsidR="006C1FC0" w:rsidRDefault="006C1FC0" w:rsidP="006C1FC0">
      <w:pPr>
        <w:pStyle w:val="bodyindent"/>
        <w:spacing w:before="0" w:beforeAutospacing="0" w:after="0" w:afterAutospacing="0"/>
        <w:rPr>
          <w:rFonts w:asciiTheme="minorHAnsi" w:hAnsiTheme="minorHAnsi"/>
          <w:i/>
          <w:sz w:val="22"/>
          <w:szCs w:val="22"/>
        </w:rPr>
      </w:pPr>
    </w:p>
    <w:p w:rsidR="006C1FC0" w:rsidRPr="006C1FC0" w:rsidRDefault="00C20BBF" w:rsidP="006C1FC0">
      <w:pPr>
        <w:pStyle w:val="bodyindent"/>
        <w:spacing w:before="0" w:beforeAutospacing="0" w:after="0" w:afterAutospacing="0"/>
        <w:rPr>
          <w:rFonts w:asciiTheme="minorHAnsi" w:hAnsiTheme="minorHAnsi"/>
          <w:i/>
          <w:sz w:val="22"/>
          <w:szCs w:val="22"/>
        </w:rPr>
      </w:pPr>
      <w:r w:rsidRPr="006C1FC0">
        <w:rPr>
          <w:rFonts w:asciiTheme="minorHAnsi" w:hAnsiTheme="minorHAnsi"/>
          <w:i/>
          <w:sz w:val="22"/>
          <w:szCs w:val="22"/>
        </w:rPr>
        <w:t xml:space="preserve">Cats </w:t>
      </w:r>
    </w:p>
    <w:p w:rsidR="006C1FC0" w:rsidRDefault="006C1FC0" w:rsidP="006C1FC0">
      <w:pPr>
        <w:pStyle w:val="bodyindent"/>
        <w:spacing w:before="0" w:beforeAutospacing="0" w:after="0" w:afterAutospacing="0"/>
        <w:rPr>
          <w:rFonts w:asciiTheme="minorHAnsi" w:hAnsiTheme="minorHAnsi"/>
          <w:sz w:val="22"/>
          <w:szCs w:val="22"/>
        </w:rPr>
      </w:pPr>
      <w:r>
        <w:rPr>
          <w:rFonts w:asciiTheme="minorHAnsi" w:hAnsiTheme="minorHAnsi"/>
          <w:sz w:val="22"/>
          <w:szCs w:val="22"/>
        </w:rPr>
        <w:t>•G</w:t>
      </w:r>
      <w:r w:rsidR="00C20BBF" w:rsidRPr="00C20BBF">
        <w:rPr>
          <w:rFonts w:asciiTheme="minorHAnsi" w:hAnsiTheme="minorHAnsi"/>
          <w:sz w:val="22"/>
          <w:szCs w:val="22"/>
        </w:rPr>
        <w:t>enerally require higher dosages than dogs for clinical effect, but tend t</w:t>
      </w:r>
      <w:r>
        <w:rPr>
          <w:rFonts w:asciiTheme="minorHAnsi" w:hAnsiTheme="minorHAnsi"/>
          <w:sz w:val="22"/>
          <w:szCs w:val="22"/>
        </w:rPr>
        <w:t>o develop fewer adverse effects</w:t>
      </w:r>
      <w:r w:rsidR="00C20BBF" w:rsidRPr="00C20BBF">
        <w:rPr>
          <w:rFonts w:asciiTheme="minorHAnsi" w:hAnsiTheme="minorHAnsi"/>
          <w:sz w:val="22"/>
          <w:szCs w:val="22"/>
        </w:rPr>
        <w:t xml:space="preserve"> </w:t>
      </w:r>
    </w:p>
    <w:p w:rsidR="00645FA8" w:rsidRDefault="006C1FC0" w:rsidP="006C1FC0">
      <w:pPr>
        <w:pStyle w:val="bodyindent"/>
        <w:spacing w:before="0" w:beforeAutospacing="0" w:after="0" w:afterAutospacing="0"/>
        <w:rPr>
          <w:rFonts w:asciiTheme="minorHAnsi" w:hAnsiTheme="minorHAnsi"/>
          <w:sz w:val="22"/>
          <w:szCs w:val="22"/>
        </w:rPr>
      </w:pPr>
      <w:r>
        <w:rPr>
          <w:rFonts w:asciiTheme="minorHAnsi" w:hAnsiTheme="minorHAnsi"/>
          <w:sz w:val="22"/>
          <w:szCs w:val="22"/>
        </w:rPr>
        <w:t>•</w:t>
      </w:r>
      <w:proofErr w:type="spellStart"/>
      <w:r w:rsidR="00C20BBF" w:rsidRPr="00C20BBF">
        <w:rPr>
          <w:rFonts w:asciiTheme="minorHAnsi" w:hAnsiTheme="minorHAnsi"/>
          <w:sz w:val="22"/>
          <w:szCs w:val="22"/>
        </w:rPr>
        <w:t>Glucocorticoids</w:t>
      </w:r>
      <w:proofErr w:type="spellEnd"/>
      <w:r w:rsidR="00C20BBF" w:rsidRPr="00C20BBF">
        <w:rPr>
          <w:rFonts w:asciiTheme="minorHAnsi" w:hAnsiTheme="minorHAnsi"/>
          <w:sz w:val="22"/>
          <w:szCs w:val="22"/>
        </w:rPr>
        <w:t xml:space="preserve"> appear to have a greater hyperglycemic eff</w:t>
      </w:r>
      <w:r w:rsidR="00645FA8">
        <w:rPr>
          <w:rFonts w:asciiTheme="minorHAnsi" w:hAnsiTheme="minorHAnsi"/>
          <w:sz w:val="22"/>
          <w:szCs w:val="22"/>
        </w:rPr>
        <w:t>ect in cats than other species</w:t>
      </w:r>
    </w:p>
    <w:p w:rsidR="00C20BBF" w:rsidRPr="00C20BBF" w:rsidRDefault="00645FA8" w:rsidP="006C1FC0">
      <w:pPr>
        <w:pStyle w:val="bodyindent"/>
        <w:spacing w:before="0" w:beforeAutospacing="0" w:after="0" w:afterAutospacing="0"/>
        <w:rPr>
          <w:rFonts w:asciiTheme="minorHAnsi" w:hAnsiTheme="minorHAnsi"/>
          <w:sz w:val="22"/>
          <w:szCs w:val="22"/>
        </w:rPr>
      </w:pPr>
      <w:r>
        <w:rPr>
          <w:rFonts w:asciiTheme="minorHAnsi" w:hAnsiTheme="minorHAnsi"/>
          <w:sz w:val="22"/>
          <w:szCs w:val="22"/>
        </w:rPr>
        <w:t>•</w:t>
      </w:r>
      <w:r w:rsidR="00C20BBF" w:rsidRPr="00C20BBF">
        <w:rPr>
          <w:rFonts w:asciiTheme="minorHAnsi" w:hAnsiTheme="minorHAnsi"/>
          <w:sz w:val="22"/>
          <w:szCs w:val="22"/>
        </w:rPr>
        <w:t xml:space="preserve">Occasionally, </w:t>
      </w:r>
      <w:proofErr w:type="spellStart"/>
      <w:r w:rsidR="00C20BBF" w:rsidRPr="00C20BBF">
        <w:rPr>
          <w:rFonts w:asciiTheme="minorHAnsi" w:hAnsiTheme="minorHAnsi"/>
          <w:sz w:val="22"/>
          <w:szCs w:val="22"/>
        </w:rPr>
        <w:t>polydipsia</w:t>
      </w:r>
      <w:proofErr w:type="spellEnd"/>
      <w:r w:rsidR="00C20BBF" w:rsidRPr="00C20BBF">
        <w:rPr>
          <w:rFonts w:asciiTheme="minorHAnsi" w:hAnsiTheme="minorHAnsi"/>
          <w:sz w:val="22"/>
          <w:szCs w:val="22"/>
        </w:rPr>
        <w:t xml:space="preserve">, </w:t>
      </w:r>
      <w:proofErr w:type="spellStart"/>
      <w:r w:rsidR="00C20BBF" w:rsidRPr="00C20BBF">
        <w:rPr>
          <w:rFonts w:asciiTheme="minorHAnsi" w:hAnsiTheme="minorHAnsi"/>
          <w:sz w:val="22"/>
          <w:szCs w:val="22"/>
        </w:rPr>
        <w:t>polyuria</w:t>
      </w:r>
      <w:proofErr w:type="spellEnd"/>
      <w:r w:rsidR="00C20BBF" w:rsidRPr="00C20BBF">
        <w:rPr>
          <w:rFonts w:asciiTheme="minorHAnsi" w:hAnsiTheme="minorHAnsi"/>
          <w:sz w:val="22"/>
          <w:szCs w:val="22"/>
        </w:rPr>
        <w:t xml:space="preserve">, </w:t>
      </w:r>
      <w:proofErr w:type="spellStart"/>
      <w:r w:rsidR="00C20BBF" w:rsidRPr="00C20BBF">
        <w:rPr>
          <w:rFonts w:asciiTheme="minorHAnsi" w:hAnsiTheme="minorHAnsi"/>
          <w:sz w:val="22"/>
          <w:szCs w:val="22"/>
        </w:rPr>
        <w:t>polyphagia</w:t>
      </w:r>
      <w:proofErr w:type="spellEnd"/>
      <w:r w:rsidR="00C20BBF" w:rsidRPr="00C20BBF">
        <w:rPr>
          <w:rFonts w:asciiTheme="minorHAnsi" w:hAnsiTheme="minorHAnsi"/>
          <w:sz w:val="22"/>
          <w:szCs w:val="22"/>
        </w:rPr>
        <w:t xml:space="preserve"> with weight gain, diar</w:t>
      </w:r>
      <w:r>
        <w:rPr>
          <w:rFonts w:asciiTheme="minorHAnsi" w:hAnsiTheme="minorHAnsi"/>
          <w:sz w:val="22"/>
          <w:szCs w:val="22"/>
        </w:rPr>
        <w:t>rhea, or depression can be seen</w:t>
      </w:r>
      <w:r w:rsidR="00C20BBF" w:rsidRPr="00C20BBF">
        <w:rPr>
          <w:rFonts w:asciiTheme="minorHAnsi" w:hAnsiTheme="minorHAnsi"/>
          <w:sz w:val="22"/>
          <w:szCs w:val="22"/>
        </w:rPr>
        <w:t xml:space="preserve"> </w:t>
      </w:r>
      <w:r>
        <w:rPr>
          <w:rFonts w:asciiTheme="minorHAnsi" w:hAnsiTheme="minorHAnsi"/>
          <w:sz w:val="22"/>
          <w:szCs w:val="22"/>
        </w:rPr>
        <w:t>•</w:t>
      </w:r>
      <w:r w:rsidR="00C20BBF" w:rsidRPr="00C20BBF">
        <w:rPr>
          <w:rFonts w:asciiTheme="minorHAnsi" w:hAnsiTheme="minorHAnsi"/>
          <w:sz w:val="22"/>
          <w:szCs w:val="22"/>
        </w:rPr>
        <w:t>Long-term, high dose therapy can</w:t>
      </w:r>
      <w:r>
        <w:rPr>
          <w:rFonts w:asciiTheme="minorHAnsi" w:hAnsiTheme="minorHAnsi"/>
          <w:sz w:val="22"/>
          <w:szCs w:val="22"/>
        </w:rPr>
        <w:t xml:space="preserve"> lead to "</w:t>
      </w:r>
      <w:proofErr w:type="spellStart"/>
      <w:r>
        <w:rPr>
          <w:rFonts w:asciiTheme="minorHAnsi" w:hAnsiTheme="minorHAnsi"/>
          <w:sz w:val="22"/>
          <w:szCs w:val="22"/>
        </w:rPr>
        <w:t>Cushingoid</w:t>
      </w:r>
      <w:proofErr w:type="spellEnd"/>
      <w:r>
        <w:rPr>
          <w:rFonts w:asciiTheme="minorHAnsi" w:hAnsiTheme="minorHAnsi"/>
          <w:sz w:val="22"/>
          <w:szCs w:val="22"/>
        </w:rPr>
        <w:t>" effects</w:t>
      </w:r>
    </w:p>
    <w:p w:rsidR="00645FA8" w:rsidRDefault="00645FA8" w:rsidP="00D40930">
      <w:pPr>
        <w:spacing w:after="0" w:line="240" w:lineRule="auto"/>
        <w:rPr>
          <w:b/>
          <w:color w:val="000000" w:themeColor="text1"/>
        </w:rPr>
      </w:pPr>
    </w:p>
    <w:p w:rsidR="00C20BBF" w:rsidRDefault="00C20BBF" w:rsidP="00D40930">
      <w:pPr>
        <w:spacing w:after="0" w:line="240" w:lineRule="auto"/>
        <w:rPr>
          <w:b/>
          <w:color w:val="000000" w:themeColor="text1"/>
        </w:rPr>
      </w:pPr>
      <w:r>
        <w:rPr>
          <w:b/>
          <w:color w:val="000000" w:themeColor="text1"/>
        </w:rPr>
        <w:t>Dose</w:t>
      </w:r>
    </w:p>
    <w:p w:rsidR="00C20BBF" w:rsidRPr="00C20BBF" w:rsidRDefault="006C1FC0" w:rsidP="00D40930">
      <w:pPr>
        <w:spacing w:after="0" w:line="240" w:lineRule="auto"/>
        <w:rPr>
          <w:color w:val="000000" w:themeColor="text1"/>
        </w:rPr>
      </w:pPr>
      <w:r>
        <w:rPr>
          <w:color w:val="000000" w:themeColor="text1"/>
        </w:rPr>
        <w:t xml:space="preserve">• </w:t>
      </w:r>
      <w:r w:rsidR="00C20BBF">
        <w:t xml:space="preserve">Use PO </w:t>
      </w:r>
      <w:proofErr w:type="spellStart"/>
      <w:r w:rsidR="00C20BBF">
        <w:t>prednisolone</w:t>
      </w:r>
      <w:proofErr w:type="spellEnd"/>
      <w:r w:rsidR="00C20BBF">
        <w:t xml:space="preserve"> in place of prednisone in cats whenever possible as they do not absorb or convert prednisone to </w:t>
      </w:r>
      <w:proofErr w:type="spellStart"/>
      <w:r w:rsidR="00C20BBF">
        <w:t>prednisolone</w:t>
      </w:r>
      <w:proofErr w:type="spellEnd"/>
      <w:r w:rsidR="00C20BBF">
        <w:t xml:space="preserve"> as well as dogs. If PO prednisone must be used in cats, consider increasing the dose.</w:t>
      </w:r>
    </w:p>
    <w:p w:rsidR="006C1FC0" w:rsidRDefault="006C1FC0" w:rsidP="006C1FC0">
      <w:pPr>
        <w:pStyle w:val="bodynoindentspace"/>
        <w:spacing w:before="0" w:beforeAutospacing="0" w:after="0" w:afterAutospacing="0"/>
        <w:rPr>
          <w:rFonts w:asciiTheme="minorHAnsi" w:hAnsiTheme="minorHAnsi"/>
          <w:sz w:val="22"/>
          <w:szCs w:val="22"/>
        </w:rPr>
      </w:pPr>
    </w:p>
    <w:p w:rsidR="006C1FC0" w:rsidRPr="006C1FC0" w:rsidRDefault="006C1FC0" w:rsidP="006C1FC0">
      <w:pPr>
        <w:pStyle w:val="bodynoindentspace"/>
        <w:spacing w:before="0" w:beforeAutospacing="0" w:after="0" w:afterAutospacing="0"/>
        <w:rPr>
          <w:rFonts w:asciiTheme="minorHAnsi" w:hAnsiTheme="minorHAnsi"/>
          <w:i/>
          <w:sz w:val="22"/>
          <w:szCs w:val="22"/>
        </w:rPr>
      </w:pPr>
      <w:r w:rsidRPr="006C1FC0">
        <w:rPr>
          <w:rFonts w:asciiTheme="minorHAnsi" w:hAnsiTheme="minorHAnsi"/>
          <w:i/>
          <w:sz w:val="22"/>
          <w:szCs w:val="22"/>
        </w:rPr>
        <w:t>Prednisone/</w:t>
      </w:r>
      <w:proofErr w:type="spellStart"/>
      <w:r w:rsidRPr="006C1FC0">
        <w:rPr>
          <w:rFonts w:asciiTheme="minorHAnsi" w:hAnsiTheme="minorHAnsi"/>
          <w:i/>
          <w:sz w:val="22"/>
          <w:szCs w:val="22"/>
        </w:rPr>
        <w:t>Prednisolone</w:t>
      </w:r>
      <w:proofErr w:type="spellEnd"/>
    </w:p>
    <w:p w:rsidR="006C1FC0" w:rsidRDefault="006C1FC0" w:rsidP="006C1FC0">
      <w:pPr>
        <w:pStyle w:val="bodynoindentspace"/>
        <w:spacing w:before="0" w:beforeAutospacing="0" w:after="0" w:afterAutospacing="0"/>
        <w:rPr>
          <w:rFonts w:asciiTheme="minorHAnsi" w:hAnsiTheme="minorHAnsi"/>
          <w:sz w:val="22"/>
          <w:szCs w:val="22"/>
        </w:rPr>
      </w:pPr>
      <w:r w:rsidRPr="006C1FC0">
        <w:rPr>
          <w:rFonts w:asciiTheme="minorHAnsi" w:hAnsiTheme="minorHAnsi"/>
          <w:sz w:val="22"/>
          <w:szCs w:val="22"/>
        </w:rPr>
        <w:t xml:space="preserve">As an </w:t>
      </w:r>
      <w:proofErr w:type="spellStart"/>
      <w:r w:rsidRPr="006C1FC0">
        <w:rPr>
          <w:rFonts w:asciiTheme="minorHAnsi" w:hAnsiTheme="minorHAnsi"/>
          <w:sz w:val="22"/>
          <w:szCs w:val="22"/>
        </w:rPr>
        <w:t>antiinflammatory</w:t>
      </w:r>
      <w:proofErr w:type="spellEnd"/>
      <w:r w:rsidRPr="006C1FC0">
        <w:rPr>
          <w:rFonts w:asciiTheme="minorHAnsi" w:hAnsiTheme="minorHAnsi"/>
          <w:sz w:val="22"/>
          <w:szCs w:val="22"/>
        </w:rPr>
        <w:t xml:space="preserve"> agent:</w:t>
      </w:r>
    </w:p>
    <w:p w:rsidR="006C1FC0" w:rsidRPr="006C1FC0" w:rsidRDefault="006C1FC0" w:rsidP="006C1FC0">
      <w:pPr>
        <w:pStyle w:val="bodynoindentspace"/>
        <w:spacing w:before="0" w:beforeAutospacing="0" w:after="0" w:afterAutospacing="0"/>
        <w:rPr>
          <w:rFonts w:asciiTheme="minorHAnsi" w:hAnsiTheme="minorHAnsi"/>
          <w:sz w:val="22"/>
          <w:szCs w:val="22"/>
        </w:rPr>
      </w:pPr>
      <w:r w:rsidRPr="006C1FC0">
        <w:rPr>
          <w:rFonts w:asciiTheme="minorHAnsi" w:hAnsiTheme="minorHAnsi"/>
          <w:sz w:val="22"/>
          <w:szCs w:val="22"/>
        </w:rPr>
        <w:t>1.  Do</w:t>
      </w:r>
      <w:r>
        <w:rPr>
          <w:rFonts w:asciiTheme="minorHAnsi" w:hAnsiTheme="minorHAnsi"/>
          <w:sz w:val="22"/>
          <w:szCs w:val="22"/>
        </w:rPr>
        <w:t>gs: 0.5–1 mg/kg PO per day</w:t>
      </w:r>
    </w:p>
    <w:p w:rsidR="006C1FC0" w:rsidRPr="006C1FC0" w:rsidRDefault="006C1FC0" w:rsidP="006C1FC0">
      <w:pPr>
        <w:pStyle w:val="hindent1"/>
        <w:spacing w:before="0" w:beforeAutospacing="0" w:after="0" w:afterAutospacing="0"/>
        <w:rPr>
          <w:rFonts w:asciiTheme="minorHAnsi" w:hAnsiTheme="minorHAnsi"/>
          <w:sz w:val="22"/>
          <w:szCs w:val="22"/>
        </w:rPr>
      </w:pPr>
      <w:r w:rsidRPr="006C1FC0">
        <w:rPr>
          <w:rFonts w:asciiTheme="minorHAnsi" w:hAnsiTheme="minorHAnsi"/>
          <w:sz w:val="22"/>
          <w:szCs w:val="22"/>
        </w:rPr>
        <w:t>2.  Dogs or Cats: 0.55–1.1 mg/kg PO per day, either once per day or divided twice per day</w:t>
      </w:r>
    </w:p>
    <w:p w:rsidR="00C41BA7" w:rsidRDefault="00C41BA7" w:rsidP="006C1FC0">
      <w:pPr>
        <w:spacing w:after="0" w:line="240" w:lineRule="auto"/>
        <w:rPr>
          <w:color w:val="000000" w:themeColor="text1"/>
        </w:rPr>
      </w:pPr>
    </w:p>
    <w:p w:rsidR="00C41BA7" w:rsidRDefault="00C41BA7" w:rsidP="00D40930">
      <w:pPr>
        <w:spacing w:after="0" w:line="240" w:lineRule="auto"/>
        <w:rPr>
          <w:color w:val="000000" w:themeColor="text1"/>
        </w:rPr>
      </w:pPr>
    </w:p>
    <w:sectPr w:rsidR="00C41BA7" w:rsidSect="004C10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05FD4"/>
    <w:multiLevelType w:val="hybridMultilevel"/>
    <w:tmpl w:val="2A94F226"/>
    <w:lvl w:ilvl="0" w:tplc="CF86C2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1AF4"/>
    <w:rsid w:val="00067EE6"/>
    <w:rsid w:val="00115C53"/>
    <w:rsid w:val="00145121"/>
    <w:rsid w:val="001A48F9"/>
    <w:rsid w:val="001C4AB6"/>
    <w:rsid w:val="002059D3"/>
    <w:rsid w:val="003634EC"/>
    <w:rsid w:val="003E3A86"/>
    <w:rsid w:val="0042569F"/>
    <w:rsid w:val="00433279"/>
    <w:rsid w:val="004C10FE"/>
    <w:rsid w:val="00525CB7"/>
    <w:rsid w:val="00561AF4"/>
    <w:rsid w:val="00645FA8"/>
    <w:rsid w:val="006C1FC0"/>
    <w:rsid w:val="006D3AF0"/>
    <w:rsid w:val="006F0A32"/>
    <w:rsid w:val="00822E57"/>
    <w:rsid w:val="00825064"/>
    <w:rsid w:val="008966E0"/>
    <w:rsid w:val="008A70E6"/>
    <w:rsid w:val="008C4D9F"/>
    <w:rsid w:val="008E710A"/>
    <w:rsid w:val="009056B2"/>
    <w:rsid w:val="00930456"/>
    <w:rsid w:val="009B31E7"/>
    <w:rsid w:val="00A620B0"/>
    <w:rsid w:val="00B17E01"/>
    <w:rsid w:val="00B259E3"/>
    <w:rsid w:val="00B25D94"/>
    <w:rsid w:val="00C20BBF"/>
    <w:rsid w:val="00C41BA7"/>
    <w:rsid w:val="00CF10CC"/>
    <w:rsid w:val="00CF1F8A"/>
    <w:rsid w:val="00D04FB5"/>
    <w:rsid w:val="00D40930"/>
    <w:rsid w:val="00DC1F7B"/>
    <w:rsid w:val="00EE3EEB"/>
    <w:rsid w:val="00FF2D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0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1AF4"/>
    <w:rPr>
      <w:color w:val="0000FF"/>
      <w:u w:val="single"/>
    </w:rPr>
  </w:style>
  <w:style w:type="paragraph" w:styleId="ListParagraph">
    <w:name w:val="List Paragraph"/>
    <w:basedOn w:val="Normal"/>
    <w:uiPriority w:val="34"/>
    <w:qFormat/>
    <w:rsid w:val="003634EC"/>
    <w:pPr>
      <w:ind w:left="720"/>
      <w:contextualSpacing/>
    </w:pPr>
  </w:style>
  <w:style w:type="table" w:styleId="TableGrid">
    <w:name w:val="Table Grid"/>
    <w:basedOn w:val="TableNormal"/>
    <w:uiPriority w:val="59"/>
    <w:rsid w:val="00C41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indent">
    <w:name w:val="bodyindent"/>
    <w:basedOn w:val="Normal"/>
    <w:rsid w:val="00C20B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noindentspace">
    <w:name w:val="bodynoindentspace"/>
    <w:basedOn w:val="Normal"/>
    <w:rsid w:val="006C1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ndent1">
    <w:name w:val="hindent1"/>
    <w:basedOn w:val="Normal"/>
    <w:rsid w:val="006C1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ing">
    <w:name w:val="subheading"/>
    <w:basedOn w:val="Normal"/>
    <w:rsid w:val="006C1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noindent">
    <w:name w:val="bodynoindent"/>
    <w:basedOn w:val="Normal"/>
    <w:rsid w:val="006C1FC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1AF4"/>
    <w:rPr>
      <w:color w:val="0000FF"/>
      <w:u w:val="single"/>
    </w:rPr>
  </w:style>
  <w:style w:type="paragraph" w:styleId="ListParagraph">
    <w:name w:val="List Paragraph"/>
    <w:basedOn w:val="Normal"/>
    <w:uiPriority w:val="34"/>
    <w:qFormat/>
    <w:rsid w:val="003634EC"/>
    <w:pPr>
      <w:ind w:left="720"/>
      <w:contextualSpacing/>
    </w:pPr>
  </w:style>
  <w:style w:type="table" w:styleId="TableGrid">
    <w:name w:val="Table Grid"/>
    <w:basedOn w:val="TableNormal"/>
    <w:uiPriority w:val="59"/>
    <w:rsid w:val="00C41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4744400">
      <w:bodyDiv w:val="1"/>
      <w:marLeft w:val="0"/>
      <w:marRight w:val="0"/>
      <w:marTop w:val="0"/>
      <w:marBottom w:val="0"/>
      <w:divBdr>
        <w:top w:val="none" w:sz="0" w:space="0" w:color="auto"/>
        <w:left w:val="none" w:sz="0" w:space="0" w:color="auto"/>
        <w:bottom w:val="none" w:sz="0" w:space="0" w:color="auto"/>
        <w:right w:val="none" w:sz="0" w:space="0" w:color="auto"/>
      </w:divBdr>
    </w:div>
    <w:div w:id="846095523">
      <w:bodyDiv w:val="1"/>
      <w:marLeft w:val="0"/>
      <w:marRight w:val="0"/>
      <w:marTop w:val="0"/>
      <w:marBottom w:val="0"/>
      <w:divBdr>
        <w:top w:val="none" w:sz="0" w:space="0" w:color="auto"/>
        <w:left w:val="none" w:sz="0" w:space="0" w:color="auto"/>
        <w:bottom w:val="none" w:sz="0" w:space="0" w:color="auto"/>
        <w:right w:val="none" w:sz="0" w:space="0" w:color="auto"/>
      </w:divBdr>
    </w:div>
    <w:div w:id="190768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ast_cell" TargetMode="External"/><Relationship Id="rId13" Type="http://schemas.openxmlformats.org/officeDocument/2006/relationships/hyperlink" Target="http://en.wikipedia.org/wiki/G_protein-coupled_receptor" TargetMode="External"/><Relationship Id="rId18" Type="http://schemas.openxmlformats.org/officeDocument/2006/relationships/hyperlink" Target="http://en.wikipedia.org/wiki/T_cell" TargetMode="External"/><Relationship Id="rId3" Type="http://schemas.openxmlformats.org/officeDocument/2006/relationships/settings" Target="settings.xml"/><Relationship Id="rId21" Type="http://schemas.openxmlformats.org/officeDocument/2006/relationships/hyperlink" Target="http://en.wikipedia.org/wiki/Histamine" TargetMode="External"/><Relationship Id="rId7" Type="http://schemas.openxmlformats.org/officeDocument/2006/relationships/hyperlink" Target="http://en.wikipedia.org/wiki/Leukocytes" TargetMode="External"/><Relationship Id="rId12" Type="http://schemas.openxmlformats.org/officeDocument/2006/relationships/hyperlink" Target="http://en.wikipedia.org/wiki/Basophil" TargetMode="External"/><Relationship Id="rId17" Type="http://schemas.openxmlformats.org/officeDocument/2006/relationships/hyperlink" Target="http://en.wikipedia.org/wiki/Cytokines"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en.wikipedia.org/wiki/Chloride_channels" TargetMode="External"/><Relationship Id="rId20" Type="http://schemas.openxmlformats.org/officeDocument/2006/relationships/hyperlink" Target="http://en.wikipedia.org/wiki/Inflammation" TargetMode="External"/><Relationship Id="rId1" Type="http://schemas.openxmlformats.org/officeDocument/2006/relationships/numbering" Target="numbering.xml"/><Relationship Id="rId6" Type="http://schemas.openxmlformats.org/officeDocument/2006/relationships/hyperlink" Target="http://en.wikipedia.org/wiki/5-lipoxygenase" TargetMode="External"/><Relationship Id="rId11" Type="http://schemas.openxmlformats.org/officeDocument/2006/relationships/hyperlink" Target="http://en.wikipedia.org/wiki/Monocyte" TargetMode="External"/><Relationship Id="rId24" Type="http://schemas.openxmlformats.org/officeDocument/2006/relationships/theme" Target="theme/theme1.xml"/><Relationship Id="rId5" Type="http://schemas.openxmlformats.org/officeDocument/2006/relationships/hyperlink" Target="http://en.wikipedia.org/wiki/Arachidonic_acid" TargetMode="External"/><Relationship Id="rId15" Type="http://schemas.openxmlformats.org/officeDocument/2006/relationships/hyperlink" Target="http://en.wikipedia.org/wiki/Mechanism_of_action" TargetMode="External"/><Relationship Id="rId23" Type="http://schemas.openxmlformats.org/officeDocument/2006/relationships/fontTable" Target="fontTable.xml"/><Relationship Id="rId10" Type="http://schemas.openxmlformats.org/officeDocument/2006/relationships/hyperlink" Target="http://en.wikipedia.org/wiki/Neutrophil" TargetMode="External"/><Relationship Id="rId19" Type="http://schemas.openxmlformats.org/officeDocument/2006/relationships/hyperlink" Target="http://en.wikipedia.org/wiki/Eosinophil_granulocyte" TargetMode="External"/><Relationship Id="rId4" Type="http://schemas.openxmlformats.org/officeDocument/2006/relationships/webSettings" Target="webSettings.xml"/><Relationship Id="rId9" Type="http://schemas.openxmlformats.org/officeDocument/2006/relationships/hyperlink" Target="http://en.wikipedia.org/wiki/Eosinophil" TargetMode="External"/><Relationship Id="rId14" Type="http://schemas.openxmlformats.org/officeDocument/2006/relationships/hyperlink" Target="http://en.wikipedia.org/wiki/Peroxisome_proliferator-activated_receptor" TargetMode="External"/><Relationship Id="rId22" Type="http://schemas.openxmlformats.org/officeDocument/2006/relationships/hyperlink" Target="http://en.wikipedia.org/wiki/Mast_ce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1835</Words>
  <Characters>10464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jrs455</cp:lastModifiedBy>
  <cp:revision>12</cp:revision>
  <dcterms:created xsi:type="dcterms:W3CDTF">2011-12-19T13:31:00Z</dcterms:created>
  <dcterms:modified xsi:type="dcterms:W3CDTF">2012-01-03T14:58:00Z</dcterms:modified>
</cp:coreProperties>
</file>