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231AEB" w14:textId="77777777" w:rsid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sz w:val="35"/>
          <w:szCs w:val="35"/>
        </w:rPr>
      </w:pPr>
      <w:r>
        <w:rPr>
          <w:rFonts w:ascii="Times" w:hAnsi="Times" w:cs="Times"/>
          <w:color w:val="000000"/>
          <w:sz w:val="35"/>
          <w:szCs w:val="35"/>
        </w:rPr>
        <w:t>Low-Molecular-Weight Heparin and Mortality in Acutely Ill Medical Patients</w:t>
      </w:r>
    </w:p>
    <w:p w14:paraId="21CC7400" w14:textId="77777777" w:rsidR="0018451F" w:rsidRP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646568"/>
        </w:rPr>
      </w:pPr>
      <w:r w:rsidRPr="0018451F">
        <w:rPr>
          <w:rFonts w:ascii="Helvetica" w:hAnsi="Helvetica" w:cs="Helvetica"/>
          <w:color w:val="646568"/>
        </w:rPr>
        <w:t xml:space="preserve">Ajay K. </w:t>
      </w:r>
      <w:proofErr w:type="spellStart"/>
      <w:r w:rsidRPr="0018451F">
        <w:rPr>
          <w:rFonts w:ascii="Helvetica" w:hAnsi="Helvetica" w:cs="Helvetica"/>
          <w:color w:val="646568"/>
        </w:rPr>
        <w:t>Kakkar</w:t>
      </w:r>
      <w:proofErr w:type="spellEnd"/>
      <w:r w:rsidRPr="0018451F">
        <w:rPr>
          <w:rFonts w:ascii="Helvetica" w:hAnsi="Helvetica" w:cs="Helvetica"/>
          <w:color w:val="646568"/>
        </w:rPr>
        <w:t xml:space="preserve">, M.B., B.S., Ph.D., Claudio </w:t>
      </w:r>
      <w:proofErr w:type="spellStart"/>
      <w:r w:rsidRPr="0018451F">
        <w:rPr>
          <w:rFonts w:ascii="Helvetica" w:hAnsi="Helvetica" w:cs="Helvetica"/>
          <w:color w:val="646568"/>
        </w:rPr>
        <w:t>Cimminiello</w:t>
      </w:r>
      <w:proofErr w:type="spellEnd"/>
      <w:r w:rsidRPr="0018451F">
        <w:rPr>
          <w:rFonts w:ascii="Helvetica" w:hAnsi="Helvetica" w:cs="Helvetica"/>
          <w:color w:val="646568"/>
        </w:rPr>
        <w:t xml:space="preserve">, M.D., Samuel Z. </w:t>
      </w:r>
      <w:proofErr w:type="spellStart"/>
      <w:r w:rsidRPr="0018451F">
        <w:rPr>
          <w:rFonts w:ascii="Helvetica" w:hAnsi="Helvetica" w:cs="Helvetica"/>
          <w:color w:val="646568"/>
        </w:rPr>
        <w:t>Goldhaber</w:t>
      </w:r>
      <w:proofErr w:type="spellEnd"/>
      <w:r w:rsidRPr="0018451F">
        <w:rPr>
          <w:rFonts w:ascii="Helvetica" w:hAnsi="Helvetica" w:cs="Helvetica"/>
          <w:color w:val="646568"/>
        </w:rPr>
        <w:t xml:space="preserve">, M.D., Rajiv </w:t>
      </w:r>
      <w:proofErr w:type="spellStart"/>
      <w:r w:rsidRPr="0018451F">
        <w:rPr>
          <w:rFonts w:ascii="Helvetica" w:hAnsi="Helvetica" w:cs="Helvetica"/>
          <w:color w:val="646568"/>
        </w:rPr>
        <w:t>Parakh</w:t>
      </w:r>
      <w:proofErr w:type="spellEnd"/>
      <w:r w:rsidRPr="0018451F">
        <w:rPr>
          <w:rFonts w:ascii="Helvetica" w:hAnsi="Helvetica" w:cs="Helvetica"/>
          <w:color w:val="646568"/>
        </w:rPr>
        <w:t>, M.D., Chen Wang, M.D., Ph.D., and Jean-François Bergmann, M.D., for the LIFENOX Investigators*</w:t>
      </w:r>
    </w:p>
    <w:p w14:paraId="3B8AFA8B" w14:textId="77777777" w:rsidR="0018451F" w:rsidRP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rPr>
      </w:pPr>
      <w:r w:rsidRPr="0018451F">
        <w:rPr>
          <w:rFonts w:ascii="Helvetica" w:hAnsi="Helvetica" w:cs="Helvetica"/>
          <w:color w:val="646568"/>
        </w:rPr>
        <w:t xml:space="preserve">The New England Journal of Medicine Dec 29, </w:t>
      </w:r>
      <w:proofErr w:type="gramStart"/>
      <w:r w:rsidRPr="0018451F">
        <w:rPr>
          <w:rFonts w:ascii="Helvetica" w:hAnsi="Helvetica" w:cs="Helvetica"/>
          <w:color w:val="646568"/>
        </w:rPr>
        <w:t>2011 ,</w:t>
      </w:r>
      <w:proofErr w:type="gramEnd"/>
      <w:r w:rsidRPr="0018451F">
        <w:rPr>
          <w:rFonts w:ascii="Helvetica" w:hAnsi="Helvetica" w:cs="Helvetica"/>
          <w:color w:val="646568"/>
        </w:rPr>
        <w:t xml:space="preserve"> 365 (26)</w:t>
      </w:r>
    </w:p>
    <w:p w14:paraId="5DBA7877" w14:textId="77777777" w:rsid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sz w:val="20"/>
          <w:szCs w:val="20"/>
        </w:rPr>
      </w:pPr>
    </w:p>
    <w:p w14:paraId="55AC627E" w14:textId="77777777" w:rsid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sz w:val="20"/>
          <w:szCs w:val="20"/>
        </w:rPr>
      </w:pPr>
      <w:r>
        <w:rPr>
          <w:rFonts w:ascii="Times" w:hAnsi="Times" w:cs="Times"/>
          <w:color w:val="000000"/>
          <w:sz w:val="20"/>
          <w:szCs w:val="20"/>
        </w:rPr>
        <w:t>ABSTRACT</w:t>
      </w:r>
    </w:p>
    <w:p w14:paraId="514B5FE0" w14:textId="77777777" w:rsid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E5001C"/>
          <w:sz w:val="17"/>
          <w:szCs w:val="17"/>
        </w:rPr>
      </w:pPr>
      <w:r>
        <w:rPr>
          <w:rFonts w:ascii="Helvetica" w:hAnsi="Helvetica" w:cs="Helvetica"/>
          <w:color w:val="E5001C"/>
          <w:sz w:val="17"/>
          <w:szCs w:val="17"/>
        </w:rPr>
        <w:t>BACKGROUND</w:t>
      </w:r>
    </w:p>
    <w:p w14:paraId="53AA07FD" w14:textId="77777777" w:rsidR="0018451F" w:rsidRP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rPr>
      </w:pPr>
      <w:r w:rsidRPr="0018451F">
        <w:rPr>
          <w:rFonts w:ascii="Times" w:hAnsi="Times" w:cs="Times"/>
          <w:color w:val="000000"/>
        </w:rPr>
        <w:t xml:space="preserve">Although </w:t>
      </w:r>
      <w:proofErr w:type="spellStart"/>
      <w:r w:rsidRPr="0018451F">
        <w:rPr>
          <w:rFonts w:ascii="Times" w:hAnsi="Times" w:cs="Times"/>
          <w:color w:val="000000"/>
        </w:rPr>
        <w:t>thromboprophylaxis</w:t>
      </w:r>
      <w:proofErr w:type="spellEnd"/>
      <w:r w:rsidRPr="0018451F">
        <w:rPr>
          <w:rFonts w:ascii="Times" w:hAnsi="Times" w:cs="Times"/>
          <w:color w:val="000000"/>
        </w:rPr>
        <w:t xml:space="preserve"> reduces the incidence of venous thromboembolism in acutely ill medical patients, an associated reduction in the rate of death from any cause has not been shown.</w:t>
      </w:r>
    </w:p>
    <w:p w14:paraId="3D01592A" w14:textId="77777777" w:rsid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E5001C"/>
          <w:sz w:val="17"/>
          <w:szCs w:val="17"/>
        </w:rPr>
      </w:pPr>
      <w:r>
        <w:rPr>
          <w:rFonts w:ascii="Helvetica" w:hAnsi="Helvetica" w:cs="Helvetica"/>
          <w:color w:val="E5001C"/>
          <w:sz w:val="17"/>
          <w:szCs w:val="17"/>
        </w:rPr>
        <w:t>METHODS</w:t>
      </w:r>
    </w:p>
    <w:p w14:paraId="77C67B71" w14:textId="77777777" w:rsidR="0018451F" w:rsidRP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rPr>
      </w:pPr>
      <w:r w:rsidRPr="0018451F">
        <w:rPr>
          <w:rFonts w:ascii="Times" w:hAnsi="Times" w:cs="Times"/>
          <w:color w:val="000000"/>
        </w:rPr>
        <w:t xml:space="preserve">We conducted a double-blind, placebo-controlled, randomized trial to assess the </w:t>
      </w:r>
      <w:proofErr w:type="spellStart"/>
      <w:r w:rsidRPr="0018451F">
        <w:rPr>
          <w:rFonts w:ascii="Times" w:hAnsi="Times" w:cs="Times"/>
          <w:color w:val="000000"/>
        </w:rPr>
        <w:t>ef</w:t>
      </w:r>
      <w:proofErr w:type="spellEnd"/>
      <w:r w:rsidRPr="0018451F">
        <w:rPr>
          <w:rFonts w:ascii="Times" w:hAnsi="Times" w:cs="Times"/>
          <w:color w:val="000000"/>
        </w:rPr>
        <w:t xml:space="preserve">- </w:t>
      </w:r>
      <w:proofErr w:type="spellStart"/>
      <w:r w:rsidRPr="0018451F">
        <w:rPr>
          <w:rFonts w:ascii="Times" w:hAnsi="Times" w:cs="Times"/>
          <w:color w:val="000000"/>
        </w:rPr>
        <w:t>fect</w:t>
      </w:r>
      <w:proofErr w:type="spellEnd"/>
      <w:r w:rsidRPr="0018451F">
        <w:rPr>
          <w:rFonts w:ascii="Times" w:hAnsi="Times" w:cs="Times"/>
          <w:color w:val="000000"/>
        </w:rPr>
        <w:t xml:space="preserve"> of subcutaneous enoxaparin (40 mg daily) as compared with placebo — both administered for 10±4 days in patients who were wearing elastic stockings with graduated compression — on the rate of death from any cause among hospitalized, acutely ill medical patients at participating sites in China, India, Korea, Malaysia, Mexico, the Philippines, and Tunisia. Inclusion criteria were an age of at least 40 years and hospitalization for acute decompensated heart failure, severe systemic infection with at least one risk factor for venous thromboembolism, or active can- </w:t>
      </w:r>
      <w:proofErr w:type="spellStart"/>
      <w:r w:rsidRPr="0018451F">
        <w:rPr>
          <w:rFonts w:ascii="Times" w:hAnsi="Times" w:cs="Times"/>
          <w:color w:val="000000"/>
        </w:rPr>
        <w:t>cer</w:t>
      </w:r>
      <w:proofErr w:type="spellEnd"/>
      <w:r w:rsidRPr="0018451F">
        <w:rPr>
          <w:rFonts w:ascii="Times" w:hAnsi="Times" w:cs="Times"/>
          <w:color w:val="000000"/>
        </w:rPr>
        <w:t>. The primary efficacy outcome was the rate of death from any cause at 30 days after randomization. The primary safety outcome was the rate of major bleeding during and up to 48 hours after the treatment period.</w:t>
      </w:r>
    </w:p>
    <w:p w14:paraId="147AA06E" w14:textId="77777777" w:rsid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E5001C"/>
          <w:sz w:val="17"/>
          <w:szCs w:val="17"/>
        </w:rPr>
      </w:pPr>
      <w:r>
        <w:rPr>
          <w:rFonts w:ascii="Helvetica" w:hAnsi="Helvetica" w:cs="Helvetica"/>
          <w:color w:val="E5001C"/>
          <w:sz w:val="17"/>
          <w:szCs w:val="17"/>
        </w:rPr>
        <w:t>RESULTS</w:t>
      </w:r>
    </w:p>
    <w:p w14:paraId="3F695189" w14:textId="77777777" w:rsidR="0018451F" w:rsidRP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rPr>
      </w:pPr>
      <w:r w:rsidRPr="0018451F">
        <w:rPr>
          <w:rFonts w:ascii="Times" w:hAnsi="Times" w:cs="Times"/>
          <w:color w:val="000000"/>
        </w:rPr>
        <w:t xml:space="preserve">A total of 8307 patients were randomly assigned to receive enoxaparin plus elastic stockings with graduated compression (4171 patients) or placebo plus elastic stock- </w:t>
      </w:r>
      <w:proofErr w:type="spellStart"/>
      <w:r w:rsidRPr="0018451F">
        <w:rPr>
          <w:rFonts w:ascii="Times" w:hAnsi="Times" w:cs="Times"/>
          <w:color w:val="000000"/>
        </w:rPr>
        <w:t>ings</w:t>
      </w:r>
      <w:proofErr w:type="spellEnd"/>
      <w:r w:rsidRPr="0018451F">
        <w:rPr>
          <w:rFonts w:ascii="Times" w:hAnsi="Times" w:cs="Times"/>
          <w:color w:val="000000"/>
        </w:rPr>
        <w:t xml:space="preserve"> with graduated compression (4136 patients) and were included in the intention- to-treat population. The rate of death from any cause at day 30 was 4.9% in the enoxaparin group as compared with 4.8% in the placebo group (risk ratio, 1.0; 95% confidence interval [CI], 0.8 to 1.2; P=0.83). The rate of major bleeding was 0.4% in the enoxaparin group and 0.3% in the placebo group (risk ratio, 1.4; 95% CI, 0.7 to 3.1; P=0.35).</w:t>
      </w:r>
    </w:p>
    <w:p w14:paraId="4669C9BD" w14:textId="77777777" w:rsidR="0018451F" w:rsidRDefault="0018451F" w:rsidP="001845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E5001C"/>
          <w:sz w:val="17"/>
          <w:szCs w:val="17"/>
        </w:rPr>
      </w:pPr>
      <w:r>
        <w:rPr>
          <w:rFonts w:ascii="Helvetica" w:hAnsi="Helvetica" w:cs="Helvetica"/>
          <w:color w:val="E5001C"/>
          <w:sz w:val="17"/>
          <w:szCs w:val="17"/>
        </w:rPr>
        <w:t>CONCLUSIONS</w:t>
      </w:r>
    </w:p>
    <w:p w14:paraId="636D30C0" w14:textId="77777777" w:rsidR="00D46B93" w:rsidRPr="0018451F" w:rsidRDefault="0018451F" w:rsidP="0018451F">
      <w:pPr>
        <w:rPr>
          <w:rFonts w:ascii="Times" w:hAnsi="Times" w:cs="Times"/>
          <w:color w:val="000000"/>
        </w:rPr>
      </w:pPr>
      <w:r w:rsidRPr="0018451F">
        <w:rPr>
          <w:rFonts w:ascii="Times" w:hAnsi="Times" w:cs="Times"/>
          <w:color w:val="000000"/>
        </w:rPr>
        <w:t>The use of enoxaparin plus elastic stockings with graduated compression, as compared with elastic stockings with graduated compression alone, was not associated with a reduction in the rate of death from any cause among hospitalized, acutely ill medical patients.</w:t>
      </w:r>
    </w:p>
    <w:p w14:paraId="6EF40E76" w14:textId="77777777" w:rsidR="0018451F" w:rsidRDefault="0018451F" w:rsidP="0018451F">
      <w:pPr>
        <w:rPr>
          <w:rFonts w:ascii="Times" w:hAnsi="Times" w:cs="Times"/>
          <w:color w:val="000000"/>
          <w:sz w:val="19"/>
          <w:szCs w:val="19"/>
        </w:rPr>
      </w:pPr>
    </w:p>
    <w:p w14:paraId="23DBC778" w14:textId="77777777" w:rsidR="0018451F" w:rsidRDefault="0018451F" w:rsidP="0018451F">
      <w:pPr>
        <w:rPr>
          <w:rFonts w:ascii="Times" w:hAnsi="Times" w:cs="Times"/>
          <w:color w:val="000000"/>
          <w:sz w:val="19"/>
          <w:szCs w:val="19"/>
        </w:rPr>
      </w:pPr>
    </w:p>
    <w:p w14:paraId="41801126" w14:textId="77777777" w:rsidR="0018451F" w:rsidRDefault="0018451F" w:rsidP="0018451F">
      <w:pPr>
        <w:rPr>
          <w:rFonts w:ascii="Times" w:hAnsi="Times" w:cs="Times"/>
          <w:color w:val="000000"/>
          <w:sz w:val="19"/>
          <w:szCs w:val="19"/>
        </w:rPr>
      </w:pPr>
    </w:p>
    <w:p w14:paraId="691EAE60" w14:textId="77777777" w:rsidR="0018451F" w:rsidRDefault="0018451F" w:rsidP="0018451F">
      <w:r>
        <w:t>TAKE HOMES:</w:t>
      </w:r>
      <w:r>
        <w:br/>
      </w:r>
      <w:r w:rsidR="00DE68DB">
        <w:t xml:space="preserve">1.  </w:t>
      </w:r>
      <w:proofErr w:type="spellStart"/>
      <w:r w:rsidR="00DE68DB">
        <w:t>Thrombophylaxis</w:t>
      </w:r>
      <w:proofErr w:type="spellEnd"/>
      <w:r w:rsidR="00DE68DB">
        <w:t xml:space="preserve"> with low-molecular weight heparin is not associated with a reduction in the rate of death from any cause among hospitalized, acutely ill medical patients.</w:t>
      </w:r>
    </w:p>
    <w:p w14:paraId="59149554" w14:textId="77777777" w:rsidR="00DE68DB" w:rsidRDefault="00DE68DB" w:rsidP="0018451F"/>
    <w:p w14:paraId="05B1AC68" w14:textId="77777777" w:rsidR="00DE68DB" w:rsidRDefault="00DE68DB" w:rsidP="0018451F"/>
    <w:p w14:paraId="0C2FD30C" w14:textId="77777777" w:rsidR="00DE68DB" w:rsidRDefault="00DE68DB" w:rsidP="0018451F"/>
    <w:p w14:paraId="21C02EDB" w14:textId="77777777" w:rsidR="00DE68DB" w:rsidRDefault="00DE68DB" w:rsidP="00DE68DB">
      <w:pPr>
        <w:widowControl w:val="0"/>
        <w:autoSpaceDE w:val="0"/>
        <w:autoSpaceDN w:val="0"/>
        <w:adjustRightInd w:val="0"/>
        <w:spacing w:after="80" w:line="320" w:lineRule="atLeast"/>
        <w:rPr>
          <w:rFonts w:ascii="Times New Roman" w:hAnsi="Times New Roman" w:cs="Times New Roman"/>
          <w:sz w:val="46"/>
          <w:szCs w:val="46"/>
        </w:rPr>
      </w:pPr>
      <w:r>
        <w:rPr>
          <w:rFonts w:ascii="Times New Roman" w:hAnsi="Times New Roman" w:cs="Times New Roman"/>
          <w:sz w:val="46"/>
          <w:szCs w:val="46"/>
        </w:rPr>
        <w:lastRenderedPageBreak/>
        <w:t>Liberal or Restrictive Transfusion in High-Risk Patients after Hip Surgery</w:t>
      </w:r>
    </w:p>
    <w:p w14:paraId="64D24393" w14:textId="77777777" w:rsidR="00DE68DB" w:rsidRDefault="00DE68DB" w:rsidP="00DE68DB">
      <w:pPr>
        <w:widowControl w:val="0"/>
        <w:autoSpaceDE w:val="0"/>
        <w:autoSpaceDN w:val="0"/>
        <w:adjustRightInd w:val="0"/>
        <w:spacing w:after="80" w:line="320" w:lineRule="atLeast"/>
        <w:rPr>
          <w:rFonts w:ascii="Arial" w:hAnsi="Arial" w:cs="Arial"/>
          <w:color w:val="535353"/>
          <w:sz w:val="22"/>
          <w:szCs w:val="22"/>
        </w:rPr>
      </w:pPr>
      <w:r>
        <w:rPr>
          <w:rFonts w:ascii="Arial" w:hAnsi="Arial" w:cs="Arial"/>
          <w:color w:val="535353"/>
          <w:sz w:val="22"/>
          <w:szCs w:val="22"/>
        </w:rPr>
        <w:t xml:space="preserve">Jeffrey L. Carson, M.D., Michael L. </w:t>
      </w:r>
      <w:proofErr w:type="spellStart"/>
      <w:r>
        <w:rPr>
          <w:rFonts w:ascii="Arial" w:hAnsi="Arial" w:cs="Arial"/>
          <w:color w:val="535353"/>
          <w:sz w:val="22"/>
          <w:szCs w:val="22"/>
        </w:rPr>
        <w:t>Terrin</w:t>
      </w:r>
      <w:proofErr w:type="spellEnd"/>
      <w:r>
        <w:rPr>
          <w:rFonts w:ascii="Arial" w:hAnsi="Arial" w:cs="Arial"/>
          <w:color w:val="535353"/>
          <w:sz w:val="22"/>
          <w:szCs w:val="22"/>
        </w:rPr>
        <w:t xml:space="preserve">, M.D., M.P.H., </w:t>
      </w:r>
      <w:proofErr w:type="spellStart"/>
      <w:r>
        <w:rPr>
          <w:rFonts w:ascii="Arial" w:hAnsi="Arial" w:cs="Arial"/>
          <w:color w:val="535353"/>
          <w:sz w:val="22"/>
          <w:szCs w:val="22"/>
        </w:rPr>
        <w:t>Helaine</w:t>
      </w:r>
      <w:proofErr w:type="spellEnd"/>
      <w:r>
        <w:rPr>
          <w:rFonts w:ascii="Arial" w:hAnsi="Arial" w:cs="Arial"/>
          <w:color w:val="535353"/>
          <w:sz w:val="22"/>
          <w:szCs w:val="22"/>
        </w:rPr>
        <w:t xml:space="preserve"> </w:t>
      </w:r>
      <w:proofErr w:type="spellStart"/>
      <w:r>
        <w:rPr>
          <w:rFonts w:ascii="Arial" w:hAnsi="Arial" w:cs="Arial"/>
          <w:color w:val="535353"/>
          <w:sz w:val="22"/>
          <w:szCs w:val="22"/>
        </w:rPr>
        <w:t>Noveck</w:t>
      </w:r>
      <w:proofErr w:type="spellEnd"/>
      <w:r>
        <w:rPr>
          <w:rFonts w:ascii="Arial" w:hAnsi="Arial" w:cs="Arial"/>
          <w:color w:val="535353"/>
          <w:sz w:val="22"/>
          <w:szCs w:val="22"/>
        </w:rPr>
        <w:t xml:space="preserve">, M.P.H., David W. Sanders, M.D., Bernard R. </w:t>
      </w:r>
      <w:proofErr w:type="spellStart"/>
      <w:r>
        <w:rPr>
          <w:rFonts w:ascii="Arial" w:hAnsi="Arial" w:cs="Arial"/>
          <w:color w:val="535353"/>
          <w:sz w:val="22"/>
          <w:szCs w:val="22"/>
        </w:rPr>
        <w:t>Chaitman</w:t>
      </w:r>
      <w:proofErr w:type="spellEnd"/>
      <w:r>
        <w:rPr>
          <w:rFonts w:ascii="Arial" w:hAnsi="Arial" w:cs="Arial"/>
          <w:color w:val="535353"/>
          <w:sz w:val="22"/>
          <w:szCs w:val="22"/>
        </w:rPr>
        <w:t xml:space="preserve">, M.D., George G. Rhoads, M.D., M.P.H., George </w:t>
      </w:r>
      <w:proofErr w:type="spellStart"/>
      <w:r>
        <w:rPr>
          <w:rFonts w:ascii="Arial" w:hAnsi="Arial" w:cs="Arial"/>
          <w:color w:val="535353"/>
          <w:sz w:val="22"/>
          <w:szCs w:val="22"/>
        </w:rPr>
        <w:t>Nemo</w:t>
      </w:r>
      <w:proofErr w:type="spellEnd"/>
      <w:r>
        <w:rPr>
          <w:rFonts w:ascii="Arial" w:hAnsi="Arial" w:cs="Arial"/>
          <w:color w:val="535353"/>
          <w:sz w:val="22"/>
          <w:szCs w:val="22"/>
        </w:rPr>
        <w:t xml:space="preserve">, Ph.D., Karen </w:t>
      </w:r>
      <w:proofErr w:type="spellStart"/>
      <w:r>
        <w:rPr>
          <w:rFonts w:ascii="Arial" w:hAnsi="Arial" w:cs="Arial"/>
          <w:color w:val="535353"/>
          <w:sz w:val="22"/>
          <w:szCs w:val="22"/>
        </w:rPr>
        <w:t>Dragert</w:t>
      </w:r>
      <w:proofErr w:type="spellEnd"/>
      <w:r>
        <w:rPr>
          <w:rFonts w:ascii="Arial" w:hAnsi="Arial" w:cs="Arial"/>
          <w:color w:val="535353"/>
          <w:sz w:val="22"/>
          <w:szCs w:val="22"/>
        </w:rPr>
        <w:t xml:space="preserve">, R.N., Lauren Beaupre, P.T., Ph.D., Kevin Hildebrand, M.D., William Macaulay, M.D., Courtland Lewis, M.D., Donald Richard Cook, </w:t>
      </w:r>
      <w:proofErr w:type="spellStart"/>
      <w:r>
        <w:rPr>
          <w:rFonts w:ascii="Arial" w:hAnsi="Arial" w:cs="Arial"/>
          <w:color w:val="535353"/>
          <w:sz w:val="22"/>
          <w:szCs w:val="22"/>
        </w:rPr>
        <w:t>B.M.Sc</w:t>
      </w:r>
      <w:proofErr w:type="spellEnd"/>
      <w:r>
        <w:rPr>
          <w:rFonts w:ascii="Arial" w:hAnsi="Arial" w:cs="Arial"/>
          <w:color w:val="535353"/>
          <w:sz w:val="22"/>
          <w:szCs w:val="22"/>
        </w:rPr>
        <w:t xml:space="preserve">., M.D., Gwendolyn Dobbin, C.C.R.P., </w:t>
      </w:r>
      <w:proofErr w:type="spellStart"/>
      <w:r>
        <w:rPr>
          <w:rFonts w:ascii="Arial" w:hAnsi="Arial" w:cs="Arial"/>
          <w:color w:val="535353"/>
          <w:sz w:val="22"/>
          <w:szCs w:val="22"/>
        </w:rPr>
        <w:t>Khwaja</w:t>
      </w:r>
      <w:proofErr w:type="spellEnd"/>
      <w:r>
        <w:rPr>
          <w:rFonts w:ascii="Arial" w:hAnsi="Arial" w:cs="Arial"/>
          <w:color w:val="535353"/>
          <w:sz w:val="22"/>
          <w:szCs w:val="22"/>
        </w:rPr>
        <w:t xml:space="preserve"> J. </w:t>
      </w:r>
      <w:proofErr w:type="spellStart"/>
      <w:r>
        <w:rPr>
          <w:rFonts w:ascii="Arial" w:hAnsi="Arial" w:cs="Arial"/>
          <w:color w:val="535353"/>
          <w:sz w:val="22"/>
          <w:szCs w:val="22"/>
        </w:rPr>
        <w:t>Zakriya</w:t>
      </w:r>
      <w:proofErr w:type="spellEnd"/>
      <w:r>
        <w:rPr>
          <w:rFonts w:ascii="Arial" w:hAnsi="Arial" w:cs="Arial"/>
          <w:color w:val="535353"/>
          <w:sz w:val="22"/>
          <w:szCs w:val="22"/>
        </w:rPr>
        <w:t xml:space="preserve">, M.D., Fred S. Apple, Ph.D., Rebecca A. Horney, B.A., and Jay </w:t>
      </w:r>
      <w:proofErr w:type="spellStart"/>
      <w:r>
        <w:rPr>
          <w:rFonts w:ascii="Arial" w:hAnsi="Arial" w:cs="Arial"/>
          <w:color w:val="535353"/>
          <w:sz w:val="22"/>
          <w:szCs w:val="22"/>
        </w:rPr>
        <w:t>Magaziner</w:t>
      </w:r>
      <w:proofErr w:type="spellEnd"/>
      <w:r>
        <w:rPr>
          <w:rFonts w:ascii="Arial" w:hAnsi="Arial" w:cs="Arial"/>
          <w:color w:val="535353"/>
          <w:sz w:val="22"/>
          <w:szCs w:val="22"/>
        </w:rPr>
        <w:t xml:space="preserve">, Ph.D., </w:t>
      </w:r>
      <w:proofErr w:type="spellStart"/>
      <w:r>
        <w:rPr>
          <w:rFonts w:ascii="Arial" w:hAnsi="Arial" w:cs="Arial"/>
          <w:color w:val="535353"/>
          <w:sz w:val="22"/>
          <w:szCs w:val="22"/>
        </w:rPr>
        <w:t>M.S.Hyg</w:t>
      </w:r>
      <w:proofErr w:type="spellEnd"/>
      <w:r>
        <w:rPr>
          <w:rFonts w:ascii="Arial" w:hAnsi="Arial" w:cs="Arial"/>
          <w:color w:val="535353"/>
          <w:sz w:val="22"/>
          <w:szCs w:val="22"/>
        </w:rPr>
        <w:t xml:space="preserve">. </w:t>
      </w:r>
      <w:proofErr w:type="gramStart"/>
      <w:r>
        <w:rPr>
          <w:rFonts w:ascii="Arial" w:hAnsi="Arial" w:cs="Arial"/>
          <w:color w:val="535353"/>
          <w:sz w:val="22"/>
          <w:szCs w:val="22"/>
        </w:rPr>
        <w:t>for</w:t>
      </w:r>
      <w:proofErr w:type="gramEnd"/>
      <w:r>
        <w:rPr>
          <w:rFonts w:ascii="Arial" w:hAnsi="Arial" w:cs="Arial"/>
          <w:color w:val="535353"/>
          <w:sz w:val="22"/>
          <w:szCs w:val="22"/>
        </w:rPr>
        <w:t xml:space="preserve"> the FOCUS Investigators</w:t>
      </w:r>
    </w:p>
    <w:p w14:paraId="71774B32" w14:textId="77777777" w:rsidR="00DE68DB" w:rsidRDefault="00DE68DB" w:rsidP="00DE68DB">
      <w:pPr>
        <w:widowControl w:val="0"/>
        <w:autoSpaceDE w:val="0"/>
        <w:autoSpaceDN w:val="0"/>
        <w:adjustRightInd w:val="0"/>
        <w:spacing w:after="80" w:line="320" w:lineRule="atLeast"/>
        <w:rPr>
          <w:rFonts w:ascii="Arial" w:hAnsi="Arial" w:cs="Arial"/>
          <w:b/>
          <w:bCs/>
          <w:color w:val="262626"/>
          <w:sz w:val="28"/>
          <w:szCs w:val="28"/>
        </w:rPr>
      </w:pPr>
      <w:r>
        <w:rPr>
          <w:rFonts w:ascii="Arial" w:hAnsi="Arial" w:cs="Arial"/>
          <w:color w:val="535353"/>
          <w:sz w:val="22"/>
          <w:szCs w:val="22"/>
        </w:rPr>
        <w:t xml:space="preserve">N </w:t>
      </w:r>
      <w:proofErr w:type="spellStart"/>
      <w:r>
        <w:rPr>
          <w:rFonts w:ascii="Arial" w:hAnsi="Arial" w:cs="Arial"/>
          <w:color w:val="535353"/>
          <w:sz w:val="22"/>
          <w:szCs w:val="22"/>
        </w:rPr>
        <w:t>Engl</w:t>
      </w:r>
      <w:proofErr w:type="spellEnd"/>
      <w:r>
        <w:rPr>
          <w:rFonts w:ascii="Arial" w:hAnsi="Arial" w:cs="Arial"/>
          <w:color w:val="535353"/>
          <w:sz w:val="22"/>
          <w:szCs w:val="22"/>
        </w:rPr>
        <w:t xml:space="preserve"> J Med 2011; 365:2453-2462</w:t>
      </w:r>
      <w:hyperlink r:id="rId5" w:history="1">
        <w:r>
          <w:rPr>
            <w:rFonts w:ascii="Arial" w:hAnsi="Arial" w:cs="Arial"/>
            <w:color w:val="125383"/>
            <w:sz w:val="22"/>
            <w:szCs w:val="22"/>
          </w:rPr>
          <w:t>December 29, 2011</w:t>
        </w:r>
      </w:hyperlink>
    </w:p>
    <w:p w14:paraId="088CB37B" w14:textId="77777777" w:rsidR="00DE68DB" w:rsidRDefault="00DE68DB" w:rsidP="00DE68DB">
      <w:pPr>
        <w:widowControl w:val="0"/>
        <w:autoSpaceDE w:val="0"/>
        <w:autoSpaceDN w:val="0"/>
        <w:adjustRightInd w:val="0"/>
        <w:spacing w:after="80" w:line="320" w:lineRule="atLeast"/>
        <w:rPr>
          <w:rFonts w:ascii="Arial" w:hAnsi="Arial" w:cs="Arial"/>
          <w:b/>
          <w:bCs/>
          <w:color w:val="262626"/>
          <w:sz w:val="28"/>
          <w:szCs w:val="28"/>
        </w:rPr>
      </w:pPr>
      <w:r>
        <w:rPr>
          <w:rFonts w:ascii="Arial" w:hAnsi="Arial" w:cs="Arial"/>
          <w:b/>
          <w:bCs/>
          <w:color w:val="262626"/>
          <w:sz w:val="28"/>
          <w:szCs w:val="28"/>
        </w:rPr>
        <w:t>BACKGROUND</w:t>
      </w:r>
    </w:p>
    <w:p w14:paraId="18CE21F8" w14:textId="77777777" w:rsidR="00DE68DB" w:rsidRPr="00DE68DB" w:rsidRDefault="00DE68DB" w:rsidP="00DE68DB">
      <w:pPr>
        <w:widowControl w:val="0"/>
        <w:autoSpaceDE w:val="0"/>
        <w:autoSpaceDN w:val="0"/>
        <w:adjustRightInd w:val="0"/>
        <w:spacing w:after="80" w:line="320" w:lineRule="atLeast"/>
        <w:rPr>
          <w:rFonts w:ascii="Arial" w:hAnsi="Arial" w:cs="Arial"/>
          <w:b/>
          <w:bCs/>
          <w:color w:val="262626"/>
          <w:sz w:val="28"/>
          <w:szCs w:val="28"/>
        </w:rPr>
      </w:pPr>
      <w:r>
        <w:rPr>
          <w:rFonts w:ascii="Arial" w:hAnsi="Arial" w:cs="Arial"/>
          <w:b/>
          <w:bCs/>
          <w:color w:val="262626"/>
          <w:sz w:val="28"/>
          <w:szCs w:val="28"/>
        </w:rPr>
        <w:t>T</w:t>
      </w:r>
      <w:r>
        <w:rPr>
          <w:rFonts w:ascii="Arial" w:hAnsi="Arial" w:cs="Arial"/>
          <w:color w:val="262626"/>
          <w:sz w:val="26"/>
          <w:szCs w:val="26"/>
        </w:rPr>
        <w:t>he hemoglobin threshold at which postoperative red-cell transfusion is warranted is controversial. We conducted a randomized trial to determine whether a higher threshold for blood transfusion would improve recovery in patients who had undergone surgery for hip fracture.</w:t>
      </w:r>
    </w:p>
    <w:p w14:paraId="36F9E7FC" w14:textId="77777777" w:rsidR="00DE68DB" w:rsidRDefault="00DE68DB" w:rsidP="00DE68DB">
      <w:pPr>
        <w:widowControl w:val="0"/>
        <w:autoSpaceDE w:val="0"/>
        <w:autoSpaceDN w:val="0"/>
        <w:adjustRightInd w:val="0"/>
        <w:spacing w:after="80" w:line="320" w:lineRule="atLeast"/>
        <w:rPr>
          <w:rFonts w:ascii="Arial" w:hAnsi="Arial" w:cs="Arial"/>
          <w:b/>
          <w:bCs/>
          <w:color w:val="262626"/>
          <w:sz w:val="28"/>
          <w:szCs w:val="28"/>
        </w:rPr>
      </w:pPr>
      <w:r>
        <w:rPr>
          <w:rFonts w:ascii="Arial" w:hAnsi="Arial" w:cs="Arial"/>
          <w:b/>
          <w:bCs/>
          <w:color w:val="262626"/>
          <w:sz w:val="28"/>
          <w:szCs w:val="28"/>
        </w:rPr>
        <w:t>METHODS</w:t>
      </w:r>
    </w:p>
    <w:p w14:paraId="2C456D90" w14:textId="77777777" w:rsidR="00DE68DB" w:rsidRPr="00DE68DB" w:rsidRDefault="00DE68DB" w:rsidP="00DE68DB">
      <w:pPr>
        <w:widowControl w:val="0"/>
        <w:autoSpaceDE w:val="0"/>
        <w:autoSpaceDN w:val="0"/>
        <w:adjustRightInd w:val="0"/>
        <w:spacing w:after="80" w:line="320" w:lineRule="atLeast"/>
        <w:rPr>
          <w:rFonts w:ascii="Arial" w:hAnsi="Arial" w:cs="Arial"/>
          <w:b/>
          <w:bCs/>
          <w:color w:val="262626"/>
          <w:sz w:val="28"/>
          <w:szCs w:val="28"/>
        </w:rPr>
      </w:pPr>
      <w:r>
        <w:rPr>
          <w:rFonts w:ascii="Arial" w:hAnsi="Arial" w:cs="Arial"/>
          <w:color w:val="262626"/>
          <w:sz w:val="26"/>
          <w:szCs w:val="26"/>
        </w:rPr>
        <w:t>We enrolled 2016 patients who were 50 years of age or older, who had either a history of or risk factors for cardiovascular disease, and whose hemoglobin level was below 10 g per deciliter after hip-fracture surgery. We randomly assigned patients to a liberal transfusion strategy (a hemoglobin threshold of 10 g per deciliter) or a restrictive transfusion strategy (symptoms of anemia or at physician discretion for a hemoglobin level of &lt;8 g per deciliter). The primary outcome was death or an inability to walk across a room without human assistance on 60-day follow-up.</w:t>
      </w:r>
    </w:p>
    <w:p w14:paraId="7E88FDEF" w14:textId="77777777" w:rsidR="00DE68DB" w:rsidRDefault="00DE68DB" w:rsidP="00DE68DB">
      <w:pPr>
        <w:widowControl w:val="0"/>
        <w:autoSpaceDE w:val="0"/>
        <w:autoSpaceDN w:val="0"/>
        <w:adjustRightInd w:val="0"/>
        <w:spacing w:after="80" w:line="320" w:lineRule="atLeast"/>
        <w:rPr>
          <w:rFonts w:ascii="Arial" w:hAnsi="Arial" w:cs="Arial"/>
          <w:b/>
          <w:bCs/>
          <w:color w:val="262626"/>
          <w:sz w:val="28"/>
          <w:szCs w:val="28"/>
        </w:rPr>
      </w:pPr>
      <w:r>
        <w:rPr>
          <w:rFonts w:ascii="Arial" w:hAnsi="Arial" w:cs="Arial"/>
          <w:b/>
          <w:bCs/>
          <w:color w:val="262626"/>
          <w:sz w:val="28"/>
          <w:szCs w:val="28"/>
        </w:rPr>
        <w:t>RESULTS</w:t>
      </w:r>
    </w:p>
    <w:p w14:paraId="6882A4BF" w14:textId="77777777" w:rsidR="00DE68DB" w:rsidRPr="00DE68DB" w:rsidRDefault="00DE68DB" w:rsidP="00DE68DB">
      <w:pPr>
        <w:widowControl w:val="0"/>
        <w:autoSpaceDE w:val="0"/>
        <w:autoSpaceDN w:val="0"/>
        <w:adjustRightInd w:val="0"/>
        <w:spacing w:after="80" w:line="320" w:lineRule="atLeast"/>
        <w:rPr>
          <w:rFonts w:ascii="Arial" w:hAnsi="Arial" w:cs="Arial"/>
          <w:b/>
          <w:bCs/>
          <w:color w:val="262626"/>
          <w:sz w:val="28"/>
          <w:szCs w:val="28"/>
        </w:rPr>
      </w:pPr>
      <w:proofErr w:type="gramStart"/>
      <w:r>
        <w:rPr>
          <w:rFonts w:ascii="Arial" w:hAnsi="Arial" w:cs="Arial"/>
          <w:color w:val="262626"/>
          <w:sz w:val="26"/>
          <w:szCs w:val="26"/>
        </w:rPr>
        <w:t>A median of 2 units of red cells were</w:t>
      </w:r>
      <w:proofErr w:type="gramEnd"/>
      <w:r>
        <w:rPr>
          <w:rFonts w:ascii="Arial" w:hAnsi="Arial" w:cs="Arial"/>
          <w:color w:val="262626"/>
          <w:sz w:val="26"/>
          <w:szCs w:val="26"/>
        </w:rPr>
        <w:t xml:space="preserve"> transfused in the liberal-strategy group and none in the restrictive-strategy group. The rates of the primary outcome were 35.2% in the liberal-strategy group and 34.7% in the restrictive-strategy group (odds ratio in the liberal-strategy group, 1.01; 95% confidence interval [CI], 0.84 to 1.22), for an absolute risk difference of 0.5 percentage points (95% CI, −3.7 to 4.7). The rates of in-hospital acute coronary syndrome or death were 4.3% and 5.2%, respectively (absolute risk difference, −0.9%; 99% CI, −3.3 to 1.6), and rates of death on 60-day follow-up were 7.6% and 6.6%, respectively (absolute risk difference, 1.0%; 99% CI, −1.9 to 4.0). The rates of other complications were similar in the two groups.</w:t>
      </w:r>
    </w:p>
    <w:p w14:paraId="76F71504" w14:textId="77777777" w:rsidR="00DE68DB" w:rsidRDefault="00DE68DB" w:rsidP="00DE68DB">
      <w:pPr>
        <w:widowControl w:val="0"/>
        <w:autoSpaceDE w:val="0"/>
        <w:autoSpaceDN w:val="0"/>
        <w:adjustRightInd w:val="0"/>
        <w:spacing w:after="80" w:line="320" w:lineRule="atLeast"/>
        <w:rPr>
          <w:rFonts w:ascii="Arial" w:hAnsi="Arial" w:cs="Arial"/>
          <w:b/>
          <w:bCs/>
          <w:color w:val="262626"/>
          <w:sz w:val="28"/>
          <w:szCs w:val="28"/>
        </w:rPr>
      </w:pPr>
      <w:r>
        <w:rPr>
          <w:rFonts w:ascii="Arial" w:hAnsi="Arial" w:cs="Arial"/>
          <w:b/>
          <w:bCs/>
          <w:color w:val="262626"/>
          <w:sz w:val="28"/>
          <w:szCs w:val="28"/>
        </w:rPr>
        <w:t>CONCLUSIONS</w:t>
      </w:r>
    </w:p>
    <w:p w14:paraId="7FEE2E4A" w14:textId="77777777" w:rsidR="00DE68DB" w:rsidRDefault="00DE68DB" w:rsidP="00DE68DB">
      <w:pPr>
        <w:rPr>
          <w:rFonts w:ascii="Arial" w:hAnsi="Arial" w:cs="Arial"/>
          <w:color w:val="262626"/>
          <w:sz w:val="26"/>
          <w:szCs w:val="26"/>
        </w:rPr>
      </w:pPr>
      <w:r>
        <w:rPr>
          <w:rFonts w:ascii="Arial" w:hAnsi="Arial" w:cs="Arial"/>
          <w:color w:val="262626"/>
          <w:sz w:val="26"/>
          <w:szCs w:val="26"/>
        </w:rPr>
        <w:t>A liberal transfusion strategy, as compared with a restrictive strategy, did not reduce rates of death or inability to walk independently on 60-day follow-up or reduce in-hospital morbidity in elderly patients at high cardiovascular risk.</w:t>
      </w:r>
    </w:p>
    <w:p w14:paraId="6F72C630" w14:textId="77777777" w:rsidR="00DE68DB" w:rsidRDefault="00DE68DB" w:rsidP="00DE68DB">
      <w:pPr>
        <w:rPr>
          <w:rFonts w:ascii="Arial" w:hAnsi="Arial" w:cs="Arial"/>
          <w:color w:val="262626"/>
          <w:sz w:val="26"/>
          <w:szCs w:val="26"/>
        </w:rPr>
      </w:pPr>
    </w:p>
    <w:p w14:paraId="212A22A4" w14:textId="77777777" w:rsidR="00DE68DB" w:rsidRDefault="00DE68DB" w:rsidP="00DE68DB">
      <w:pPr>
        <w:rPr>
          <w:rFonts w:ascii="Arial" w:hAnsi="Arial" w:cs="Arial"/>
          <w:color w:val="262626"/>
          <w:sz w:val="26"/>
          <w:szCs w:val="26"/>
        </w:rPr>
      </w:pPr>
      <w:r>
        <w:rPr>
          <w:rFonts w:ascii="Arial" w:hAnsi="Arial" w:cs="Arial"/>
          <w:color w:val="262626"/>
          <w:sz w:val="26"/>
          <w:szCs w:val="26"/>
        </w:rPr>
        <w:t>TAKE HOMES:</w:t>
      </w:r>
    </w:p>
    <w:p w14:paraId="687FA326" w14:textId="77777777" w:rsidR="00DE68DB" w:rsidRDefault="00DE68DB" w:rsidP="00DE68DB">
      <w:r>
        <w:rPr>
          <w:rFonts w:ascii="Arial" w:hAnsi="Arial" w:cs="Arial"/>
          <w:color w:val="262626"/>
          <w:sz w:val="26"/>
          <w:szCs w:val="26"/>
        </w:rPr>
        <w:t xml:space="preserve">1.  A liberal transfusion strategy (transfusing to maintain </w:t>
      </w:r>
      <w:proofErr w:type="spellStart"/>
      <w:r>
        <w:rPr>
          <w:rFonts w:ascii="Arial" w:hAnsi="Arial" w:cs="Arial"/>
          <w:color w:val="262626"/>
          <w:sz w:val="26"/>
          <w:szCs w:val="26"/>
        </w:rPr>
        <w:t>Hb</w:t>
      </w:r>
      <w:proofErr w:type="spellEnd"/>
      <w:r>
        <w:rPr>
          <w:rFonts w:ascii="Arial" w:hAnsi="Arial" w:cs="Arial"/>
          <w:color w:val="262626"/>
          <w:sz w:val="26"/>
          <w:szCs w:val="26"/>
        </w:rPr>
        <w:t>&gt;10g/</w:t>
      </w:r>
      <w:proofErr w:type="spellStart"/>
      <w:r>
        <w:rPr>
          <w:rFonts w:ascii="Arial" w:hAnsi="Arial" w:cs="Arial"/>
          <w:color w:val="262626"/>
          <w:sz w:val="26"/>
          <w:szCs w:val="26"/>
        </w:rPr>
        <w:t>dL</w:t>
      </w:r>
      <w:proofErr w:type="spellEnd"/>
      <w:r>
        <w:rPr>
          <w:rFonts w:ascii="Arial" w:hAnsi="Arial" w:cs="Arial"/>
          <w:color w:val="262626"/>
          <w:sz w:val="26"/>
          <w:szCs w:val="26"/>
        </w:rPr>
        <w:t xml:space="preserve">) does not improve morbidity, mortality or ability to walk independently at 60 days vs. a conservative transfusion strategy (transfusing to maintain </w:t>
      </w:r>
      <w:proofErr w:type="spellStart"/>
      <w:r>
        <w:rPr>
          <w:rFonts w:ascii="Arial" w:hAnsi="Arial" w:cs="Arial"/>
          <w:color w:val="262626"/>
          <w:sz w:val="26"/>
          <w:szCs w:val="26"/>
        </w:rPr>
        <w:t>Hb</w:t>
      </w:r>
      <w:proofErr w:type="spellEnd"/>
      <w:r>
        <w:rPr>
          <w:rFonts w:ascii="Arial" w:hAnsi="Arial" w:cs="Arial"/>
          <w:color w:val="262626"/>
          <w:sz w:val="26"/>
          <w:szCs w:val="26"/>
        </w:rPr>
        <w:t>&gt;8g/</w:t>
      </w:r>
      <w:proofErr w:type="spellStart"/>
      <w:r>
        <w:rPr>
          <w:rFonts w:ascii="Arial" w:hAnsi="Arial" w:cs="Arial"/>
          <w:color w:val="262626"/>
          <w:sz w:val="26"/>
          <w:szCs w:val="26"/>
        </w:rPr>
        <w:t>dL</w:t>
      </w:r>
      <w:proofErr w:type="spellEnd"/>
      <w:r>
        <w:rPr>
          <w:rFonts w:ascii="Arial" w:hAnsi="Arial" w:cs="Arial"/>
          <w:color w:val="262626"/>
          <w:sz w:val="26"/>
          <w:szCs w:val="26"/>
        </w:rPr>
        <w:t xml:space="preserve"> and transfusing based on clinical signs).</w:t>
      </w:r>
      <w:bookmarkStart w:id="0" w:name="_GoBack"/>
      <w:bookmarkEnd w:id="0"/>
    </w:p>
    <w:sectPr w:rsidR="00DE68DB"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51F"/>
    <w:rsid w:val="0018451F"/>
    <w:rsid w:val="00D46B93"/>
    <w:rsid w:val="00DE68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B16EB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nejm.org.proxy.library.cornell.edu/toc/nejm/365/26/"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829</Words>
  <Characters>4535</Characters>
  <Application>Microsoft Macintosh Word</Application>
  <DocSecurity>0</DocSecurity>
  <Lines>103</Lines>
  <Paragraphs>34</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5330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2</cp:revision>
  <dcterms:created xsi:type="dcterms:W3CDTF">2012-01-05T18:24:00Z</dcterms:created>
  <dcterms:modified xsi:type="dcterms:W3CDTF">2012-01-05T18:24:00Z</dcterms:modified>
</cp:coreProperties>
</file>