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B93" w:rsidRDefault="0034135C">
      <w:r>
        <w:t>Severe sepsis in cats (1986-1998)</w:t>
      </w:r>
    </w:p>
    <w:p w:rsidR="0034135C" w:rsidRDefault="0034135C">
      <w:r>
        <w:t>Brady et al, JAVMA, 2000</w:t>
      </w:r>
    </w:p>
    <w:p w:rsidR="0034135C" w:rsidRDefault="0034135C"/>
    <w:p w:rsidR="0034135C" w:rsidRDefault="0034135C">
      <w:r>
        <w:t>Key:</w:t>
      </w:r>
    </w:p>
    <w:p w:rsidR="0034135C" w:rsidRDefault="0034135C"/>
    <w:p w:rsidR="0034135C" w:rsidRDefault="0034135C" w:rsidP="0034135C">
      <w:pPr>
        <w:pStyle w:val="ListParagraph"/>
        <w:numPr>
          <w:ilvl w:val="0"/>
          <w:numId w:val="1"/>
        </w:numPr>
      </w:pPr>
      <w:r>
        <w:t xml:space="preserve">Common signs/laboratory abnormalities identified by Brady et al. for cats with severe sepsis include lethargy (all cats in study), pale mucous membranes (all cats in study), abdominal pain (22/29 cats in study), tachypnea (21/29 cats in study), weak pulses (23/29 cats in study), anemia (45% cats in study), </w:t>
      </w:r>
      <w:proofErr w:type="spellStart"/>
      <w:r>
        <w:t>hypoalbuminemia</w:t>
      </w:r>
      <w:proofErr w:type="spellEnd"/>
      <w:r>
        <w:t xml:space="preserve"> (100% cats in study), hypothermia (59% cats in study), icterus (21/29 cats in study).</w:t>
      </w:r>
    </w:p>
    <w:p w:rsidR="0034135C" w:rsidRDefault="0034135C" w:rsidP="0034135C">
      <w:pPr>
        <w:pStyle w:val="ListParagraph"/>
        <w:numPr>
          <w:ilvl w:val="0"/>
          <w:numId w:val="1"/>
        </w:numPr>
      </w:pPr>
      <w:r>
        <w:t xml:space="preserve">Previous studies on relative </w:t>
      </w:r>
      <w:proofErr w:type="spellStart"/>
      <w:r>
        <w:t>bradycardia</w:t>
      </w:r>
      <w:proofErr w:type="spellEnd"/>
      <w:r>
        <w:t xml:space="preserve"> in humans have demonstrated an association between hypothermia and </w:t>
      </w:r>
      <w:proofErr w:type="spellStart"/>
      <w:r>
        <w:t>bradycardia</w:t>
      </w:r>
      <w:proofErr w:type="spellEnd"/>
      <w:r>
        <w:t xml:space="preserve">; </w:t>
      </w:r>
      <w:proofErr w:type="gramStart"/>
      <w:r>
        <w:t>this was not demonstrated in the study by Brady et al</w:t>
      </w:r>
      <w:proofErr w:type="gramEnd"/>
      <w:r>
        <w:t xml:space="preserve">.  Their proposed mechanisms for a relative </w:t>
      </w:r>
      <w:proofErr w:type="spellStart"/>
      <w:r>
        <w:t>bradycardia</w:t>
      </w:r>
      <w:proofErr w:type="spellEnd"/>
      <w:r>
        <w:t xml:space="preserve"> include simultaneous baroreceptor stimulation of vagal and sympathetic fibers and decreased left ventricular contractility and increased left ventricular end diastolic pressure (as demonstrated in cats with experimentally induced </w:t>
      </w:r>
      <w:proofErr w:type="spellStart"/>
      <w:r>
        <w:t>endotoxemia</w:t>
      </w:r>
      <w:proofErr w:type="spellEnd"/>
      <w:r>
        <w:t xml:space="preserve">) which could potentially elicit a reflex </w:t>
      </w:r>
      <w:proofErr w:type="spellStart"/>
      <w:r>
        <w:t>bradycardia</w:t>
      </w:r>
      <w:proofErr w:type="spellEnd"/>
      <w:r>
        <w:t xml:space="preserve"> via vagal stimulation</w:t>
      </w:r>
    </w:p>
    <w:p w:rsidR="0034135C" w:rsidRDefault="0034135C" w:rsidP="0034135C">
      <w:pPr>
        <w:pStyle w:val="ListParagraph"/>
        <w:numPr>
          <w:ilvl w:val="0"/>
          <w:numId w:val="1"/>
        </w:numPr>
      </w:pPr>
      <w:r>
        <w:t>B; anemia is d/t accelerated erythrocyte destruction resulting in a low-grade hemolytic anemia.  Additionally, cats are susceptible to oxidative damage because of the 8 reactive sulfhydryl groups on hemoglobin (as compared to 4 in dogs) and the low activity of glutathione (that results in a Heinz body anemia).  Additionally, secondary failure of erythropoiesis is a postulated cause.</w:t>
      </w:r>
    </w:p>
    <w:p w:rsidR="0034135C" w:rsidRDefault="0034135C" w:rsidP="0034135C">
      <w:pPr>
        <w:pStyle w:val="ListParagraph"/>
        <w:numPr>
          <w:ilvl w:val="0"/>
          <w:numId w:val="1"/>
        </w:numPr>
      </w:pPr>
      <w:r>
        <w:t>False</w:t>
      </w:r>
      <w:proofErr w:type="gramStart"/>
      <w:r>
        <w:t>;</w:t>
      </w:r>
      <w:proofErr w:type="gramEnd"/>
      <w:r>
        <w:t xml:space="preserve"> cholestasis was not identified in this study and cats with severe sepsis were also found to have low ALP levels.  Icterus likely occurs secondary to hemolysis.</w:t>
      </w:r>
    </w:p>
    <w:p w:rsidR="0034135C" w:rsidRDefault="0034135C" w:rsidP="0034135C">
      <w:pPr>
        <w:pStyle w:val="ListParagraph"/>
        <w:numPr>
          <w:ilvl w:val="0"/>
          <w:numId w:val="1"/>
        </w:numPr>
      </w:pPr>
      <w:r>
        <w:t>Cats must fulfill ¾ of the following criteria for SIRS:</w:t>
      </w:r>
    </w:p>
    <w:p w:rsidR="0034135C" w:rsidRDefault="0034135C" w:rsidP="0034135C">
      <w:pPr>
        <w:pStyle w:val="ListParagraph"/>
        <w:numPr>
          <w:ilvl w:val="1"/>
          <w:numId w:val="1"/>
        </w:numPr>
      </w:pPr>
      <w:r>
        <w:t>T&gt;39.7C (103.5F) or &lt;37.8C (100F)</w:t>
      </w:r>
    </w:p>
    <w:p w:rsidR="0034135C" w:rsidRDefault="0034135C" w:rsidP="0034135C">
      <w:pPr>
        <w:pStyle w:val="ListParagraph"/>
        <w:numPr>
          <w:ilvl w:val="1"/>
          <w:numId w:val="1"/>
        </w:numPr>
      </w:pPr>
      <w:r>
        <w:t>HR&gt;225 or &lt;140</w:t>
      </w:r>
    </w:p>
    <w:p w:rsidR="0034135C" w:rsidRDefault="0034135C" w:rsidP="0034135C">
      <w:pPr>
        <w:pStyle w:val="ListParagraph"/>
        <w:numPr>
          <w:ilvl w:val="1"/>
          <w:numId w:val="1"/>
        </w:numPr>
      </w:pPr>
      <w:r>
        <w:t>RR&gt;40</w:t>
      </w:r>
    </w:p>
    <w:p w:rsidR="0034135C" w:rsidRDefault="0034135C" w:rsidP="0034135C">
      <w:pPr>
        <w:pStyle w:val="ListParagraph"/>
        <w:numPr>
          <w:ilvl w:val="1"/>
          <w:numId w:val="1"/>
        </w:numPr>
      </w:pPr>
      <w:r>
        <w:t>WBC&gt;19.5 thou/</w:t>
      </w:r>
      <w:proofErr w:type="spellStart"/>
      <w:r>
        <w:t>uL</w:t>
      </w:r>
      <w:proofErr w:type="spellEnd"/>
      <w:r>
        <w:t xml:space="preserve"> or &lt;5 thou/</w:t>
      </w:r>
      <w:proofErr w:type="spellStart"/>
      <w:r>
        <w:t>uL</w:t>
      </w:r>
      <w:proofErr w:type="spellEnd"/>
      <w:r>
        <w:t xml:space="preserve"> or bands&gt;5%</w:t>
      </w:r>
      <w:bookmarkStart w:id="0" w:name="_GoBack"/>
      <w:bookmarkEnd w:id="0"/>
    </w:p>
    <w:sectPr w:rsidR="0034135C" w:rsidSect="00D46B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62FBB"/>
    <w:multiLevelType w:val="hybridMultilevel"/>
    <w:tmpl w:val="64EC49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35C"/>
    <w:rsid w:val="0034135C"/>
    <w:rsid w:val="00D4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8E15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13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1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258</Words>
  <Characters>1472</Characters>
  <Application>Microsoft Macintosh Word</Application>
  <DocSecurity>0</DocSecurity>
  <Lines>12</Lines>
  <Paragraphs>3</Paragraphs>
  <ScaleCrop>false</ScaleCrop>
  <Company>Cornell University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DiFazio</dc:creator>
  <cp:keywords/>
  <dc:description/>
  <cp:lastModifiedBy>Jillian DiFazio</cp:lastModifiedBy>
  <cp:revision>1</cp:revision>
  <dcterms:created xsi:type="dcterms:W3CDTF">2011-08-18T19:07:00Z</dcterms:created>
  <dcterms:modified xsi:type="dcterms:W3CDTF">2011-08-18T19:15:00Z</dcterms:modified>
</cp:coreProperties>
</file>