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75A88" w:rsidRDefault="002D6400">
      <w:r>
        <w:t xml:space="preserve">Association between timing of antibiotic administration and mortality from septic shock in patients treated with a quantitative resuscitation protocol. </w:t>
      </w:r>
    </w:p>
    <w:p w:rsidR="002D6400" w:rsidRDefault="002D6400">
      <w:proofErr w:type="spellStart"/>
      <w:r>
        <w:t>Puskarich</w:t>
      </w:r>
      <w:proofErr w:type="spellEnd"/>
      <w:r>
        <w:t xml:space="preserve"> MA, et al</w:t>
      </w:r>
    </w:p>
    <w:p w:rsidR="002D6400" w:rsidRDefault="002D6400">
      <w:r>
        <w:t xml:space="preserve">Critical Care </w:t>
      </w:r>
      <w:proofErr w:type="spellStart"/>
      <w:r>
        <w:t>Medine</w:t>
      </w:r>
      <w:proofErr w:type="spellEnd"/>
      <w:r>
        <w:t xml:space="preserve"> 2001 </w:t>
      </w:r>
      <w:proofErr w:type="spellStart"/>
      <w:r>
        <w:t>Vol</w:t>
      </w:r>
      <w:proofErr w:type="spellEnd"/>
      <w:r>
        <w:t xml:space="preserve"> 39, No 9, p 2066-71</w:t>
      </w:r>
    </w:p>
    <w:tbl>
      <w:tblPr>
        <w:tblW w:w="0" w:type="auto"/>
        <w:tblCellSpacing w:w="15" w:type="dxa"/>
        <w:tblCellMar>
          <w:top w:w="15" w:type="dxa"/>
          <w:left w:w="15" w:type="dxa"/>
          <w:bottom w:w="15" w:type="dxa"/>
          <w:right w:w="15" w:type="dxa"/>
        </w:tblCellMar>
        <w:tblLook w:val="04A0"/>
      </w:tblPr>
      <w:tblGrid>
        <w:gridCol w:w="10809"/>
        <w:gridCol w:w="81"/>
      </w:tblGrid>
      <w:tr w:rsidR="002D6400" w:rsidRPr="002D6400">
        <w:trPr>
          <w:tblCellSpacing w:w="15" w:type="dxa"/>
        </w:trPr>
        <w:tc>
          <w:tcPr>
            <w:tcW w:w="0" w:type="auto"/>
            <w:vAlign w:val="center"/>
            <w:hideMark/>
          </w:tcPr>
          <w:p w:rsidR="002D6400" w:rsidRPr="002D6400" w:rsidRDefault="002D6400" w:rsidP="002D6400">
            <w:pPr>
              <w:spacing w:before="100" w:beforeAutospacing="1" w:after="100" w:afterAutospacing="1" w:line="240" w:lineRule="auto"/>
              <w:rPr>
                <w:rFonts w:ascii="Times New Roman" w:eastAsia="Times New Roman" w:hAnsi="Times New Roman" w:cs="Times New Roman"/>
                <w:sz w:val="24"/>
                <w:szCs w:val="24"/>
              </w:rPr>
            </w:pPr>
            <w:r w:rsidRPr="002D6400">
              <w:rPr>
                <w:rFonts w:ascii="Times New Roman" w:eastAsia="Times New Roman" w:hAnsi="Times New Roman" w:cs="Times New Roman"/>
                <w:sz w:val="24"/>
                <w:szCs w:val="24"/>
              </w:rPr>
              <w:t>Objective: We sought to determine the association between time to initial antibiotics and mortality of patients with septic shock treated with an emergency department-based early resuscitation protocol.</w:t>
            </w:r>
          </w:p>
        </w:tc>
        <w:tc>
          <w:tcPr>
            <w:tcW w:w="0" w:type="auto"/>
            <w:vAlign w:val="center"/>
            <w:hideMark/>
          </w:tcPr>
          <w:p w:rsidR="002D6400" w:rsidRPr="002D6400" w:rsidRDefault="002D6400" w:rsidP="002D6400">
            <w:pPr>
              <w:spacing w:after="0" w:line="240" w:lineRule="auto"/>
              <w:rPr>
                <w:rFonts w:ascii="Times New Roman" w:eastAsia="Times New Roman" w:hAnsi="Times New Roman" w:cs="Times New Roman"/>
                <w:sz w:val="24"/>
                <w:szCs w:val="24"/>
              </w:rPr>
            </w:pPr>
          </w:p>
        </w:tc>
      </w:tr>
      <w:tr w:rsidR="002D6400" w:rsidRPr="002D6400">
        <w:trPr>
          <w:tblCellSpacing w:w="15" w:type="dxa"/>
        </w:trPr>
        <w:tc>
          <w:tcPr>
            <w:tcW w:w="0" w:type="auto"/>
            <w:vAlign w:val="center"/>
            <w:hideMark/>
          </w:tcPr>
          <w:p w:rsidR="002D6400" w:rsidRPr="002D6400" w:rsidRDefault="002D6400" w:rsidP="002D6400">
            <w:pPr>
              <w:spacing w:before="100" w:beforeAutospacing="1" w:after="100" w:afterAutospacing="1" w:line="240" w:lineRule="auto"/>
              <w:rPr>
                <w:rFonts w:ascii="Times New Roman" w:eastAsia="Times New Roman" w:hAnsi="Times New Roman" w:cs="Times New Roman"/>
                <w:sz w:val="24"/>
                <w:szCs w:val="24"/>
              </w:rPr>
            </w:pPr>
            <w:bookmarkStart w:id="0" w:name="15"/>
            <w:bookmarkEnd w:id="0"/>
            <w:r w:rsidRPr="002D6400">
              <w:rPr>
                <w:rFonts w:ascii="Times New Roman" w:eastAsia="Times New Roman" w:hAnsi="Times New Roman" w:cs="Times New Roman"/>
                <w:sz w:val="24"/>
                <w:szCs w:val="24"/>
              </w:rPr>
              <w:t>Design: Preplanned analysis of a multicenter randomized controlled trial of early sepsis resuscitation.</w:t>
            </w:r>
          </w:p>
        </w:tc>
        <w:tc>
          <w:tcPr>
            <w:tcW w:w="0" w:type="auto"/>
            <w:vAlign w:val="center"/>
            <w:hideMark/>
          </w:tcPr>
          <w:p w:rsidR="002D6400" w:rsidRPr="002D6400" w:rsidRDefault="002D6400" w:rsidP="002D6400">
            <w:pPr>
              <w:spacing w:after="0" w:line="240" w:lineRule="auto"/>
              <w:rPr>
                <w:rFonts w:ascii="Times New Roman" w:eastAsia="Times New Roman" w:hAnsi="Times New Roman" w:cs="Times New Roman"/>
                <w:sz w:val="24"/>
                <w:szCs w:val="24"/>
              </w:rPr>
            </w:pPr>
          </w:p>
        </w:tc>
      </w:tr>
      <w:tr w:rsidR="002D6400" w:rsidRPr="002D6400">
        <w:trPr>
          <w:tblCellSpacing w:w="15" w:type="dxa"/>
        </w:trPr>
        <w:tc>
          <w:tcPr>
            <w:tcW w:w="0" w:type="auto"/>
            <w:vAlign w:val="center"/>
            <w:hideMark/>
          </w:tcPr>
          <w:p w:rsidR="002D6400" w:rsidRPr="002D6400" w:rsidRDefault="002D6400" w:rsidP="002D6400">
            <w:pPr>
              <w:spacing w:before="100" w:beforeAutospacing="1" w:after="100" w:afterAutospacing="1" w:line="240" w:lineRule="auto"/>
              <w:rPr>
                <w:rFonts w:ascii="Times New Roman" w:eastAsia="Times New Roman" w:hAnsi="Times New Roman" w:cs="Times New Roman"/>
                <w:sz w:val="24"/>
                <w:szCs w:val="24"/>
              </w:rPr>
            </w:pPr>
            <w:bookmarkStart w:id="1" w:name="16"/>
            <w:bookmarkEnd w:id="1"/>
            <w:r w:rsidRPr="002D6400">
              <w:rPr>
                <w:rFonts w:ascii="Times New Roman" w:eastAsia="Times New Roman" w:hAnsi="Times New Roman" w:cs="Times New Roman"/>
                <w:sz w:val="24"/>
                <w:szCs w:val="24"/>
              </w:rPr>
              <w:t>Setting: Three urban U.S. emergency departments.</w:t>
            </w:r>
          </w:p>
        </w:tc>
        <w:tc>
          <w:tcPr>
            <w:tcW w:w="0" w:type="auto"/>
            <w:vAlign w:val="center"/>
            <w:hideMark/>
          </w:tcPr>
          <w:p w:rsidR="002D6400" w:rsidRPr="002D6400" w:rsidRDefault="002D6400" w:rsidP="002D6400">
            <w:pPr>
              <w:spacing w:after="0" w:line="240" w:lineRule="auto"/>
              <w:rPr>
                <w:rFonts w:ascii="Times New Roman" w:eastAsia="Times New Roman" w:hAnsi="Times New Roman" w:cs="Times New Roman"/>
                <w:sz w:val="24"/>
                <w:szCs w:val="24"/>
              </w:rPr>
            </w:pPr>
          </w:p>
        </w:tc>
      </w:tr>
      <w:tr w:rsidR="002D6400" w:rsidRPr="002D6400">
        <w:trPr>
          <w:tblCellSpacing w:w="15" w:type="dxa"/>
        </w:trPr>
        <w:tc>
          <w:tcPr>
            <w:tcW w:w="0" w:type="auto"/>
            <w:vAlign w:val="center"/>
            <w:hideMark/>
          </w:tcPr>
          <w:p w:rsidR="002D6400" w:rsidRPr="002D6400" w:rsidRDefault="002D6400" w:rsidP="002D6400">
            <w:pPr>
              <w:spacing w:before="100" w:beforeAutospacing="1" w:after="100" w:afterAutospacing="1" w:line="240" w:lineRule="auto"/>
              <w:rPr>
                <w:rFonts w:ascii="Times New Roman" w:eastAsia="Times New Roman" w:hAnsi="Times New Roman" w:cs="Times New Roman"/>
                <w:sz w:val="24"/>
                <w:szCs w:val="24"/>
              </w:rPr>
            </w:pPr>
            <w:bookmarkStart w:id="2" w:name="17"/>
            <w:bookmarkEnd w:id="2"/>
            <w:r w:rsidRPr="002D6400">
              <w:rPr>
                <w:rFonts w:ascii="Times New Roman" w:eastAsia="Times New Roman" w:hAnsi="Times New Roman" w:cs="Times New Roman"/>
                <w:sz w:val="24"/>
                <w:szCs w:val="24"/>
              </w:rPr>
              <w:t>Patients: Adult patients with septic shock.</w:t>
            </w:r>
          </w:p>
        </w:tc>
        <w:tc>
          <w:tcPr>
            <w:tcW w:w="0" w:type="auto"/>
            <w:vAlign w:val="center"/>
            <w:hideMark/>
          </w:tcPr>
          <w:p w:rsidR="002D6400" w:rsidRPr="002D6400" w:rsidRDefault="002D6400" w:rsidP="002D6400">
            <w:pPr>
              <w:spacing w:after="0" w:line="240" w:lineRule="auto"/>
              <w:rPr>
                <w:rFonts w:ascii="Times New Roman" w:eastAsia="Times New Roman" w:hAnsi="Times New Roman" w:cs="Times New Roman"/>
                <w:sz w:val="24"/>
                <w:szCs w:val="24"/>
              </w:rPr>
            </w:pPr>
          </w:p>
        </w:tc>
      </w:tr>
      <w:tr w:rsidR="002D6400" w:rsidRPr="002D6400">
        <w:trPr>
          <w:tblCellSpacing w:w="15" w:type="dxa"/>
        </w:trPr>
        <w:tc>
          <w:tcPr>
            <w:tcW w:w="0" w:type="auto"/>
            <w:vAlign w:val="center"/>
            <w:hideMark/>
          </w:tcPr>
          <w:p w:rsidR="002D6400" w:rsidRPr="002D6400" w:rsidRDefault="002D6400" w:rsidP="002D6400">
            <w:pPr>
              <w:spacing w:before="100" w:beforeAutospacing="1" w:after="100" w:afterAutospacing="1" w:line="240" w:lineRule="auto"/>
              <w:rPr>
                <w:rFonts w:ascii="Times New Roman" w:eastAsia="Times New Roman" w:hAnsi="Times New Roman" w:cs="Times New Roman"/>
                <w:sz w:val="24"/>
                <w:szCs w:val="24"/>
              </w:rPr>
            </w:pPr>
            <w:bookmarkStart w:id="3" w:name="18"/>
            <w:bookmarkEnd w:id="3"/>
            <w:r w:rsidRPr="002D6400">
              <w:rPr>
                <w:rFonts w:ascii="Times New Roman" w:eastAsia="Times New Roman" w:hAnsi="Times New Roman" w:cs="Times New Roman"/>
                <w:sz w:val="24"/>
                <w:szCs w:val="24"/>
              </w:rPr>
              <w:t>Interventions: A quantitative resuscitation protocol in the emergency department targeting three physiological variables: central venous pressure, mean arterial pressure, and either central venous oxygen saturation or lactate clearance. The study protocol was continued until all end points were achieved or a maximum of 6 hrs.</w:t>
            </w:r>
          </w:p>
        </w:tc>
        <w:tc>
          <w:tcPr>
            <w:tcW w:w="0" w:type="auto"/>
            <w:vAlign w:val="center"/>
            <w:hideMark/>
          </w:tcPr>
          <w:p w:rsidR="002D6400" w:rsidRPr="002D6400" w:rsidRDefault="002D6400" w:rsidP="002D6400">
            <w:pPr>
              <w:spacing w:after="0" w:line="240" w:lineRule="auto"/>
              <w:rPr>
                <w:rFonts w:ascii="Times New Roman" w:eastAsia="Times New Roman" w:hAnsi="Times New Roman" w:cs="Times New Roman"/>
                <w:sz w:val="24"/>
                <w:szCs w:val="24"/>
              </w:rPr>
            </w:pPr>
          </w:p>
        </w:tc>
      </w:tr>
      <w:tr w:rsidR="002D6400" w:rsidRPr="002D6400">
        <w:trPr>
          <w:tblCellSpacing w:w="15" w:type="dxa"/>
        </w:trPr>
        <w:tc>
          <w:tcPr>
            <w:tcW w:w="0" w:type="auto"/>
            <w:vAlign w:val="center"/>
            <w:hideMark/>
          </w:tcPr>
          <w:p w:rsidR="002D6400" w:rsidRPr="002D6400" w:rsidRDefault="002D6400" w:rsidP="002D6400">
            <w:pPr>
              <w:spacing w:before="100" w:beforeAutospacing="1" w:after="100" w:afterAutospacing="1" w:line="240" w:lineRule="auto"/>
              <w:rPr>
                <w:rFonts w:ascii="Times New Roman" w:eastAsia="Times New Roman" w:hAnsi="Times New Roman" w:cs="Times New Roman"/>
                <w:sz w:val="24"/>
                <w:szCs w:val="24"/>
              </w:rPr>
            </w:pPr>
            <w:bookmarkStart w:id="4" w:name="19"/>
            <w:bookmarkEnd w:id="4"/>
            <w:r w:rsidRPr="002D6400">
              <w:rPr>
                <w:rFonts w:ascii="Times New Roman" w:eastAsia="Times New Roman" w:hAnsi="Times New Roman" w:cs="Times New Roman"/>
                <w:sz w:val="24"/>
                <w:szCs w:val="24"/>
              </w:rPr>
              <w:t xml:space="preserve">Measurements and Main Results: Data on patients who received an initial dose of antibiotics after presentation to the emergency department were categorized based on both time from triage and time from shock recognition to initiation of antibiotics. The primary outcome was </w:t>
            </w:r>
            <w:proofErr w:type="spellStart"/>
            <w:r w:rsidRPr="002D6400">
              <w:rPr>
                <w:rFonts w:ascii="Times New Roman" w:eastAsia="Times New Roman" w:hAnsi="Times New Roman" w:cs="Times New Roman"/>
                <w:sz w:val="24"/>
                <w:szCs w:val="24"/>
              </w:rPr>
              <w:t>inhospital</w:t>
            </w:r>
            <w:proofErr w:type="spellEnd"/>
            <w:r w:rsidRPr="002D6400">
              <w:rPr>
                <w:rFonts w:ascii="Times New Roman" w:eastAsia="Times New Roman" w:hAnsi="Times New Roman" w:cs="Times New Roman"/>
                <w:sz w:val="24"/>
                <w:szCs w:val="24"/>
              </w:rPr>
              <w:t xml:space="preserve"> mortality. Of 291 included patients, mortality did not change with hourly delays in antibiotic administration up to 6 hrs after triage: 1 hr (odds ratio [OR], 1.2; 0.6–2.5), 2 hrs (OR, 0.71; 0.4–1.3), 3 hrs (OR, 0.59; 0.3–1.3). Mortality was significantly increased in patients who received initial antibiotics </w:t>
            </w:r>
            <w:proofErr w:type="spellStart"/>
            <w:r w:rsidRPr="002D6400">
              <w:rPr>
                <w:rFonts w:ascii="Times New Roman" w:eastAsia="Times New Roman" w:hAnsi="Times New Roman" w:cs="Times New Roman"/>
                <w:sz w:val="24"/>
                <w:szCs w:val="24"/>
              </w:rPr>
              <w:t>after shock</w:t>
            </w:r>
            <w:proofErr w:type="spellEnd"/>
            <w:r w:rsidRPr="002D6400">
              <w:rPr>
                <w:rFonts w:ascii="Times New Roman" w:eastAsia="Times New Roman" w:hAnsi="Times New Roman" w:cs="Times New Roman"/>
                <w:sz w:val="24"/>
                <w:szCs w:val="24"/>
              </w:rPr>
              <w:t xml:space="preserve"> recognition (n = 172 [59%]) compared with before shock recognition (OR, 2.4; 1.1–4.5); however, among patients who received antibiotics </w:t>
            </w:r>
            <w:proofErr w:type="spellStart"/>
            <w:r w:rsidRPr="002D6400">
              <w:rPr>
                <w:rFonts w:ascii="Times New Roman" w:eastAsia="Times New Roman" w:hAnsi="Times New Roman" w:cs="Times New Roman"/>
                <w:sz w:val="24"/>
                <w:szCs w:val="24"/>
              </w:rPr>
              <w:t>after shock</w:t>
            </w:r>
            <w:proofErr w:type="spellEnd"/>
            <w:r w:rsidRPr="002D6400">
              <w:rPr>
                <w:rFonts w:ascii="Times New Roman" w:eastAsia="Times New Roman" w:hAnsi="Times New Roman" w:cs="Times New Roman"/>
                <w:sz w:val="24"/>
                <w:szCs w:val="24"/>
              </w:rPr>
              <w:t xml:space="preserve"> recognition, mortality did not change with hourly delays in antibiotic administration.</w:t>
            </w:r>
          </w:p>
        </w:tc>
        <w:tc>
          <w:tcPr>
            <w:tcW w:w="0" w:type="auto"/>
            <w:vAlign w:val="center"/>
            <w:hideMark/>
          </w:tcPr>
          <w:p w:rsidR="002D6400" w:rsidRPr="002D6400" w:rsidRDefault="002D6400" w:rsidP="002D6400">
            <w:pPr>
              <w:spacing w:after="0" w:line="240" w:lineRule="auto"/>
              <w:rPr>
                <w:rFonts w:ascii="Times New Roman" w:eastAsia="Times New Roman" w:hAnsi="Times New Roman" w:cs="Times New Roman"/>
                <w:sz w:val="24"/>
                <w:szCs w:val="24"/>
              </w:rPr>
            </w:pPr>
          </w:p>
        </w:tc>
      </w:tr>
      <w:tr w:rsidR="002D6400" w:rsidRPr="002D6400">
        <w:trPr>
          <w:tblCellSpacing w:w="15" w:type="dxa"/>
        </w:trPr>
        <w:tc>
          <w:tcPr>
            <w:tcW w:w="0" w:type="auto"/>
            <w:vAlign w:val="center"/>
            <w:hideMark/>
          </w:tcPr>
          <w:p w:rsidR="002D6400" w:rsidRPr="002D6400" w:rsidRDefault="002D6400" w:rsidP="002D6400">
            <w:pPr>
              <w:spacing w:before="100" w:beforeAutospacing="1" w:after="100" w:afterAutospacing="1" w:line="240" w:lineRule="auto"/>
              <w:rPr>
                <w:rFonts w:ascii="Times New Roman" w:eastAsia="Times New Roman" w:hAnsi="Times New Roman" w:cs="Times New Roman"/>
                <w:sz w:val="24"/>
                <w:szCs w:val="24"/>
              </w:rPr>
            </w:pPr>
            <w:bookmarkStart w:id="5" w:name="20"/>
            <w:bookmarkEnd w:id="5"/>
            <w:r w:rsidRPr="002D6400">
              <w:rPr>
                <w:rFonts w:ascii="Times New Roman" w:eastAsia="Times New Roman" w:hAnsi="Times New Roman" w:cs="Times New Roman"/>
                <w:sz w:val="24"/>
                <w:szCs w:val="24"/>
              </w:rPr>
              <w:t>Conclusion: In this large, prospective study of emergency department patients with septic shock, we found no increase in mortality with each hour delay to administration of antibiotics after triage. However, delay in antibiotics until after shock recognition was associated with increased mortality.</w:t>
            </w:r>
          </w:p>
        </w:tc>
        <w:tc>
          <w:tcPr>
            <w:tcW w:w="0" w:type="auto"/>
            <w:vAlign w:val="center"/>
            <w:hideMark/>
          </w:tcPr>
          <w:p w:rsidR="002D6400" w:rsidRPr="002D6400" w:rsidRDefault="002D6400" w:rsidP="002D6400">
            <w:pPr>
              <w:spacing w:after="0" w:line="240" w:lineRule="auto"/>
              <w:rPr>
                <w:rFonts w:ascii="Times New Roman" w:eastAsia="Times New Roman" w:hAnsi="Times New Roman" w:cs="Times New Roman"/>
                <w:sz w:val="20"/>
                <w:szCs w:val="20"/>
              </w:rPr>
            </w:pPr>
          </w:p>
        </w:tc>
      </w:tr>
    </w:tbl>
    <w:p w:rsidR="002D6400" w:rsidRDefault="002D6400"/>
    <w:p w:rsidR="002D6400" w:rsidRDefault="002D6400" w:rsidP="002D6400">
      <w:pPr>
        <w:pStyle w:val="ListParagraph"/>
        <w:numPr>
          <w:ilvl w:val="0"/>
          <w:numId w:val="1"/>
        </w:numPr>
      </w:pPr>
      <w:r>
        <w:t xml:space="preserve">First study to look at timing of </w:t>
      </w:r>
      <w:proofErr w:type="spellStart"/>
      <w:r>
        <w:t>abx</w:t>
      </w:r>
      <w:proofErr w:type="spellEnd"/>
      <w:r>
        <w:t xml:space="preserve"> administration while also using goal directed therapy</w:t>
      </w:r>
    </w:p>
    <w:p w:rsidR="002D6400" w:rsidRDefault="002D6400" w:rsidP="002D6400">
      <w:pPr>
        <w:pStyle w:val="ListParagraph"/>
        <w:numPr>
          <w:ilvl w:val="0"/>
          <w:numId w:val="1"/>
        </w:numPr>
      </w:pPr>
      <w:r>
        <w:t xml:space="preserve">If in septic shock - no change in outcome if </w:t>
      </w:r>
      <w:proofErr w:type="spellStart"/>
      <w:r>
        <w:t>abx</w:t>
      </w:r>
      <w:proofErr w:type="spellEnd"/>
      <w:r>
        <w:t xml:space="preserve"> given within at least first 3 hours of identifying septic shock- no data beyond that.</w:t>
      </w:r>
    </w:p>
    <w:p w:rsidR="002D6400" w:rsidRDefault="002D6400" w:rsidP="002D6400">
      <w:pPr>
        <w:pStyle w:val="ListParagraph"/>
        <w:numPr>
          <w:ilvl w:val="0"/>
          <w:numId w:val="1"/>
        </w:numPr>
      </w:pPr>
      <w:r>
        <w:t xml:space="preserve">If </w:t>
      </w:r>
      <w:proofErr w:type="spellStart"/>
      <w:r>
        <w:t>abx</w:t>
      </w:r>
      <w:proofErr w:type="spellEnd"/>
      <w:r>
        <w:t xml:space="preserve"> given prior to septic shock, outcome improved </w:t>
      </w:r>
      <w:r w:rsidR="00B90522">
        <w:t>(12 v 24% mortality)</w:t>
      </w:r>
    </w:p>
    <w:p w:rsidR="00B90522" w:rsidRDefault="00B90522" w:rsidP="00B90522">
      <w:pPr>
        <w:pStyle w:val="ListParagraph"/>
        <w:numPr>
          <w:ilvl w:val="0"/>
          <w:numId w:val="1"/>
        </w:numPr>
        <w:ind w:left="1080"/>
      </w:pPr>
      <w:r>
        <w:t>septic shock = two SIRS criteria &amp; systolic &lt;90 OR lactate &gt;4 after rapid 20ml/kg fluid bolus</w:t>
      </w:r>
    </w:p>
    <w:p w:rsidR="00B90522" w:rsidRDefault="00B90522" w:rsidP="002D6400">
      <w:pPr>
        <w:pStyle w:val="ListParagraph"/>
        <w:numPr>
          <w:ilvl w:val="0"/>
          <w:numId w:val="1"/>
        </w:numPr>
      </w:pPr>
      <w:r>
        <w:t xml:space="preserve">Dramatically different than Kumar et al who reported 7.6% decrease in survival with each hour </w:t>
      </w:r>
      <w:proofErr w:type="spellStart"/>
      <w:r>
        <w:t>abx</w:t>
      </w:r>
      <w:proofErr w:type="spellEnd"/>
      <w:r>
        <w:t xml:space="preserve"> were delayed after hypotension was noted. (source of </w:t>
      </w:r>
      <w:proofErr w:type="spellStart"/>
      <w:r>
        <w:t>abx</w:t>
      </w:r>
      <w:proofErr w:type="spellEnd"/>
      <w:r>
        <w:t xml:space="preserve"> recommendation for Surviving Sepsis Campaign guidelines)</w:t>
      </w:r>
    </w:p>
    <w:p w:rsidR="00B90522" w:rsidRDefault="008773F9" w:rsidP="002D6400">
      <w:pPr>
        <w:pStyle w:val="ListParagraph"/>
        <w:numPr>
          <w:ilvl w:val="0"/>
          <w:numId w:val="1"/>
        </w:numPr>
      </w:pPr>
      <w:r>
        <w:t>Only 1/3 had blood culture positive sepsis – poorer survival 26% v 15% mortality if culture negative</w:t>
      </w:r>
    </w:p>
    <w:p w:rsidR="00B90522" w:rsidRDefault="000C483E" w:rsidP="00B90522">
      <w:pPr>
        <w:pStyle w:val="ListParagraph"/>
        <w:numPr>
          <w:ilvl w:val="0"/>
          <w:numId w:val="3"/>
        </w:numPr>
      </w:pPr>
      <w:r>
        <w:t xml:space="preserve">In regards to timing of antibiotic administration, the best survival rate was achieved when antibiotics were administered: </w:t>
      </w:r>
    </w:p>
    <w:p w:rsidR="000C483E" w:rsidRDefault="000C483E" w:rsidP="000C483E">
      <w:pPr>
        <w:pStyle w:val="ListParagraph"/>
        <w:numPr>
          <w:ilvl w:val="1"/>
          <w:numId w:val="3"/>
        </w:numPr>
      </w:pPr>
      <w:r>
        <w:t>Immediately at admission</w:t>
      </w:r>
    </w:p>
    <w:p w:rsidR="000C483E" w:rsidRDefault="000C483E" w:rsidP="000C483E">
      <w:pPr>
        <w:pStyle w:val="ListParagraph"/>
        <w:numPr>
          <w:ilvl w:val="1"/>
          <w:numId w:val="3"/>
        </w:numPr>
      </w:pPr>
      <w:r>
        <w:t>&gt;6 hours after septic shock was identified</w:t>
      </w:r>
    </w:p>
    <w:p w:rsidR="000C483E" w:rsidRDefault="000C483E" w:rsidP="000C483E">
      <w:pPr>
        <w:pStyle w:val="ListParagraph"/>
        <w:numPr>
          <w:ilvl w:val="1"/>
          <w:numId w:val="3"/>
        </w:numPr>
      </w:pPr>
      <w:r>
        <w:t>After the time septic shock was identified, but within 6 hours</w:t>
      </w:r>
    </w:p>
    <w:p w:rsidR="000C483E" w:rsidRDefault="000C483E" w:rsidP="000C483E">
      <w:pPr>
        <w:pStyle w:val="ListParagraph"/>
        <w:numPr>
          <w:ilvl w:val="1"/>
          <w:numId w:val="3"/>
        </w:numPr>
      </w:pPr>
      <w:r>
        <w:t>Before septic shock was identified</w:t>
      </w:r>
    </w:p>
    <w:p w:rsidR="000C483E" w:rsidRDefault="000C483E" w:rsidP="000C483E">
      <w:pPr>
        <w:pStyle w:val="ListParagraph"/>
        <w:numPr>
          <w:ilvl w:val="1"/>
          <w:numId w:val="3"/>
        </w:numPr>
      </w:pPr>
      <w:r>
        <w:t>It didn’t matter when</w:t>
      </w:r>
    </w:p>
    <w:p w:rsidR="000C483E" w:rsidRDefault="000C483E" w:rsidP="000C483E">
      <w:pPr>
        <w:pStyle w:val="ListParagraph"/>
        <w:numPr>
          <w:ilvl w:val="0"/>
          <w:numId w:val="3"/>
        </w:numPr>
      </w:pPr>
      <w:r>
        <w:t xml:space="preserve">T or F: It is </w:t>
      </w:r>
      <w:r w:rsidR="008773F9">
        <w:t>uncommon</w:t>
      </w:r>
      <w:r>
        <w:t xml:space="preserve"> to have a negative </w:t>
      </w:r>
      <w:r w:rsidR="008773F9">
        <w:t xml:space="preserve">blood </w:t>
      </w:r>
      <w:proofErr w:type="spellStart"/>
      <w:r w:rsidR="008773F9">
        <w:t>culture</w:t>
      </w:r>
      <w:r>
        <w:t>culture</w:t>
      </w:r>
      <w:proofErr w:type="spellEnd"/>
      <w:r>
        <w:t xml:space="preserve"> in a septic patient.</w:t>
      </w:r>
    </w:p>
    <w:p w:rsidR="008773F9" w:rsidRDefault="008773F9"/>
    <w:p w:rsidR="008773F9" w:rsidRDefault="008773F9"/>
    <w:p w:rsidR="002D6400" w:rsidRDefault="002D6400">
      <w:r>
        <w:lastRenderedPageBreak/>
        <w:t>Reducing ventilator-associated pneumonia in intensive care: Impact of implementing a care bundle</w:t>
      </w:r>
    </w:p>
    <w:p w:rsidR="002D6400" w:rsidRDefault="002D6400">
      <w:r>
        <w:t>Morris AC, et al</w:t>
      </w:r>
    </w:p>
    <w:p w:rsidR="002D6400" w:rsidRDefault="002D6400">
      <w:r>
        <w:t xml:space="preserve">Critical Care Medicine 2011, </w:t>
      </w:r>
      <w:proofErr w:type="spellStart"/>
      <w:r>
        <w:t>Vol</w:t>
      </w:r>
      <w:proofErr w:type="spellEnd"/>
      <w:r>
        <w:t xml:space="preserve"> 39, No 10, p 2218-24.</w:t>
      </w:r>
    </w:p>
    <w:tbl>
      <w:tblPr>
        <w:tblW w:w="10365" w:type="dxa"/>
        <w:tblCellSpacing w:w="15" w:type="dxa"/>
        <w:tblCellMar>
          <w:top w:w="15" w:type="dxa"/>
          <w:left w:w="15" w:type="dxa"/>
          <w:bottom w:w="15" w:type="dxa"/>
          <w:right w:w="15" w:type="dxa"/>
        </w:tblCellMar>
        <w:tblLook w:val="04A0"/>
      </w:tblPr>
      <w:tblGrid>
        <w:gridCol w:w="10261"/>
        <w:gridCol w:w="104"/>
      </w:tblGrid>
      <w:tr w:rsidR="002D6400" w:rsidRPr="002D6400" w:rsidTr="008773F9">
        <w:trPr>
          <w:trHeight w:val="742"/>
          <w:tblCellSpacing w:w="15" w:type="dxa"/>
        </w:trPr>
        <w:tc>
          <w:tcPr>
            <w:tcW w:w="0" w:type="auto"/>
            <w:vAlign w:val="center"/>
            <w:hideMark/>
          </w:tcPr>
          <w:p w:rsidR="002D6400" w:rsidRPr="002D6400" w:rsidRDefault="002D6400" w:rsidP="00140E24">
            <w:pPr>
              <w:spacing w:before="100" w:beforeAutospacing="1" w:after="100" w:afterAutospacing="1" w:line="240" w:lineRule="auto"/>
              <w:rPr>
                <w:rFonts w:ascii="Times New Roman" w:eastAsia="Times New Roman" w:hAnsi="Times New Roman" w:cs="Times New Roman"/>
                <w:sz w:val="24"/>
                <w:szCs w:val="24"/>
              </w:rPr>
            </w:pPr>
            <w:r w:rsidRPr="002D6400">
              <w:rPr>
                <w:rFonts w:ascii="Times New Roman" w:eastAsia="Times New Roman" w:hAnsi="Times New Roman" w:cs="Times New Roman"/>
                <w:sz w:val="24"/>
                <w:szCs w:val="24"/>
              </w:rPr>
              <w:t>Objectives: Ventilator-associated pneumonia is the most common intensive care unit-acquired infection. Although there is widespread consensus that evidenced-based interventions reduce the risk of ventilator-associated pneumonia, controversy has surrounded the importance of implementing them as a “bundle” of care. This study aimed to determine the effects of implementing such a bundle while controlling for potential confounding variables seen in similar studies.</w:t>
            </w:r>
          </w:p>
        </w:tc>
        <w:tc>
          <w:tcPr>
            <w:tcW w:w="59" w:type="dxa"/>
            <w:vAlign w:val="center"/>
            <w:hideMark/>
          </w:tcPr>
          <w:p w:rsidR="002D6400" w:rsidRPr="002D6400" w:rsidRDefault="002D6400" w:rsidP="002D6400">
            <w:pPr>
              <w:spacing w:after="0" w:line="240" w:lineRule="auto"/>
              <w:rPr>
                <w:rFonts w:ascii="Times New Roman" w:eastAsia="Times New Roman" w:hAnsi="Times New Roman" w:cs="Times New Roman"/>
                <w:sz w:val="24"/>
                <w:szCs w:val="24"/>
              </w:rPr>
            </w:pPr>
          </w:p>
        </w:tc>
      </w:tr>
      <w:tr w:rsidR="002D6400" w:rsidRPr="002D6400" w:rsidTr="008773F9">
        <w:trPr>
          <w:trHeight w:val="238"/>
          <w:tblCellSpacing w:w="15" w:type="dxa"/>
        </w:trPr>
        <w:tc>
          <w:tcPr>
            <w:tcW w:w="0" w:type="auto"/>
            <w:vAlign w:val="center"/>
            <w:hideMark/>
          </w:tcPr>
          <w:p w:rsidR="002D6400" w:rsidRPr="002D6400" w:rsidRDefault="002D6400" w:rsidP="002D6400">
            <w:pPr>
              <w:spacing w:before="100" w:beforeAutospacing="1" w:after="100" w:afterAutospacing="1" w:line="240" w:lineRule="auto"/>
              <w:rPr>
                <w:rFonts w:ascii="Times New Roman" w:eastAsia="Times New Roman" w:hAnsi="Times New Roman" w:cs="Times New Roman"/>
                <w:sz w:val="24"/>
                <w:szCs w:val="24"/>
              </w:rPr>
            </w:pPr>
            <w:bookmarkStart w:id="6" w:name="14"/>
            <w:bookmarkEnd w:id="6"/>
            <w:r w:rsidRPr="002D6400">
              <w:rPr>
                <w:rFonts w:ascii="Times New Roman" w:eastAsia="Times New Roman" w:hAnsi="Times New Roman" w:cs="Times New Roman"/>
                <w:sz w:val="24"/>
                <w:szCs w:val="24"/>
              </w:rPr>
              <w:t>Design: A before-and-after study conducted within the context of an existing, independent, infection surveillance program.</w:t>
            </w:r>
          </w:p>
        </w:tc>
        <w:tc>
          <w:tcPr>
            <w:tcW w:w="59" w:type="dxa"/>
            <w:vAlign w:val="center"/>
            <w:hideMark/>
          </w:tcPr>
          <w:p w:rsidR="002D6400" w:rsidRPr="002D6400" w:rsidRDefault="002D6400" w:rsidP="002D6400">
            <w:pPr>
              <w:spacing w:after="0" w:line="240" w:lineRule="auto"/>
              <w:rPr>
                <w:rFonts w:ascii="Times New Roman" w:eastAsia="Times New Roman" w:hAnsi="Times New Roman" w:cs="Times New Roman"/>
                <w:sz w:val="24"/>
                <w:szCs w:val="24"/>
              </w:rPr>
            </w:pPr>
          </w:p>
        </w:tc>
      </w:tr>
      <w:tr w:rsidR="002D6400" w:rsidRPr="002D6400" w:rsidTr="008773F9">
        <w:trPr>
          <w:trHeight w:val="124"/>
          <w:tblCellSpacing w:w="15" w:type="dxa"/>
        </w:trPr>
        <w:tc>
          <w:tcPr>
            <w:tcW w:w="0" w:type="auto"/>
            <w:vAlign w:val="center"/>
            <w:hideMark/>
          </w:tcPr>
          <w:p w:rsidR="002D6400" w:rsidRPr="002D6400" w:rsidRDefault="002D6400" w:rsidP="002D6400">
            <w:pPr>
              <w:spacing w:before="100" w:beforeAutospacing="1" w:after="100" w:afterAutospacing="1" w:line="240" w:lineRule="auto"/>
              <w:rPr>
                <w:rFonts w:ascii="Times New Roman" w:eastAsia="Times New Roman" w:hAnsi="Times New Roman" w:cs="Times New Roman"/>
                <w:sz w:val="24"/>
                <w:szCs w:val="24"/>
              </w:rPr>
            </w:pPr>
            <w:r w:rsidRPr="002D6400">
              <w:rPr>
                <w:rFonts w:ascii="Times New Roman" w:eastAsia="Times New Roman" w:hAnsi="Times New Roman" w:cs="Times New Roman"/>
                <w:sz w:val="24"/>
                <w:szCs w:val="24"/>
              </w:rPr>
              <w:t>Setting: An 18-</w:t>
            </w:r>
            <w:proofErr w:type="gramStart"/>
            <w:r w:rsidRPr="002D6400">
              <w:rPr>
                <w:rFonts w:ascii="Times New Roman" w:eastAsia="Times New Roman" w:hAnsi="Times New Roman" w:cs="Times New Roman"/>
                <w:sz w:val="24"/>
                <w:szCs w:val="24"/>
              </w:rPr>
              <w:t>bed,</w:t>
            </w:r>
            <w:proofErr w:type="gramEnd"/>
            <w:r w:rsidRPr="002D6400">
              <w:rPr>
                <w:rFonts w:ascii="Times New Roman" w:eastAsia="Times New Roman" w:hAnsi="Times New Roman" w:cs="Times New Roman"/>
                <w:sz w:val="24"/>
                <w:szCs w:val="24"/>
              </w:rPr>
              <w:t xml:space="preserve"> mixed medical–surgical teaching hospital intensive care unit.</w:t>
            </w:r>
          </w:p>
        </w:tc>
        <w:tc>
          <w:tcPr>
            <w:tcW w:w="59" w:type="dxa"/>
            <w:vAlign w:val="center"/>
            <w:hideMark/>
          </w:tcPr>
          <w:p w:rsidR="002D6400" w:rsidRPr="002D6400" w:rsidRDefault="002D6400" w:rsidP="002D6400">
            <w:pPr>
              <w:spacing w:after="0" w:line="240" w:lineRule="auto"/>
              <w:rPr>
                <w:rFonts w:ascii="Times New Roman" w:eastAsia="Times New Roman" w:hAnsi="Times New Roman" w:cs="Times New Roman"/>
                <w:sz w:val="24"/>
                <w:szCs w:val="24"/>
              </w:rPr>
            </w:pPr>
          </w:p>
        </w:tc>
      </w:tr>
      <w:tr w:rsidR="002D6400" w:rsidRPr="002D6400" w:rsidTr="008773F9">
        <w:trPr>
          <w:trHeight w:val="247"/>
          <w:tblCellSpacing w:w="15" w:type="dxa"/>
        </w:trPr>
        <w:tc>
          <w:tcPr>
            <w:tcW w:w="0" w:type="auto"/>
            <w:vAlign w:val="center"/>
            <w:hideMark/>
          </w:tcPr>
          <w:p w:rsidR="002D6400" w:rsidRPr="002D6400" w:rsidRDefault="002D6400" w:rsidP="002D6400">
            <w:pPr>
              <w:spacing w:before="100" w:beforeAutospacing="1" w:after="100" w:afterAutospacing="1" w:line="240" w:lineRule="auto"/>
              <w:rPr>
                <w:rFonts w:ascii="Times New Roman" w:eastAsia="Times New Roman" w:hAnsi="Times New Roman" w:cs="Times New Roman"/>
                <w:sz w:val="24"/>
                <w:szCs w:val="24"/>
              </w:rPr>
            </w:pPr>
            <w:r w:rsidRPr="002D6400">
              <w:rPr>
                <w:rFonts w:ascii="Times New Roman" w:eastAsia="Times New Roman" w:hAnsi="Times New Roman" w:cs="Times New Roman"/>
                <w:sz w:val="24"/>
                <w:szCs w:val="24"/>
              </w:rPr>
              <w:t>Patients: All patients admitted to intensive care for 48 hrs or more during the periods before and after intervention.</w:t>
            </w:r>
          </w:p>
        </w:tc>
        <w:tc>
          <w:tcPr>
            <w:tcW w:w="59" w:type="dxa"/>
            <w:vAlign w:val="center"/>
            <w:hideMark/>
          </w:tcPr>
          <w:p w:rsidR="002D6400" w:rsidRPr="002D6400" w:rsidRDefault="002D6400" w:rsidP="002D6400">
            <w:pPr>
              <w:spacing w:after="0" w:line="240" w:lineRule="auto"/>
              <w:rPr>
                <w:rFonts w:ascii="Times New Roman" w:eastAsia="Times New Roman" w:hAnsi="Times New Roman" w:cs="Times New Roman"/>
                <w:sz w:val="24"/>
                <w:szCs w:val="24"/>
              </w:rPr>
            </w:pPr>
          </w:p>
        </w:tc>
      </w:tr>
      <w:tr w:rsidR="002D6400" w:rsidRPr="002D6400" w:rsidTr="008773F9">
        <w:trPr>
          <w:trHeight w:val="485"/>
          <w:tblCellSpacing w:w="15" w:type="dxa"/>
        </w:trPr>
        <w:tc>
          <w:tcPr>
            <w:tcW w:w="0" w:type="auto"/>
            <w:vAlign w:val="center"/>
            <w:hideMark/>
          </w:tcPr>
          <w:p w:rsidR="002D6400" w:rsidRPr="002D6400" w:rsidRDefault="002D6400" w:rsidP="002D6400">
            <w:pPr>
              <w:spacing w:before="100" w:beforeAutospacing="1" w:after="100" w:afterAutospacing="1" w:line="240" w:lineRule="auto"/>
              <w:rPr>
                <w:rFonts w:ascii="Times New Roman" w:eastAsia="Times New Roman" w:hAnsi="Times New Roman" w:cs="Times New Roman"/>
                <w:sz w:val="24"/>
                <w:szCs w:val="24"/>
              </w:rPr>
            </w:pPr>
            <w:r w:rsidRPr="002D6400">
              <w:rPr>
                <w:rFonts w:ascii="Times New Roman" w:eastAsia="Times New Roman" w:hAnsi="Times New Roman" w:cs="Times New Roman"/>
                <w:sz w:val="24"/>
                <w:szCs w:val="24"/>
              </w:rPr>
              <w:t xml:space="preserve">Interventions: A four-element ventilator-associated pneumonia prevention bundle, consisting of head-of-bed elevation, oral </w:t>
            </w:r>
            <w:proofErr w:type="spellStart"/>
            <w:r w:rsidRPr="002D6400">
              <w:rPr>
                <w:rFonts w:ascii="Times New Roman" w:eastAsia="Times New Roman" w:hAnsi="Times New Roman" w:cs="Times New Roman"/>
                <w:sz w:val="24"/>
                <w:szCs w:val="24"/>
              </w:rPr>
              <w:t>chlorhexidine</w:t>
            </w:r>
            <w:proofErr w:type="spellEnd"/>
            <w:r w:rsidRPr="002D6400">
              <w:rPr>
                <w:rFonts w:ascii="Times New Roman" w:eastAsia="Times New Roman" w:hAnsi="Times New Roman" w:cs="Times New Roman"/>
                <w:sz w:val="24"/>
                <w:szCs w:val="24"/>
              </w:rPr>
              <w:t xml:space="preserve"> gel, sedation holds, and a weaning protocol implemented as part of the Scottish Patient Safety Program using Institute of Health Care Improvement methods.</w:t>
            </w:r>
          </w:p>
        </w:tc>
        <w:tc>
          <w:tcPr>
            <w:tcW w:w="59" w:type="dxa"/>
            <w:vAlign w:val="center"/>
            <w:hideMark/>
          </w:tcPr>
          <w:p w:rsidR="002D6400" w:rsidRPr="002D6400" w:rsidRDefault="002D6400" w:rsidP="002D6400">
            <w:pPr>
              <w:spacing w:after="0" w:line="240" w:lineRule="auto"/>
              <w:rPr>
                <w:rFonts w:ascii="Times New Roman" w:eastAsia="Times New Roman" w:hAnsi="Times New Roman" w:cs="Times New Roman"/>
                <w:sz w:val="24"/>
                <w:szCs w:val="24"/>
              </w:rPr>
            </w:pPr>
          </w:p>
        </w:tc>
      </w:tr>
      <w:tr w:rsidR="002D6400" w:rsidRPr="002D6400" w:rsidTr="008773F9">
        <w:trPr>
          <w:trHeight w:val="1218"/>
          <w:tblCellSpacing w:w="15" w:type="dxa"/>
        </w:trPr>
        <w:tc>
          <w:tcPr>
            <w:tcW w:w="0" w:type="auto"/>
            <w:vAlign w:val="center"/>
            <w:hideMark/>
          </w:tcPr>
          <w:p w:rsidR="002D6400" w:rsidRPr="002D6400" w:rsidRDefault="002D6400" w:rsidP="002D6400">
            <w:pPr>
              <w:spacing w:before="100" w:beforeAutospacing="1" w:after="100" w:afterAutospacing="1" w:line="240" w:lineRule="auto"/>
              <w:rPr>
                <w:rFonts w:ascii="Times New Roman" w:eastAsia="Times New Roman" w:hAnsi="Times New Roman" w:cs="Times New Roman"/>
                <w:sz w:val="24"/>
                <w:szCs w:val="24"/>
              </w:rPr>
            </w:pPr>
            <w:r w:rsidRPr="002D6400">
              <w:rPr>
                <w:rFonts w:ascii="Times New Roman" w:eastAsia="Times New Roman" w:hAnsi="Times New Roman" w:cs="Times New Roman"/>
                <w:sz w:val="24"/>
                <w:szCs w:val="24"/>
              </w:rPr>
              <w:t xml:space="preserve">Measurements and Main Results: Compliance with head-of-bed elevation and </w:t>
            </w:r>
            <w:proofErr w:type="spellStart"/>
            <w:r w:rsidRPr="002D6400">
              <w:rPr>
                <w:rFonts w:ascii="Times New Roman" w:eastAsia="Times New Roman" w:hAnsi="Times New Roman" w:cs="Times New Roman"/>
                <w:sz w:val="24"/>
                <w:szCs w:val="24"/>
              </w:rPr>
              <w:t>chlorhexidine</w:t>
            </w:r>
            <w:proofErr w:type="spellEnd"/>
            <w:r w:rsidRPr="002D6400">
              <w:rPr>
                <w:rFonts w:ascii="Times New Roman" w:eastAsia="Times New Roman" w:hAnsi="Times New Roman" w:cs="Times New Roman"/>
                <w:sz w:val="24"/>
                <w:szCs w:val="24"/>
              </w:rPr>
              <w:t xml:space="preserve"> gel were 95%–100%; documented compliance with “wake and wean” elements was 70%, giving overall bundle compliance rates of 70%. Compared to the </w:t>
            </w:r>
            <w:proofErr w:type="spellStart"/>
            <w:r w:rsidRPr="002D6400">
              <w:rPr>
                <w:rFonts w:ascii="Times New Roman" w:eastAsia="Times New Roman" w:hAnsi="Times New Roman" w:cs="Times New Roman"/>
                <w:sz w:val="24"/>
                <w:szCs w:val="24"/>
              </w:rPr>
              <w:t>preintervention</w:t>
            </w:r>
            <w:proofErr w:type="spellEnd"/>
            <w:r w:rsidRPr="002D6400">
              <w:rPr>
                <w:rFonts w:ascii="Times New Roman" w:eastAsia="Times New Roman" w:hAnsi="Times New Roman" w:cs="Times New Roman"/>
                <w:sz w:val="24"/>
                <w:szCs w:val="24"/>
              </w:rPr>
              <w:t xml:space="preserve"> period, there was a significant reduction in ventilator-associated pneumonia in the </w:t>
            </w:r>
            <w:proofErr w:type="spellStart"/>
            <w:r w:rsidRPr="002D6400">
              <w:rPr>
                <w:rFonts w:ascii="Times New Roman" w:eastAsia="Times New Roman" w:hAnsi="Times New Roman" w:cs="Times New Roman"/>
                <w:sz w:val="24"/>
                <w:szCs w:val="24"/>
              </w:rPr>
              <w:t>postintervention</w:t>
            </w:r>
            <w:proofErr w:type="spellEnd"/>
            <w:r w:rsidRPr="002D6400">
              <w:rPr>
                <w:rFonts w:ascii="Times New Roman" w:eastAsia="Times New Roman" w:hAnsi="Times New Roman" w:cs="Times New Roman"/>
                <w:sz w:val="24"/>
                <w:szCs w:val="24"/>
              </w:rPr>
              <w:t xml:space="preserve"> period (32 cases per 1,000 ventilator days to 12 cases per 1,000 ventilator days; p &lt; .001). Statistical process control charts showed the decrease was most marked after bundle implementation. Patient cohorts staying &gt;=6 and &gt;=14 days had greater reduction in ventilator-associated pneumonia acquisition and also had reduced antibiotic use (reduced by 1 and 3 days; p = .008/.007, respectively). Rates of </w:t>
            </w:r>
            <w:proofErr w:type="spellStart"/>
            <w:r w:rsidRPr="002D6400">
              <w:rPr>
                <w:rFonts w:ascii="Times New Roman" w:eastAsia="Times New Roman" w:hAnsi="Times New Roman" w:cs="Times New Roman"/>
                <w:sz w:val="24"/>
                <w:szCs w:val="24"/>
              </w:rPr>
              <w:t>methicillin</w:t>
            </w:r>
            <w:proofErr w:type="spellEnd"/>
            <w:r w:rsidRPr="002D6400">
              <w:rPr>
                <w:rFonts w:ascii="Times New Roman" w:eastAsia="Times New Roman" w:hAnsi="Times New Roman" w:cs="Times New Roman"/>
                <w:sz w:val="24"/>
                <w:szCs w:val="24"/>
              </w:rPr>
              <w:t xml:space="preserve">-resistant Staphylococcus </w:t>
            </w:r>
            <w:proofErr w:type="spellStart"/>
            <w:r w:rsidRPr="002D6400">
              <w:rPr>
                <w:rFonts w:ascii="Times New Roman" w:eastAsia="Times New Roman" w:hAnsi="Times New Roman" w:cs="Times New Roman"/>
                <w:sz w:val="24"/>
                <w:szCs w:val="24"/>
              </w:rPr>
              <w:t>aureus</w:t>
            </w:r>
            <w:proofErr w:type="spellEnd"/>
            <w:r w:rsidRPr="002D6400">
              <w:rPr>
                <w:rFonts w:ascii="Times New Roman" w:eastAsia="Times New Roman" w:hAnsi="Times New Roman" w:cs="Times New Roman"/>
                <w:sz w:val="24"/>
                <w:szCs w:val="24"/>
              </w:rPr>
              <w:t xml:space="preserve"> acquisition also decreased (10% to 3.6%; p &lt; .001).</w:t>
            </w:r>
          </w:p>
        </w:tc>
        <w:tc>
          <w:tcPr>
            <w:tcW w:w="59" w:type="dxa"/>
            <w:vAlign w:val="center"/>
            <w:hideMark/>
          </w:tcPr>
          <w:p w:rsidR="002D6400" w:rsidRPr="002D6400" w:rsidRDefault="002D6400" w:rsidP="002D6400">
            <w:pPr>
              <w:spacing w:after="0" w:line="240" w:lineRule="auto"/>
              <w:rPr>
                <w:rFonts w:ascii="Times New Roman" w:eastAsia="Times New Roman" w:hAnsi="Times New Roman" w:cs="Times New Roman"/>
                <w:sz w:val="24"/>
                <w:szCs w:val="24"/>
              </w:rPr>
            </w:pPr>
          </w:p>
        </w:tc>
      </w:tr>
      <w:tr w:rsidR="002D6400" w:rsidRPr="002D6400" w:rsidTr="008773F9">
        <w:trPr>
          <w:trHeight w:val="1492"/>
          <w:tblCellSpacing w:w="15" w:type="dxa"/>
        </w:trPr>
        <w:tc>
          <w:tcPr>
            <w:tcW w:w="0" w:type="auto"/>
            <w:vAlign w:val="center"/>
            <w:hideMark/>
          </w:tcPr>
          <w:p w:rsidR="002D6400" w:rsidRPr="008773F9" w:rsidRDefault="002D6400" w:rsidP="008773F9">
            <w:pPr>
              <w:spacing w:before="100" w:beforeAutospacing="1" w:after="100" w:afterAutospacing="1" w:line="240" w:lineRule="auto"/>
              <w:rPr>
                <w:rFonts w:ascii="Times New Roman" w:eastAsia="Times New Roman" w:hAnsi="Times New Roman" w:cs="Times New Roman"/>
                <w:sz w:val="24"/>
                <w:szCs w:val="24"/>
              </w:rPr>
            </w:pPr>
            <w:r w:rsidRPr="008773F9">
              <w:rPr>
                <w:rFonts w:ascii="Times New Roman" w:eastAsia="Times New Roman" w:hAnsi="Times New Roman" w:cs="Times New Roman"/>
                <w:sz w:val="24"/>
                <w:szCs w:val="24"/>
              </w:rPr>
              <w:t>Conclusions: Implementation of a ventilator-associated pneumonia prevention bundle was associated with a statistically significant reduction in ventilator-associated pneumonia, which had not been achieved with earlier ad hoc ventilator-associated pneumonia prevention guidelines in our unit. This occurred despite an inability to meet bundle compliance targets of 95% for all elements. Our data support the systematic approach to achieving high rates of process compliance and suggest systematic introduction can decrease both infection incidence and antibiotic use, especially for patients requiring longer duration of ventilation.</w:t>
            </w:r>
          </w:p>
          <w:p w:rsidR="002D6400" w:rsidRPr="008773F9" w:rsidRDefault="00B90522" w:rsidP="008773F9">
            <w:pPr>
              <w:pStyle w:val="ListParagraph"/>
              <w:numPr>
                <w:ilvl w:val="0"/>
                <w:numId w:val="9"/>
              </w:numPr>
              <w:spacing w:before="100" w:beforeAutospacing="1" w:after="100" w:afterAutospacing="1" w:line="240" w:lineRule="auto"/>
              <w:rPr>
                <w:rFonts w:ascii="Times New Roman" w:eastAsia="Times New Roman" w:hAnsi="Times New Roman" w:cs="Times New Roman"/>
                <w:sz w:val="24"/>
                <w:szCs w:val="24"/>
              </w:rPr>
            </w:pPr>
            <w:r w:rsidRPr="008773F9">
              <w:rPr>
                <w:rFonts w:ascii="Times New Roman" w:eastAsia="Times New Roman" w:hAnsi="Times New Roman" w:cs="Times New Roman"/>
                <w:sz w:val="24"/>
                <w:szCs w:val="24"/>
              </w:rPr>
              <w:t xml:space="preserve">compliance rate - 70% overall, 90% of noncompliance </w:t>
            </w:r>
            <w:r w:rsidR="005C2D29" w:rsidRPr="008773F9">
              <w:rPr>
                <w:rFonts w:ascii="Times New Roman" w:eastAsia="Times New Roman" w:hAnsi="Times New Roman" w:cs="Times New Roman"/>
                <w:sz w:val="24"/>
                <w:szCs w:val="24"/>
              </w:rPr>
              <w:t xml:space="preserve">was in wake-and-wean </w:t>
            </w:r>
          </w:p>
          <w:p w:rsidR="005C2D29" w:rsidRPr="008773F9" w:rsidRDefault="005C2D29" w:rsidP="008773F9">
            <w:pPr>
              <w:pStyle w:val="ListParagraph"/>
              <w:numPr>
                <w:ilvl w:val="0"/>
                <w:numId w:val="9"/>
              </w:numPr>
              <w:spacing w:before="100" w:beforeAutospacing="1" w:after="100" w:afterAutospacing="1" w:line="240" w:lineRule="auto"/>
              <w:rPr>
                <w:rFonts w:ascii="Times New Roman" w:eastAsia="Times New Roman" w:hAnsi="Times New Roman" w:cs="Times New Roman"/>
                <w:sz w:val="24"/>
                <w:szCs w:val="24"/>
              </w:rPr>
            </w:pPr>
            <w:r w:rsidRPr="008773F9">
              <w:rPr>
                <w:rFonts w:ascii="Times New Roman" w:eastAsia="Times New Roman" w:hAnsi="Times New Roman" w:cs="Times New Roman"/>
                <w:sz w:val="24"/>
                <w:szCs w:val="24"/>
              </w:rPr>
              <w:t>MRSA acquisition decreased from 10 to 3.6%</w:t>
            </w:r>
          </w:p>
          <w:p w:rsidR="005C2D29" w:rsidRPr="008773F9" w:rsidRDefault="005C2D29" w:rsidP="008773F9">
            <w:pPr>
              <w:pStyle w:val="ListParagraph"/>
              <w:numPr>
                <w:ilvl w:val="0"/>
                <w:numId w:val="9"/>
              </w:numPr>
              <w:spacing w:before="100" w:beforeAutospacing="1" w:after="100" w:afterAutospacing="1" w:line="240" w:lineRule="auto"/>
              <w:rPr>
                <w:rFonts w:ascii="Times New Roman" w:eastAsia="Times New Roman" w:hAnsi="Times New Roman" w:cs="Times New Roman"/>
                <w:sz w:val="24"/>
                <w:szCs w:val="24"/>
              </w:rPr>
            </w:pPr>
            <w:r w:rsidRPr="008773F9">
              <w:rPr>
                <w:rFonts w:ascii="Times New Roman" w:eastAsia="Times New Roman" w:hAnsi="Times New Roman" w:cs="Times New Roman"/>
                <w:sz w:val="24"/>
                <w:szCs w:val="24"/>
              </w:rPr>
              <w:t>No change in duration of ventilation (b/c sicker patients?)</w:t>
            </w:r>
          </w:p>
          <w:p w:rsidR="000C483E" w:rsidRPr="008773F9" w:rsidRDefault="000C483E" w:rsidP="008773F9">
            <w:pPr>
              <w:pStyle w:val="ListParagraph"/>
              <w:numPr>
                <w:ilvl w:val="0"/>
                <w:numId w:val="9"/>
              </w:numPr>
              <w:spacing w:before="100" w:beforeAutospacing="1" w:after="100" w:afterAutospacing="1" w:line="240" w:lineRule="auto"/>
              <w:rPr>
                <w:rFonts w:ascii="Times New Roman" w:eastAsia="Times New Roman" w:hAnsi="Times New Roman" w:cs="Times New Roman"/>
                <w:sz w:val="24"/>
                <w:szCs w:val="24"/>
              </w:rPr>
            </w:pPr>
            <w:r w:rsidRPr="008773F9">
              <w:rPr>
                <w:rFonts w:ascii="Times New Roman" w:eastAsia="Times New Roman" w:hAnsi="Times New Roman" w:cs="Times New Roman"/>
                <w:sz w:val="24"/>
                <w:szCs w:val="24"/>
              </w:rPr>
              <w:t>W</w:t>
            </w:r>
            <w:r w:rsidR="005C2D29" w:rsidRPr="008773F9">
              <w:rPr>
                <w:rFonts w:ascii="Times New Roman" w:eastAsia="Times New Roman" w:hAnsi="Times New Roman" w:cs="Times New Roman"/>
                <w:sz w:val="24"/>
                <w:szCs w:val="24"/>
              </w:rPr>
              <w:t xml:space="preserve">ake and wean </w:t>
            </w:r>
            <w:r w:rsidRPr="008773F9">
              <w:rPr>
                <w:rFonts w:ascii="Times New Roman" w:eastAsia="Times New Roman" w:hAnsi="Times New Roman" w:cs="Times New Roman"/>
                <w:sz w:val="24"/>
                <w:szCs w:val="24"/>
              </w:rPr>
              <w:t>should</w:t>
            </w:r>
            <w:r w:rsidR="005C2D29" w:rsidRPr="008773F9">
              <w:rPr>
                <w:rFonts w:ascii="Times New Roman" w:eastAsia="Times New Roman" w:hAnsi="Times New Roman" w:cs="Times New Roman"/>
                <w:sz w:val="24"/>
                <w:szCs w:val="24"/>
              </w:rPr>
              <w:t xml:space="preserve"> correlate most strongly with decreased duration and the</w:t>
            </w:r>
            <w:r w:rsidR="00140E24" w:rsidRPr="008773F9">
              <w:rPr>
                <w:rFonts w:ascii="Times New Roman" w:eastAsia="Times New Roman" w:hAnsi="Times New Roman" w:cs="Times New Roman"/>
                <w:sz w:val="24"/>
                <w:szCs w:val="24"/>
              </w:rPr>
              <w:t xml:space="preserve"> </w:t>
            </w:r>
            <w:r w:rsidR="005C2D29" w:rsidRPr="008773F9">
              <w:rPr>
                <w:rFonts w:ascii="Times New Roman" w:eastAsia="Times New Roman" w:hAnsi="Times New Roman" w:cs="Times New Roman"/>
                <w:sz w:val="24"/>
                <w:szCs w:val="24"/>
              </w:rPr>
              <w:t>compliance was lowest in this area</w:t>
            </w:r>
          </w:p>
        </w:tc>
        <w:tc>
          <w:tcPr>
            <w:tcW w:w="59" w:type="dxa"/>
            <w:vAlign w:val="center"/>
            <w:hideMark/>
          </w:tcPr>
          <w:p w:rsidR="002D6400" w:rsidRPr="002D6400" w:rsidRDefault="002D6400" w:rsidP="002D6400">
            <w:pPr>
              <w:spacing w:after="0" w:line="240" w:lineRule="auto"/>
              <w:rPr>
                <w:rFonts w:ascii="Times New Roman" w:eastAsia="Times New Roman" w:hAnsi="Times New Roman" w:cs="Times New Roman"/>
                <w:sz w:val="24"/>
                <w:szCs w:val="24"/>
              </w:rPr>
            </w:pPr>
          </w:p>
        </w:tc>
      </w:tr>
      <w:tr w:rsidR="002D6400" w:rsidRPr="002D6400" w:rsidTr="008773F9">
        <w:trPr>
          <w:tblCellSpacing w:w="15" w:type="dxa"/>
        </w:trPr>
        <w:tc>
          <w:tcPr>
            <w:tcW w:w="0" w:type="auto"/>
            <w:vAlign w:val="center"/>
            <w:hideMark/>
          </w:tcPr>
          <w:p w:rsidR="002D6400" w:rsidRPr="008773F9" w:rsidRDefault="002D6400" w:rsidP="008773F9">
            <w:pPr>
              <w:spacing w:before="100" w:beforeAutospacing="1" w:after="100" w:afterAutospacing="1" w:line="240" w:lineRule="auto"/>
              <w:ind w:left="360"/>
              <w:rPr>
                <w:rFonts w:ascii="Times New Roman" w:eastAsia="Times New Roman" w:hAnsi="Times New Roman" w:cs="Times New Roman"/>
                <w:sz w:val="16"/>
                <w:szCs w:val="16"/>
              </w:rPr>
            </w:pPr>
          </w:p>
        </w:tc>
        <w:tc>
          <w:tcPr>
            <w:tcW w:w="59" w:type="dxa"/>
            <w:vAlign w:val="center"/>
            <w:hideMark/>
          </w:tcPr>
          <w:p w:rsidR="002D6400" w:rsidRPr="002D6400" w:rsidRDefault="002D6400" w:rsidP="002D6400">
            <w:pPr>
              <w:spacing w:after="0" w:line="240" w:lineRule="auto"/>
              <w:rPr>
                <w:rFonts w:ascii="Times New Roman" w:eastAsia="Times New Roman" w:hAnsi="Times New Roman" w:cs="Times New Roman"/>
                <w:sz w:val="24"/>
                <w:szCs w:val="24"/>
              </w:rPr>
            </w:pPr>
          </w:p>
        </w:tc>
      </w:tr>
      <w:tr w:rsidR="002D6400" w:rsidRPr="002D6400" w:rsidTr="008773F9">
        <w:trPr>
          <w:tblCellSpacing w:w="15" w:type="dxa"/>
        </w:trPr>
        <w:tc>
          <w:tcPr>
            <w:tcW w:w="0" w:type="auto"/>
            <w:vAlign w:val="center"/>
            <w:hideMark/>
          </w:tcPr>
          <w:p w:rsidR="002D6400" w:rsidRPr="008773F9" w:rsidRDefault="002D6400" w:rsidP="008773F9">
            <w:pPr>
              <w:spacing w:before="100" w:beforeAutospacing="1" w:after="100" w:afterAutospacing="1" w:line="240" w:lineRule="auto"/>
              <w:ind w:left="360"/>
              <w:rPr>
                <w:rFonts w:ascii="Times New Roman" w:eastAsia="Times New Roman" w:hAnsi="Times New Roman" w:cs="Times New Roman"/>
                <w:sz w:val="24"/>
                <w:szCs w:val="24"/>
              </w:rPr>
            </w:pPr>
          </w:p>
        </w:tc>
        <w:tc>
          <w:tcPr>
            <w:tcW w:w="59" w:type="dxa"/>
            <w:vAlign w:val="center"/>
            <w:hideMark/>
          </w:tcPr>
          <w:p w:rsidR="002D6400" w:rsidRPr="002D6400" w:rsidRDefault="002D6400" w:rsidP="002D6400">
            <w:pPr>
              <w:spacing w:after="0" w:line="240" w:lineRule="auto"/>
              <w:rPr>
                <w:rFonts w:ascii="Times New Roman" w:eastAsia="Times New Roman" w:hAnsi="Times New Roman" w:cs="Times New Roman"/>
                <w:sz w:val="24"/>
                <w:szCs w:val="24"/>
              </w:rPr>
            </w:pPr>
          </w:p>
        </w:tc>
      </w:tr>
      <w:tr w:rsidR="002D6400" w:rsidRPr="002D6400" w:rsidTr="008773F9">
        <w:trPr>
          <w:tblCellSpacing w:w="15" w:type="dxa"/>
        </w:trPr>
        <w:tc>
          <w:tcPr>
            <w:tcW w:w="0" w:type="auto"/>
            <w:vAlign w:val="center"/>
            <w:hideMark/>
          </w:tcPr>
          <w:p w:rsidR="002D6400" w:rsidRPr="008773F9" w:rsidRDefault="002D6400" w:rsidP="008773F9">
            <w:pPr>
              <w:spacing w:before="100" w:beforeAutospacing="1" w:after="100" w:afterAutospacing="1" w:line="240" w:lineRule="auto"/>
              <w:ind w:left="360"/>
              <w:rPr>
                <w:rFonts w:ascii="Times New Roman" w:eastAsia="Times New Roman" w:hAnsi="Times New Roman" w:cs="Times New Roman"/>
                <w:sz w:val="24"/>
                <w:szCs w:val="24"/>
              </w:rPr>
            </w:pPr>
          </w:p>
        </w:tc>
        <w:tc>
          <w:tcPr>
            <w:tcW w:w="59" w:type="dxa"/>
            <w:vAlign w:val="center"/>
            <w:hideMark/>
          </w:tcPr>
          <w:p w:rsidR="002D6400" w:rsidRPr="002D6400" w:rsidRDefault="002D6400" w:rsidP="002D6400">
            <w:pPr>
              <w:spacing w:after="0" w:line="240" w:lineRule="auto"/>
              <w:rPr>
                <w:rFonts w:ascii="Times New Roman" w:eastAsia="Times New Roman" w:hAnsi="Times New Roman" w:cs="Times New Roman"/>
                <w:sz w:val="24"/>
                <w:szCs w:val="24"/>
              </w:rPr>
            </w:pPr>
          </w:p>
        </w:tc>
      </w:tr>
      <w:tr w:rsidR="002D6400" w:rsidRPr="002D6400" w:rsidTr="008773F9">
        <w:trPr>
          <w:tblCellSpacing w:w="15" w:type="dxa"/>
        </w:trPr>
        <w:tc>
          <w:tcPr>
            <w:tcW w:w="0" w:type="auto"/>
            <w:vAlign w:val="center"/>
            <w:hideMark/>
          </w:tcPr>
          <w:p w:rsidR="002D6400" w:rsidRPr="008773F9" w:rsidRDefault="002D6400" w:rsidP="008773F9">
            <w:pPr>
              <w:spacing w:before="100" w:beforeAutospacing="1" w:after="100" w:afterAutospacing="1" w:line="240" w:lineRule="auto"/>
              <w:ind w:left="360"/>
              <w:rPr>
                <w:rFonts w:ascii="Times New Roman" w:eastAsia="Times New Roman" w:hAnsi="Times New Roman" w:cs="Times New Roman"/>
                <w:sz w:val="24"/>
                <w:szCs w:val="24"/>
              </w:rPr>
            </w:pPr>
          </w:p>
        </w:tc>
        <w:tc>
          <w:tcPr>
            <w:tcW w:w="59" w:type="dxa"/>
            <w:vAlign w:val="center"/>
            <w:hideMark/>
          </w:tcPr>
          <w:p w:rsidR="002D6400" w:rsidRPr="002D6400" w:rsidRDefault="002D6400" w:rsidP="002D6400">
            <w:pPr>
              <w:spacing w:after="0" w:line="240" w:lineRule="auto"/>
              <w:rPr>
                <w:rFonts w:ascii="Times New Roman" w:eastAsia="Times New Roman" w:hAnsi="Times New Roman" w:cs="Times New Roman"/>
                <w:sz w:val="24"/>
                <w:szCs w:val="24"/>
              </w:rPr>
            </w:pPr>
          </w:p>
        </w:tc>
      </w:tr>
      <w:tr w:rsidR="002D6400" w:rsidRPr="002D6400" w:rsidTr="008773F9">
        <w:trPr>
          <w:tblCellSpacing w:w="15" w:type="dxa"/>
        </w:trPr>
        <w:tc>
          <w:tcPr>
            <w:tcW w:w="0" w:type="auto"/>
            <w:vAlign w:val="center"/>
            <w:hideMark/>
          </w:tcPr>
          <w:p w:rsidR="002D6400" w:rsidRPr="008773F9" w:rsidRDefault="002D6400" w:rsidP="008773F9">
            <w:pPr>
              <w:spacing w:before="100" w:beforeAutospacing="1" w:after="100" w:afterAutospacing="1" w:line="240" w:lineRule="auto"/>
              <w:ind w:left="360"/>
              <w:rPr>
                <w:rFonts w:ascii="Times New Roman" w:eastAsia="Times New Roman" w:hAnsi="Times New Roman" w:cs="Times New Roman"/>
                <w:sz w:val="24"/>
                <w:szCs w:val="24"/>
              </w:rPr>
            </w:pPr>
          </w:p>
        </w:tc>
        <w:tc>
          <w:tcPr>
            <w:tcW w:w="59" w:type="dxa"/>
            <w:vAlign w:val="center"/>
            <w:hideMark/>
          </w:tcPr>
          <w:p w:rsidR="002D6400" w:rsidRPr="002D6400" w:rsidRDefault="002D6400" w:rsidP="002D6400">
            <w:pPr>
              <w:spacing w:after="0" w:line="240" w:lineRule="auto"/>
              <w:rPr>
                <w:rFonts w:ascii="Times New Roman" w:eastAsia="Times New Roman" w:hAnsi="Times New Roman" w:cs="Times New Roman"/>
                <w:sz w:val="24"/>
                <w:szCs w:val="24"/>
              </w:rPr>
            </w:pPr>
          </w:p>
        </w:tc>
      </w:tr>
      <w:tr w:rsidR="002D6400" w:rsidRPr="002D6400" w:rsidTr="008773F9">
        <w:trPr>
          <w:tblCellSpacing w:w="15" w:type="dxa"/>
        </w:trPr>
        <w:tc>
          <w:tcPr>
            <w:tcW w:w="0" w:type="auto"/>
            <w:vAlign w:val="center"/>
            <w:hideMark/>
          </w:tcPr>
          <w:p w:rsidR="002D6400" w:rsidRPr="002D6400" w:rsidRDefault="002D6400" w:rsidP="002D6400">
            <w:pPr>
              <w:spacing w:before="100" w:beforeAutospacing="1" w:after="100" w:afterAutospacing="1" w:line="240" w:lineRule="auto"/>
              <w:rPr>
                <w:rFonts w:ascii="Times New Roman" w:eastAsia="Times New Roman" w:hAnsi="Times New Roman" w:cs="Times New Roman"/>
                <w:sz w:val="24"/>
                <w:szCs w:val="24"/>
              </w:rPr>
            </w:pPr>
          </w:p>
        </w:tc>
        <w:tc>
          <w:tcPr>
            <w:tcW w:w="59" w:type="dxa"/>
            <w:vAlign w:val="center"/>
            <w:hideMark/>
          </w:tcPr>
          <w:p w:rsidR="002D6400" w:rsidRPr="002D6400" w:rsidRDefault="002D6400" w:rsidP="002D6400">
            <w:pPr>
              <w:spacing w:after="0" w:line="240" w:lineRule="auto"/>
              <w:rPr>
                <w:rFonts w:ascii="Times New Roman" w:eastAsia="Times New Roman" w:hAnsi="Times New Roman" w:cs="Times New Roman"/>
                <w:sz w:val="24"/>
                <w:szCs w:val="24"/>
              </w:rPr>
            </w:pPr>
          </w:p>
        </w:tc>
      </w:tr>
      <w:tr w:rsidR="002D6400" w:rsidRPr="002D6400" w:rsidTr="008773F9">
        <w:trPr>
          <w:trHeight w:val="239"/>
          <w:tblCellSpacing w:w="15" w:type="dxa"/>
        </w:trPr>
        <w:tc>
          <w:tcPr>
            <w:tcW w:w="0" w:type="auto"/>
            <w:vAlign w:val="center"/>
            <w:hideMark/>
          </w:tcPr>
          <w:p w:rsidR="002D6400" w:rsidRDefault="002D6400" w:rsidP="002D6400">
            <w:pPr>
              <w:spacing w:before="100" w:beforeAutospacing="1" w:after="100" w:afterAutospacing="1" w:line="240" w:lineRule="auto"/>
              <w:rPr>
                <w:rFonts w:ascii="Times New Roman" w:eastAsia="Times New Roman" w:hAnsi="Times New Roman" w:cs="Times New Roman"/>
                <w:sz w:val="24"/>
                <w:szCs w:val="24"/>
              </w:rPr>
            </w:pPr>
          </w:p>
          <w:p w:rsidR="008773F9" w:rsidRDefault="008773F9" w:rsidP="002D6400">
            <w:pPr>
              <w:spacing w:before="100" w:beforeAutospacing="1" w:after="100" w:afterAutospacing="1" w:line="240" w:lineRule="auto"/>
              <w:rPr>
                <w:rFonts w:ascii="Times New Roman" w:eastAsia="Times New Roman" w:hAnsi="Times New Roman" w:cs="Times New Roman"/>
                <w:sz w:val="24"/>
                <w:szCs w:val="24"/>
              </w:rPr>
            </w:pPr>
          </w:p>
          <w:p w:rsidR="008773F9" w:rsidRDefault="008773F9" w:rsidP="002D6400">
            <w:pPr>
              <w:spacing w:before="100" w:beforeAutospacing="1" w:after="100" w:afterAutospacing="1" w:line="240" w:lineRule="auto"/>
              <w:rPr>
                <w:rFonts w:ascii="Times New Roman" w:eastAsia="Times New Roman" w:hAnsi="Times New Roman" w:cs="Times New Roman"/>
                <w:sz w:val="24"/>
                <w:szCs w:val="24"/>
              </w:rPr>
            </w:pPr>
          </w:p>
          <w:p w:rsidR="008773F9" w:rsidRPr="002D6400" w:rsidRDefault="008773F9" w:rsidP="002D6400">
            <w:pPr>
              <w:spacing w:before="100" w:beforeAutospacing="1" w:after="100" w:afterAutospacing="1" w:line="240" w:lineRule="auto"/>
              <w:rPr>
                <w:rFonts w:ascii="Times New Roman" w:eastAsia="Times New Roman" w:hAnsi="Times New Roman" w:cs="Times New Roman"/>
                <w:sz w:val="24"/>
                <w:szCs w:val="24"/>
              </w:rPr>
            </w:pPr>
          </w:p>
        </w:tc>
        <w:tc>
          <w:tcPr>
            <w:tcW w:w="59" w:type="dxa"/>
            <w:vAlign w:val="center"/>
            <w:hideMark/>
          </w:tcPr>
          <w:p w:rsidR="002D6400" w:rsidRPr="002D6400" w:rsidRDefault="002D6400" w:rsidP="002D6400">
            <w:pPr>
              <w:spacing w:after="0" w:line="240" w:lineRule="auto"/>
              <w:rPr>
                <w:rFonts w:ascii="Times New Roman" w:eastAsia="Times New Roman" w:hAnsi="Times New Roman" w:cs="Times New Roman"/>
                <w:sz w:val="20"/>
                <w:szCs w:val="20"/>
              </w:rPr>
            </w:pPr>
          </w:p>
        </w:tc>
      </w:tr>
    </w:tbl>
    <w:p w:rsidR="002D6400" w:rsidRDefault="00140E24" w:rsidP="00140E24">
      <w:pPr>
        <w:pStyle w:val="ListParagraph"/>
        <w:numPr>
          <w:ilvl w:val="0"/>
          <w:numId w:val="7"/>
        </w:numPr>
      </w:pPr>
      <w:r>
        <w:lastRenderedPageBreak/>
        <w:t>The components of the car</w:t>
      </w:r>
      <w:r w:rsidR="008773F9">
        <w:t>e bundle to prevent VAP include the following:</w:t>
      </w:r>
    </w:p>
    <w:p w:rsidR="00140E24" w:rsidRDefault="008773F9" w:rsidP="00140E24">
      <w:pPr>
        <w:pStyle w:val="ListParagraph"/>
        <w:numPr>
          <w:ilvl w:val="1"/>
          <w:numId w:val="7"/>
        </w:numPr>
      </w:pPr>
      <w:r>
        <w:t xml:space="preserve">Head of </w:t>
      </w:r>
      <w:r w:rsidR="00DD18B0">
        <w:t>Bed elevation</w:t>
      </w:r>
    </w:p>
    <w:p w:rsidR="008773F9" w:rsidRDefault="008773F9" w:rsidP="00140E24">
      <w:pPr>
        <w:pStyle w:val="ListParagraph"/>
        <w:numPr>
          <w:ilvl w:val="1"/>
          <w:numId w:val="7"/>
        </w:numPr>
      </w:pPr>
      <w:r>
        <w:t xml:space="preserve">Daily </w:t>
      </w:r>
      <w:proofErr w:type="spellStart"/>
      <w:r>
        <w:t>nebulization</w:t>
      </w:r>
      <w:proofErr w:type="spellEnd"/>
      <w:r>
        <w:t xml:space="preserve"> and </w:t>
      </w:r>
      <w:proofErr w:type="spellStart"/>
      <w:r>
        <w:t>coupage</w:t>
      </w:r>
      <w:proofErr w:type="spellEnd"/>
    </w:p>
    <w:p w:rsidR="00DD18B0" w:rsidRDefault="00DD18B0" w:rsidP="00140E24">
      <w:pPr>
        <w:pStyle w:val="ListParagraph"/>
        <w:numPr>
          <w:ilvl w:val="1"/>
          <w:numId w:val="7"/>
        </w:numPr>
      </w:pPr>
      <w:proofErr w:type="spellStart"/>
      <w:r>
        <w:t>Chlorhexidine</w:t>
      </w:r>
      <w:proofErr w:type="spellEnd"/>
      <w:r>
        <w:t xml:space="preserve"> oral rinses</w:t>
      </w:r>
    </w:p>
    <w:p w:rsidR="008773F9" w:rsidRDefault="008773F9" w:rsidP="008773F9">
      <w:pPr>
        <w:pStyle w:val="ListParagraph"/>
        <w:numPr>
          <w:ilvl w:val="1"/>
          <w:numId w:val="7"/>
        </w:numPr>
      </w:pPr>
      <w:r>
        <w:t>Wake and wean trial</w:t>
      </w:r>
    </w:p>
    <w:p w:rsidR="008773F9" w:rsidRDefault="008773F9" w:rsidP="008773F9">
      <w:pPr>
        <w:pStyle w:val="ListParagraph"/>
        <w:numPr>
          <w:ilvl w:val="1"/>
          <w:numId w:val="7"/>
        </w:numPr>
      </w:pPr>
      <w:r>
        <w:t xml:space="preserve">Regular </w:t>
      </w:r>
      <w:proofErr w:type="spellStart"/>
      <w:r>
        <w:t>endotracheal</w:t>
      </w:r>
      <w:proofErr w:type="spellEnd"/>
      <w:r>
        <w:t xml:space="preserve"> suctioning</w:t>
      </w:r>
    </w:p>
    <w:p w:rsidR="00DD18B0" w:rsidRDefault="008773F9" w:rsidP="00DD18B0">
      <w:pPr>
        <w:pStyle w:val="ListParagraph"/>
        <w:numPr>
          <w:ilvl w:val="0"/>
          <w:numId w:val="7"/>
        </w:numPr>
      </w:pPr>
      <w:r>
        <w:t xml:space="preserve">T or F: Patients who were on the ventilator for a longer duration had a greater reduction in VAP incidence using the care bundle than patients who were ventilated for shorter periods of time. </w:t>
      </w:r>
    </w:p>
    <w:sectPr w:rsidR="00DD18B0" w:rsidSect="00140E24">
      <w:pgSz w:w="12240" w:h="15840"/>
      <w:pgMar w:top="720" w:right="720" w:bottom="720" w:left="72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4C3DF5"/>
    <w:multiLevelType w:val="hybridMultilevel"/>
    <w:tmpl w:val="4162DFB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27D97C0E"/>
    <w:multiLevelType w:val="hybridMultilevel"/>
    <w:tmpl w:val="08EEFEF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FC0108A"/>
    <w:multiLevelType w:val="hybridMultilevel"/>
    <w:tmpl w:val="6128CE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60815F9"/>
    <w:multiLevelType w:val="hybridMultilevel"/>
    <w:tmpl w:val="2D6293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C1D74CF"/>
    <w:multiLevelType w:val="hybridMultilevel"/>
    <w:tmpl w:val="DE7A83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AB96E30"/>
    <w:multiLevelType w:val="hybridMultilevel"/>
    <w:tmpl w:val="D9FC43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53651CF3"/>
    <w:multiLevelType w:val="hybridMultilevel"/>
    <w:tmpl w:val="B7DAD7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1276931"/>
    <w:multiLevelType w:val="hybridMultilevel"/>
    <w:tmpl w:val="A14C5CF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7E1A7796"/>
    <w:multiLevelType w:val="hybridMultilevel"/>
    <w:tmpl w:val="86561DE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6"/>
  </w:num>
  <w:num w:numId="3">
    <w:abstractNumId w:val="8"/>
  </w:num>
  <w:num w:numId="4">
    <w:abstractNumId w:val="5"/>
  </w:num>
  <w:num w:numId="5">
    <w:abstractNumId w:val="0"/>
  </w:num>
  <w:num w:numId="6">
    <w:abstractNumId w:val="2"/>
  </w:num>
  <w:num w:numId="7">
    <w:abstractNumId w:val="1"/>
  </w:num>
  <w:num w:numId="8">
    <w:abstractNumId w:val="3"/>
  </w:num>
  <w:num w:numId="9">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defaultTabStop w:val="720"/>
  <w:drawingGridHorizontalSpacing w:val="110"/>
  <w:displayHorizontalDrawingGridEvery w:val="2"/>
  <w:characterSpacingControl w:val="doNotCompress"/>
  <w:compat/>
  <w:rsids>
    <w:rsidRoot w:val="002D6400"/>
    <w:rsid w:val="000C483E"/>
    <w:rsid w:val="00140E24"/>
    <w:rsid w:val="002D6400"/>
    <w:rsid w:val="004470A5"/>
    <w:rsid w:val="004D6977"/>
    <w:rsid w:val="005C2D29"/>
    <w:rsid w:val="00657C29"/>
    <w:rsid w:val="008773F9"/>
    <w:rsid w:val="008847B0"/>
    <w:rsid w:val="00B90522"/>
    <w:rsid w:val="00DD18B0"/>
    <w:rsid w:val="00E01C7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D697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ulltext-abstract">
    <w:name w:val="fulltext-abstract"/>
    <w:basedOn w:val="Normal"/>
    <w:rsid w:val="002D640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ulltext-it">
    <w:name w:val="fulltext-it"/>
    <w:basedOn w:val="DefaultParagraphFont"/>
    <w:rsid w:val="002D6400"/>
  </w:style>
  <w:style w:type="paragraph" w:styleId="ListParagraph">
    <w:name w:val="List Paragraph"/>
    <w:basedOn w:val="Normal"/>
    <w:uiPriority w:val="34"/>
    <w:qFormat/>
    <w:rsid w:val="002D6400"/>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TotalTime>
  <Pages>3</Pages>
  <Words>995</Words>
  <Characters>5673</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Christopher Blong</dc:creator>
  <cp:lastModifiedBy>Vet Computing</cp:lastModifiedBy>
  <cp:revision>4</cp:revision>
  <dcterms:created xsi:type="dcterms:W3CDTF">2011-10-06T01:25:00Z</dcterms:created>
  <dcterms:modified xsi:type="dcterms:W3CDTF">2011-10-06T18:56:00Z</dcterms:modified>
</cp:coreProperties>
</file>